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8" w:lineRule="exact"/>
        <w:rPr>
          <w:sz w:val="24"/>
          <w:szCs w:val="24"/>
          <w:color w:val="auto"/>
        </w:rPr>
      </w:pPr>
    </w:p>
    <w:p>
      <w:pPr>
        <w:ind w:left="1740" w:hanging="169"/>
        <w:spacing w:after="0"/>
        <w:tabs>
          <w:tab w:leader="none" w:pos="17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93" w:lineRule="exact"/>
        <w:rPr>
          <w:sz w:val="24"/>
          <w:szCs w:val="24"/>
          <w:color w:val="auto"/>
        </w:rPr>
      </w:pPr>
    </w:p>
    <w:p>
      <w:pPr>
        <w:ind w:left="1760" w:hanging="215"/>
        <w:spacing w:after="0"/>
        <w:tabs>
          <w:tab w:leader="none" w:pos="17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9" w:lineRule="exact"/>
        <w:rPr>
          <w:sz w:val="24"/>
          <w:szCs w:val="24"/>
          <w:color w:val="auto"/>
        </w:rPr>
      </w:pPr>
    </w:p>
    <w:p>
      <w:pPr>
        <w:ind w:left="4000"/>
        <w:spacing w:after="0"/>
        <w:tabs>
          <w:tab w:leader="none" w:pos="612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 001-34096</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DIME COMMUNITY BANCSHARES, INC.</w:t>
      </w:r>
    </w:p>
    <w:p>
      <w:pPr>
        <w:spacing w:after="0" w:line="5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jc w:val="center"/>
              <w:ind w:left="1664"/>
              <w:spacing w:after="0"/>
              <w:rPr>
                <w:sz w:val="20"/>
                <w:szCs w:val="20"/>
                <w:color w:val="auto"/>
              </w:rPr>
            </w:pPr>
            <w:r>
              <w:rPr>
                <w:rFonts w:ascii="Times New Roman" w:cs="Times New Roman" w:eastAsia="Times New Roman" w:hAnsi="Times New Roman"/>
                <w:sz w:val="16"/>
                <w:szCs w:val="16"/>
                <w:b w:val="1"/>
                <w:bCs w:val="1"/>
                <w:color w:val="auto"/>
                <w:w w:val="97"/>
              </w:rPr>
              <w:t>New York</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20" w:type="dxa"/>
            <w:vAlign w:val="bottom"/>
          </w:tcPr>
          <w:p>
            <w:pPr>
              <w:jc w:val="right"/>
              <w:ind w:right="2024"/>
              <w:spacing w:after="0"/>
              <w:rPr>
                <w:sz w:val="20"/>
                <w:szCs w:val="20"/>
                <w:color w:val="auto"/>
              </w:rPr>
            </w:pPr>
            <w:r>
              <w:rPr>
                <w:rFonts w:ascii="Times New Roman" w:cs="Times New Roman" w:eastAsia="Times New Roman" w:hAnsi="Times New Roman"/>
                <w:sz w:val="16"/>
                <w:szCs w:val="16"/>
                <w:b w:val="1"/>
                <w:bCs w:val="1"/>
                <w:color w:val="auto"/>
              </w:rPr>
              <w:t>11-2934195</w:t>
            </w:r>
          </w:p>
        </w:tc>
        <w:tc>
          <w:tcPr>
            <w:tcW w:w="0" w:type="dxa"/>
            <w:vAlign w:val="bottom"/>
          </w:tcPr>
          <w:p>
            <w:pPr>
              <w:spacing w:after="0"/>
              <w:rPr>
                <w:sz w:val="1"/>
                <w:szCs w:val="1"/>
                <w:color w:val="auto"/>
              </w:rPr>
            </w:pPr>
          </w:p>
        </w:tc>
      </w:tr>
      <w:tr>
        <w:trPr>
          <w:trHeight w:val="212"/>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220" w:type="dxa"/>
            <w:vAlign w:val="bottom"/>
          </w:tcPr>
          <w:p>
            <w:pPr>
              <w:jc w:val="center"/>
              <w:ind w:right="684"/>
              <w:spacing w:after="0"/>
              <w:rPr>
                <w:sz w:val="20"/>
                <w:szCs w:val="20"/>
                <w:color w:val="auto"/>
              </w:rPr>
            </w:pPr>
            <w:r>
              <w:rPr>
                <w:rFonts w:ascii="Times New Roman" w:cs="Times New Roman" w:eastAsia="Times New Roman" w:hAnsi="Times New Roman"/>
                <w:sz w:val="16"/>
                <w:szCs w:val="16"/>
                <w:b w:val="1"/>
                <w:bCs w:val="1"/>
                <w:color w:val="auto"/>
              </w:rPr>
              <w:t>(I.R.S. employer identification number)</w:t>
            </w:r>
          </w:p>
        </w:tc>
        <w:tc>
          <w:tcPr>
            <w:tcW w:w="0" w:type="dxa"/>
            <w:vAlign w:val="bottom"/>
          </w:tcPr>
          <w:p>
            <w:pPr>
              <w:spacing w:after="0"/>
              <w:rPr>
                <w:sz w:val="1"/>
                <w:szCs w:val="1"/>
                <w:color w:val="auto"/>
              </w:rPr>
            </w:pPr>
          </w:p>
        </w:tc>
      </w:tr>
      <w:tr>
        <w:trPr>
          <w:trHeight w:val="393"/>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898 Veterans Memorial Highway, Suite 560, Hauppauge, NY</w:t>
            </w:r>
          </w:p>
        </w:tc>
        <w:tc>
          <w:tcPr>
            <w:tcW w:w="422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11788</w:t>
            </w:r>
          </w:p>
        </w:tc>
        <w:tc>
          <w:tcPr>
            <w:tcW w:w="0" w:type="dxa"/>
            <w:vAlign w:val="bottom"/>
          </w:tcPr>
          <w:p>
            <w:pPr>
              <w:spacing w:after="0"/>
              <w:rPr>
                <w:sz w:val="1"/>
                <w:szCs w:val="1"/>
                <w:color w:val="auto"/>
              </w:rPr>
            </w:pPr>
          </w:p>
        </w:tc>
      </w:tr>
      <w:tr>
        <w:trPr>
          <w:trHeight w:val="214"/>
        </w:trPr>
        <w:tc>
          <w:tcPr>
            <w:tcW w:w="6000" w:type="dxa"/>
            <w:vAlign w:val="bottom"/>
            <w:gridSpan w:val="6"/>
          </w:tcPr>
          <w:p>
            <w:pPr>
              <w:jc w:val="center"/>
              <w:ind w:right="92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Address of principal executive offices)</w:t>
            </w:r>
          </w:p>
        </w:tc>
        <w:tc>
          <w:tcPr>
            <w:tcW w:w="4220" w:type="dxa"/>
            <w:vAlign w:val="bottom"/>
          </w:tcPr>
          <w:p>
            <w:pPr>
              <w:jc w:val="center"/>
              <w:ind w:right="704"/>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3"/>
                <w:szCs w:val="23"/>
                <w:color w:val="auto"/>
              </w:rPr>
            </w:pPr>
          </w:p>
        </w:tc>
        <w:tc>
          <w:tcPr>
            <w:tcW w:w="27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(631) 537-1000</w:t>
            </w:r>
          </w:p>
        </w:tc>
        <w:tc>
          <w:tcPr>
            <w:tcW w:w="4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6920" w:type="dxa"/>
            <w:vAlign w:val="bottom"/>
            <w:gridSpan w:val="6"/>
          </w:tcPr>
          <w:p>
            <w:pPr>
              <w:jc w:val="center"/>
              <w:ind w:right="318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251"/>
        </w:trPr>
        <w:tc>
          <w:tcPr>
            <w:tcW w:w="3300" w:type="dxa"/>
            <w:vAlign w:val="bottom"/>
            <w:vMerge w:val="restart"/>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220" w:type="dxa"/>
            <w:vAlign w:val="bottom"/>
            <w:vMerge w:val="restart"/>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00" w:type="dxa"/>
            <w:vAlign w:val="bottom"/>
            <w:tcBorders>
              <w:top w:val="single" w:sz="8" w:color="auto"/>
            </w:tcBorders>
          </w:tcPr>
          <w:p>
            <w:pPr>
              <w:jc w:val="center"/>
              <w:ind w:left="544"/>
              <w:spacing w:after="0" w:line="119" w:lineRule="exact"/>
              <w:rPr>
                <w:sz w:val="20"/>
                <w:szCs w:val="20"/>
                <w:color w:val="auto"/>
              </w:rPr>
            </w:pPr>
            <w:r>
              <w:rPr>
                <w:rFonts w:ascii="Times New Roman" w:cs="Times New Roman" w:eastAsia="Times New Roman" w:hAnsi="Times New Roman"/>
                <w:sz w:val="13"/>
                <w:szCs w:val="13"/>
                <w:color w:val="auto"/>
              </w:rPr>
              <w:t>Common Stock, $0.01 Par Value</w:t>
            </w: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DCOM</w:t>
            </w: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20" w:type="dxa"/>
            <w:vAlign w:val="bottom"/>
            <w:tcBorders>
              <w:top w:val="single" w:sz="8" w:color="auto"/>
            </w:tcBorders>
          </w:tcPr>
          <w:p>
            <w:pPr>
              <w:jc w:val="center"/>
              <w:ind w:right="304"/>
              <w:spacing w:after="0" w:line="119" w:lineRule="exact"/>
              <w:rPr>
                <w:sz w:val="20"/>
                <w:szCs w:val="20"/>
                <w:color w:val="auto"/>
              </w:rPr>
            </w:pPr>
            <w:r>
              <w:rPr>
                <w:rFonts w:ascii="Times New Roman" w:cs="Times New Roman" w:eastAsia="Times New Roman" w:hAnsi="Times New Roman"/>
                <w:sz w:val="13"/>
                <w:szCs w:val="13"/>
                <w:color w:val="auto"/>
              </w:rPr>
              <w:t>The NASDAQ Stock Market</w:t>
            </w:r>
          </w:p>
        </w:tc>
        <w:tc>
          <w:tcPr>
            <w:tcW w:w="0" w:type="dxa"/>
            <w:vAlign w:val="bottom"/>
          </w:tcPr>
          <w:p>
            <w:pPr>
              <w:spacing w:after="0"/>
              <w:rPr>
                <w:sz w:val="1"/>
                <w:szCs w:val="1"/>
                <w:color w:val="auto"/>
              </w:rPr>
            </w:pPr>
          </w:p>
        </w:tc>
      </w:tr>
      <w:tr>
        <w:trPr>
          <w:trHeight w:val="148"/>
        </w:trPr>
        <w:tc>
          <w:tcPr>
            <w:tcW w:w="3300" w:type="dxa"/>
            <w:vAlign w:val="bottom"/>
          </w:tcPr>
          <w:p>
            <w:pPr>
              <w:jc w:val="center"/>
              <w:ind w:left="524"/>
              <w:spacing w:after="0" w:line="149" w:lineRule="exact"/>
              <w:rPr>
                <w:sz w:val="20"/>
                <w:szCs w:val="20"/>
                <w:color w:val="auto"/>
              </w:rPr>
            </w:pPr>
            <w:r>
              <w:rPr>
                <w:rFonts w:ascii="Times New Roman" w:cs="Times New Roman" w:eastAsia="Times New Roman" w:hAnsi="Times New Roman"/>
                <w:sz w:val="14"/>
                <w:szCs w:val="14"/>
                <w:color w:val="auto"/>
              </w:rPr>
              <w:t>Preferred Stock, Series A, $0.01 Par Value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DCOMP</w:t>
            </w:r>
          </w:p>
        </w:tc>
        <w:tc>
          <w:tcPr>
            <w:tcW w:w="422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44"/>
              <w:spacing w:after="0"/>
              <w:rPr>
                <w:sz w:val="20"/>
                <w:szCs w:val="20"/>
                <w:color w:val="auto"/>
              </w:rPr>
            </w:pPr>
            <w:r>
              <w:rPr>
                <w:rFonts w:ascii="Times New Roman" w:cs="Times New Roman" w:eastAsia="Times New Roman" w:hAnsi="Times New Roman"/>
                <w:sz w:val="14"/>
                <w:szCs w:val="14"/>
                <w:color w:val="auto"/>
              </w:rPr>
              <w:t>9.000% Subordinated Notes, $25.00 Par Value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DCOMG</w:t>
            </w:r>
          </w:p>
        </w:tc>
        <w:tc>
          <w:tcPr>
            <w:tcW w:w="4220" w:type="dxa"/>
            <w:vAlign w:val="bottom"/>
          </w:tcPr>
          <w:p>
            <w:pPr>
              <w:jc w:val="center"/>
              <w:ind w:right="304"/>
              <w:spacing w:after="0"/>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bl>
    <w:p>
      <w:pPr>
        <w:spacing w:after="0" w:line="50"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the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47"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4400" w:space="720"/>
            <w:col w:w="1860" w:space="60"/>
            <w:col w:w="3200"/>
          </w:cols>
          <w:pgMar w:left="820" w:top="661" w:right="839" w:bottom="1440" w:gutter="0" w:footer="0" w:header="0"/>
          <w:type w:val="continuous"/>
        </w:sectPr>
      </w:pPr>
    </w:p>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20" w:right="18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3080" w:type="dxa"/>
            <w:vAlign w:val="bottom"/>
            <w:gridSpan w:val="2"/>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Classes of Common Stock</w:t>
            </w:r>
          </w:p>
        </w:tc>
        <w:tc>
          <w:tcPr>
            <w:tcW w:w="55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Number of shares outstanding at October 30, 2025</w:t>
            </w:r>
          </w:p>
        </w:tc>
      </w:tr>
      <w:tr>
        <w:trPr>
          <w:trHeight w:val="217"/>
        </w:trPr>
        <w:tc>
          <w:tcPr>
            <w:tcW w:w="162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$0.01 Par Value</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80" w:type="dxa"/>
            <w:vAlign w:val="bottom"/>
            <w:tcBorders>
              <w:top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rPr>
              <w:t>43,894,345</w:t>
            </w:r>
          </w:p>
        </w:tc>
        <w:tc>
          <w:tcPr>
            <w:tcW w:w="780" w:type="dxa"/>
            <w:vAlign w:val="bottom"/>
          </w:tcPr>
          <w:p>
            <w:pPr>
              <w:spacing w:after="0"/>
              <w:rPr>
                <w:sz w:val="18"/>
                <w:szCs w:val="18"/>
                <w:color w:val="auto"/>
              </w:rPr>
            </w:pPr>
          </w:p>
        </w:tc>
      </w:tr>
      <w:tr>
        <w:trPr>
          <w:trHeight w:val="101"/>
        </w:trPr>
        <w:tc>
          <w:tcPr>
            <w:tcW w:w="16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68"/>
        </w:trPr>
        <w:tc>
          <w:tcPr>
            <w:tcW w:w="16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574"/>
        </w:trPr>
        <w:tc>
          <w:tcPr>
            <w:tcW w:w="1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6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42"/>
        </w:trPr>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Item 1.</w:t>
            </w:r>
          </w:p>
        </w:tc>
        <w:tc>
          <w:tcPr>
            <w:tcW w:w="7640" w:type="dxa"/>
            <w:vAlign w:val="bottom"/>
            <w:gridSpan w:val="12"/>
          </w:tcPr>
          <w:p>
            <w:pPr>
              <w:spacing w:after="0" w:line="142" w:lineRule="exact"/>
              <w:rPr>
                <w:sz w:val="20"/>
                <w:szCs w:val="20"/>
                <w:color w:val="auto"/>
              </w:rPr>
            </w:pPr>
            <w:r>
              <w:rPr>
                <w:rFonts w:ascii="Times New Roman" w:cs="Times New Roman" w:eastAsia="Times New Roman" w:hAnsi="Times New Roman"/>
                <w:sz w:val="16"/>
                <w:szCs w:val="16"/>
                <w:color w:val="0000EE"/>
              </w:rPr>
              <w:t>Unaudited Condensed Consolidated Financial Statements</w:t>
            </w:r>
          </w:p>
        </w:tc>
        <w:tc>
          <w:tcPr>
            <w:tcW w:w="380" w:type="dxa"/>
            <w:vAlign w:val="bottom"/>
          </w:tcPr>
          <w:p>
            <w:pPr>
              <w:spacing w:after="0"/>
              <w:rPr>
                <w:sz w:val="12"/>
                <w:szCs w:val="12"/>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Consolidated Statements of Financial Condition at September 30, 2025 and December 31, 2024</w:t>
            </w:r>
          </w:p>
        </w:tc>
        <w:tc>
          <w:tcPr>
            <w:tcW w:w="1440" w:type="dxa"/>
            <w:vAlign w:val="bottom"/>
            <w:gridSpan w:val="4"/>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20" w:type="dxa"/>
            <w:vAlign w:val="bottom"/>
            <w:tcBorders>
              <w:bottom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Three and Nine Months Ended September 30, 2025 and 2024</w:t>
            </w:r>
          </w:p>
        </w:tc>
        <w:tc>
          <w:tcPr>
            <w:tcW w:w="620" w:type="dxa"/>
            <w:vAlign w:val="bottom"/>
            <w:gridSpan w:val="2"/>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Three and Nine Months Ended September 30, 2025 and</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3"/>
              </w:rPr>
              <w:t>2024</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Changes in Stockholders’ Equity for the Three and Nine Months Ended September 30,</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8</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8"/>
              </w:rPr>
              <w:t>2025 and 2024</w:t>
            </w:r>
          </w:p>
        </w:tc>
        <w:tc>
          <w:tcPr>
            <w:tcW w:w="666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8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Nine Months Ended September 30, 2025 and 2024</w:t>
            </w:r>
          </w:p>
        </w:tc>
        <w:tc>
          <w:tcPr>
            <w:tcW w:w="1260" w:type="dxa"/>
            <w:vAlign w:val="bottom"/>
            <w:gridSpan w:val="3"/>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87"/>
              </w:rPr>
              <w:t>11</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41</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59</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61</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Item 1.</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1A.</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Risk Factors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62</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5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300" w:type="dxa"/>
            <w:vAlign w:val="bottom"/>
          </w:tcPr>
          <w:p>
            <w:pPr>
              <w:spacing w:after="0"/>
              <w:rPr>
                <w:sz w:val="15"/>
                <w:szCs w:val="15"/>
                <w:color w:val="auto"/>
              </w:rPr>
            </w:pP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Unregistered Sales of Equity Securities, Use of Proceeds and Issuer Purchases of Equity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62</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62</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Mine Safety Disclosures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62</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5.</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Other Information</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62</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6.</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Exhibits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63</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7"/>
              </w:rPr>
              <w:t>Signatures</w:t>
            </w:r>
          </w:p>
        </w:tc>
        <w:tc>
          <w:tcPr>
            <w:tcW w:w="6400" w:type="dxa"/>
            <w:vAlign w:val="bottom"/>
            <w:gridSpan w:val="6"/>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a number of forward-looking statements within the meaning of Section 27A of the Securities Act of 1933, as amended and Section 21E of the Securities Exchange Act of 1934, as amended (the “Exchange Act”). These statements may be identified by use of words such as “annualized,” “anticipate,” “believe,” “continue,” “could,” “estimate,” “expect,” “intend,” “seek,” “may,” “outlook,” “plan,” “potential,” “predict,” “project,” “should,” “will,” “would” and similar terms and phrases, including references to assumptions. Examples of forward-looking statements include, but are not limited to, the proposed use of proceeds from any offering, possible or assumed estimates with respect to the financial condition, asset quality,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upon various assumptions and analyses made by Dime Community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Such factors include, without limitation, the following:</w:t>
      </w:r>
    </w:p>
    <w:p>
      <w:pPr>
        <w:spacing w:after="0" w:line="189"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competitive pressure among financial institutions or from non-financial institutions;</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fluctuation in market interest rates, which may affect demand for our products, interest margins and the fair value of financial instruments;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interest margin is subject to material short-term fluctuation based upon market rates;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 flows or composition, loan demand or real estate values;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and composition of our loan or investment portfolios or unanticipated or significant increases in loan losses;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and/or individual income tax laws or policies;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 including any changes in the monetary policies of the U.S. Treasury and the Board of Governors of the Federal Reserve System;</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the responses of third parties thereto, which may increase inflationary pressures;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distribution of federal funds or freezing of federal funding or grants, which could have an adverse effect on the ability of consumers and businesses to pay debts or affect the demand for loans and deposits;</w:t>
      </w: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federal government shutdown, including our ability to effect sales of Small Business Administration (“SBA”) loans;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the Company’s information technology security systems;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effect strategic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initiatives or the integration of any acquired entities;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unanticipated expenses incurred in the consummation of new business initiatives or the integration of any acquired entities;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matters before regulatory agencies;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referred to in the section entitled “Risk Factors” in our Annual Report on Form 10-K for the year ended December 31, 2024, as updated by our subsequent Quarterly Reports on Form 10-Q and Current Reports on Form 8-K; and/or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unexpected material adverse changes in our financial condition, operations or earnings.</w:t>
      </w:r>
    </w:p>
    <w:p>
      <w:pPr>
        <w:spacing w:after="0" w:line="11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The Company has no obligation to update any forward-looking statements to reflect events or circumstances after the date of this document.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left="1520" w:right="1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FINANCIAL CONDITION (UNAUDITED) </w:t>
      </w:r>
      <w:r>
        <w:rPr>
          <w:rFonts w:ascii="Times New Roman" w:cs="Times New Roman" w:eastAsia="Times New Roman" w:hAnsi="Times New Roman"/>
          <w:sz w:val="18"/>
          <w:szCs w:val="18"/>
          <w:color w:val="auto"/>
        </w:rPr>
        <w:t>(Dollars in thousands except share amounts)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1,715,044</w:t>
            </w:r>
          </w:p>
        </w:tc>
        <w:tc>
          <w:tcPr>
            <w:tcW w:w="18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1,283,571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available-for-sale, at fair value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662,667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690,693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held-to-maturity</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623,094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sale</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investment, net of fees and costs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10,725,674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10,871,943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(94,061)</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(88,751)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loans held for investment, net</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10,631,613</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Premises and fixed assets,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32,525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66,989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Owned Life Insurance ("BOLI")</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396,904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290,665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155,797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intangible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3,173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45,402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81,440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 receivable</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57,048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67,247</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14,538,943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14,353,258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8,380,680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8,275,591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3,597,682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3,355,829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Deposits (excluding mortgage escrow deposits)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11,978,362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11,631,420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Non-interest-bearing mortgage escrow deposits</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83,240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54,715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mortgage escrow deposits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mortgage escrow deposits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83,245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54,721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Federal Home Loan Bank of New York ("FHLBNY") advances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608,000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4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272,459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272,325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57,260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48,138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77,637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61,500</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13,086,601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12,956,741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4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stock, Series A ($0.01 par, $25.00 liquidation value, 10,000,000 shares authorized and 5,299,200 shares</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116,569</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116,569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at September 30, 2025 and December 31, 2024)</w:t>
            </w: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($0.01 par, 80,000,000 shares authorized, 46,146,806 shares and 46,141,361 shares issued at</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September 30, 2025 and December 31, 2024 respectively, and 43,888,927 shares and 43,622,292 shares</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2025 and December 31, 2024, respectively)</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622,657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624,822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835,083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794,526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net of deferred taxes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(33,596)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(45,018)</w:t>
            </w:r>
          </w:p>
        </w:tc>
        <w:tc>
          <w:tcPr>
            <w:tcW w:w="0" w:type="dxa"/>
            <w:vAlign w:val="bottom"/>
          </w:tcPr>
          <w:p>
            <w:pPr>
              <w:spacing w:after="0"/>
              <w:rPr>
                <w:sz w:val="1"/>
                <w:szCs w:val="1"/>
                <w:color w:val="auto"/>
              </w:rPr>
            </w:pPr>
          </w:p>
        </w:tc>
      </w:tr>
      <w:tr>
        <w:trPr>
          <w:trHeight w:val="148"/>
        </w:trPr>
        <w:tc>
          <w:tcPr>
            <w:tcW w:w="6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Unearned equity awards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(11,332)</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0" w:type="dxa"/>
            <w:vAlign w:val="bottom"/>
          </w:tcPr>
          <w:p>
            <w:pPr>
              <w:spacing w:after="0"/>
              <w:rPr>
                <w:sz w:val="1"/>
                <w:szCs w:val="1"/>
                <w:color w:val="auto"/>
              </w:rPr>
            </w:pPr>
          </w:p>
        </w:tc>
      </w:tr>
      <w:tr>
        <w:trPr>
          <w:trHeight w:val="126"/>
        </w:trPr>
        <w:tc>
          <w:tcPr>
            <w:tcW w:w="6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Treasury stock, at cost (2,257,879 shares and 2,519,069 shares at September 30, 2025 and December 31, 2024,</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(77,500)</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(87,203)</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1,452,342</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1,396,517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14,538,943</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14,353,258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7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OPERATIONS (UNAUDITED) </w:t>
      </w:r>
      <w:r>
        <w:rPr>
          <w:rFonts w:ascii="Times New Roman" w:cs="Times New Roman" w:eastAsia="Times New Roman" w:hAnsi="Times New Roman"/>
          <w:sz w:val="18"/>
          <w:szCs w:val="18"/>
          <w:color w:val="auto"/>
        </w:rPr>
        <w:t>(Dollars in thousands except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70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9"/>
        </w:trPr>
        <w:tc>
          <w:tcPr>
            <w:tcW w:w="5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147,756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151,828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435,909</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442,492</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23,553</w:t>
            </w:r>
          </w:p>
        </w:tc>
      </w:tr>
      <w:tr>
        <w:trPr>
          <w:trHeight w:val="20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short-term investments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16,449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35,035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18,621</w:t>
            </w:r>
          </w:p>
        </w:tc>
      </w:tr>
      <w:tr>
        <w:trPr>
          <w:trHeight w:val="19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income</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175,543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504,958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484,666</w:t>
            </w:r>
          </w:p>
        </w:tc>
      </w:tr>
      <w:tr>
        <w:trPr>
          <w:trHeight w:val="19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escrow</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62,950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181,205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219,972</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Borrowed funds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32,494</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cash collateral</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w:t>
            </w:r>
          </w:p>
        </w:tc>
      </w:tr>
      <w:tr>
        <w:trPr>
          <w:trHeight w:val="196"/>
        </w:trPr>
        <w:tc>
          <w:tcPr>
            <w:tcW w:w="5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72,144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84,315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209,249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257,710</w:t>
            </w:r>
          </w:p>
        </w:tc>
      </w:tr>
      <w:tr>
        <w:trPr>
          <w:trHeight w:val="19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103,399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295,709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226,956</w:t>
            </w:r>
          </w:p>
        </w:tc>
      </w:tr>
      <w:tr>
        <w:trPr>
          <w:trHeight w:val="20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13,294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32,141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22,398</w:t>
            </w:r>
          </w:p>
        </w:tc>
      </w:tr>
      <w:tr>
        <w:trPr>
          <w:trHeight w:val="19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90,105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68,321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263,568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204,558</w:t>
            </w:r>
          </w:p>
        </w:tc>
      </w:tr>
      <w:tr>
        <w:trPr>
          <w:trHeight w:val="196"/>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other fees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12,783</w:t>
            </w:r>
          </w:p>
        </w:tc>
      </w:tr>
      <w:tr>
        <w:trPr>
          <w:trHeight w:val="20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fees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13,135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SBA Loans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residential loans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change in equity securities and loans held for sale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 on securities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sale of other assets</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(1,117)</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(1,117)</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r>
      <w:tr>
        <w:trPr>
          <w:trHeight w:val="196"/>
        </w:trPr>
        <w:tc>
          <w:tcPr>
            <w:tcW w:w="5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12,211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33,439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29,906</w:t>
            </w:r>
          </w:p>
        </w:tc>
      </w:tr>
      <w:tr>
        <w:trPr>
          <w:trHeight w:val="19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110,213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100,353</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and equipment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23,838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22,225</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processing costs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14,495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13,262</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5,383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deposit insurance premiums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extinguishment of debt for FHLBNY advances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due to pension settlement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0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4,745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13,954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11,094</w:t>
            </w:r>
          </w:p>
        </w:tc>
      </w:tr>
      <w:tr>
        <w:trPr>
          <w:trHeight w:val="19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62,224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188,034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165,934</w:t>
            </w:r>
          </w:p>
        </w:tc>
      </w:tr>
      <w:tr>
        <w:trPr>
          <w:trHeight w:val="196"/>
        </w:trPr>
        <w:tc>
          <w:tcPr>
            <w:tcW w:w="5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108,973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68,530</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12,421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30,147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19,033</w:t>
            </w:r>
          </w:p>
        </w:tc>
      </w:tr>
      <w:tr>
        <w:trPr>
          <w:trHeight w:val="196"/>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27,671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78,826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49,497</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5,465</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r>
      <w:tr>
        <w:trPr>
          <w:trHeight w:val="236"/>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25,849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73,361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44,032</w:t>
            </w:r>
          </w:p>
        </w:tc>
      </w:tr>
      <w:tr>
        <w:trPr>
          <w:trHeight w:val="183"/>
        </w:trPr>
        <w:tc>
          <w:tcPr>
            <w:tcW w:w="51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0.59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18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0.59</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COMPREHENSIVE INCOME (UNAUDITED) </w:t>
      </w:r>
      <w:r>
        <w:rPr>
          <w:rFonts w:ascii="Times New Roman" w:cs="Times New Roman" w:eastAsia="Times New Roman" w:hAnsi="Times New Roman"/>
          <w:sz w:val="18"/>
          <w:szCs w:val="18"/>
          <w:color w:val="auto"/>
        </w:rPr>
        <w:t>(Dollars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70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70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27,671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78,826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49,497</w:t>
            </w: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securities: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gain during the period</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25,135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17,829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32,254</w:t>
            </w:r>
          </w:p>
        </w:tc>
        <w:tc>
          <w:tcPr>
            <w:tcW w:w="0" w:type="dxa"/>
            <w:vAlign w:val="bottom"/>
          </w:tcPr>
          <w:p>
            <w:pPr>
              <w:spacing w:after="0"/>
              <w:rPr>
                <w:sz w:val="1"/>
                <w:szCs w:val="1"/>
                <w:color w:val="auto"/>
              </w:rPr>
            </w:pPr>
          </w:p>
        </w:tc>
      </w:tr>
      <w:tr>
        <w:trPr>
          <w:trHeight w:val="126"/>
        </w:trPr>
        <w:tc>
          <w:tcPr>
            <w:tcW w:w="52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Reclassification adjustment for net gain included in net gain on securities and other</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(163)</w:t>
            </w: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net unrealized loss on securities transferred to held-to-maturity</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w:t>
            </w: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pension and other postretirement obligations: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benefit (expense) included in other expense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the net actuarial gain</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5,064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derivatives: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loss during the period</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(3,635)</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(14,500)</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(16,609)</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(15,483)</w:t>
            </w: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expense included in interest expense</w:t>
            </w: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5,867</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7,707</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Other comprehensive income before income taxes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6,264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16,479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27,387</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Deferred tax expense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5,057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8,778</w:t>
            </w:r>
          </w:p>
        </w:tc>
        <w:tc>
          <w:tcPr>
            <w:tcW w:w="0" w:type="dxa"/>
            <w:vAlign w:val="bottom"/>
          </w:tcPr>
          <w:p>
            <w:pPr>
              <w:spacing w:after="0"/>
              <w:rPr>
                <w:sz w:val="1"/>
                <w:szCs w:val="1"/>
                <w:color w:val="auto"/>
              </w:rPr>
            </w:pPr>
          </w:p>
        </w:tc>
      </w:tr>
      <w:tr>
        <w:trPr>
          <w:trHeight w:val="149"/>
        </w:trPr>
        <w:tc>
          <w:tcPr>
            <w:tcW w:w="52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other comprehensive income, net of tax</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4,341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9,810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11,422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18,609</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32,012</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23,137</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90,248</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68,106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CHANGES IN STOCKHOLDERS’ EQUITY (UNAUDITED) </w:t>
      </w:r>
      <w:r>
        <w:rPr>
          <w:rFonts w:ascii="Times New Roman" w:cs="Times New Roman" w:eastAsia="Times New Roman" w:hAnsi="Times New Roman"/>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2025</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43,622,292</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$ 624,822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$794,526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(45,018)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(7,640)</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$(87,203)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1,396,517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21,458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21,458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252,273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(7,153)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8,835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(75,489)</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(1,202)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(10,960)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(10,960)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2025</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43,799,076</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623,305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803,202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(39,045)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(12,909)</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(79,570)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29,697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100,690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1,791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1,791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(10,828)</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(10,857)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(10,857)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June 30, 2025</w:t>
            </w:r>
          </w:p>
        </w:tc>
        <w:tc>
          <w:tcPr>
            <w:tcW w:w="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43,888,938</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$ 622,660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820,221</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(37,937)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(13,525)</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(77,443)</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1,431,006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27,671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27,671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4,341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906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2,063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(917)</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(10,987)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(10,987)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September 30, 2025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43,888,927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$ 622,657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835,083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(33,596)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(11,332)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(77,500)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1,452,342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CHANGES IN STOCKHOLDERS’ EQUITY (UNAUDITED) </w:t>
      </w: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80" w:type="dxa"/>
            <w:vAlign w:val="bottom"/>
            <w:gridSpan w:val="2"/>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2024</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38,822,654</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$ 494,454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$813,007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(91,579)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(8,622)</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$(98,020)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1,226,225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17,691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155,782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(46,603)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2024</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38,931,833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492,834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819,130</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(85,466)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(10,191)</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(93,921)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1,239,371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223,202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(7,185)</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 net</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(9,707)</w:t>
            </w:r>
          </w:p>
        </w:tc>
        <w:tc>
          <w:tcPr>
            <w:tcW w:w="0" w:type="dxa"/>
            <w:vAlign w:val="bottom"/>
          </w:tcPr>
          <w:p>
            <w:pPr>
              <w:spacing w:after="0"/>
              <w:rPr>
                <w:sz w:val="1"/>
                <w:szCs w:val="1"/>
                <w:color w:val="auto"/>
              </w:rPr>
            </w:pPr>
          </w:p>
        </w:tc>
      </w:tr>
      <w:tr>
        <w:trPr>
          <w:trHeight w:val="142"/>
        </w:trPr>
        <w:tc>
          <w:tcPr>
            <w:tcW w:w="23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June 30, 2024</w:t>
            </w:r>
          </w:p>
        </w:tc>
        <w:tc>
          <w:tcPr>
            <w:tcW w:w="8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39,147,850</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$ 488,760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826,080</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(82,780)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(12,023)</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(86,426)</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1,250,596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11,669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(7,869)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September 30, 2024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39,151,650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$ 488,607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827,690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(72,970)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(10,111)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(86,272)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1,263,929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170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CASH FLOWS (UNAUDITED) </w:t>
      </w:r>
      <w:r>
        <w:rPr>
          <w:rFonts w:ascii="Times New Roman" w:cs="Times New Roman" w:eastAsia="Times New Roman" w:hAnsi="Times New Roman"/>
          <w:sz w:val="18"/>
          <w:szCs w:val="18"/>
          <w:color w:val="auto"/>
        </w:rPr>
        <w:t>(Dollars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0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78,826</w:t>
            </w:r>
          </w:p>
        </w:tc>
        <w:tc>
          <w:tcPr>
            <w:tcW w:w="24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49,497</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 operating activities: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gain on securities available-for-sale</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(163)</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(gain) on sale of other assets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1,117</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(6,665)</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change in equity securities and loans held for sale</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(152)</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sale of loans held for sale</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(626)</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depreciation, amortization and accretion</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3,581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4,445</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amortization of fair value hedge basis point adjustments</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(848)</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other intangible assets</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5,738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4,982</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32,141</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22,398</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Originations of loans held for sale</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(11,369)</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(7,451)</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 of loans originated for sale</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18,763</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13,346</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cash surrender value of BOLI</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(12,301)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from death benefits from BOLI</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(834)</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other assets</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95,858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6,234</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other liabilities</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(69,877)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(73,080)</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140,577</w:t>
            </w:r>
          </w:p>
        </w:tc>
        <w:tc>
          <w:tcPr>
            <w:tcW w:w="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10,041</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sales of securities available-for-sale</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38,842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available-for-sale</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(101,324)</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held-to-maturity</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(5,030)</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(16,973)</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available-for-sale</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108,059</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146,026</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held-to-maturity</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21,728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21,808</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BOLI</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(97,317)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received from cash surrender value of BOLI</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4,213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purchased</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(9,613)</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(4,979)</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portfolio loans transferred to held for sale</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24,139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7,405</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loans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120,671</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(141,747)</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fixed assets, net</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(3,540)</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(4,207)</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fixed assets and premises held for sale</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16,318</w:t>
            </w:r>
          </w:p>
        </w:tc>
      </w:tr>
      <w:tr>
        <w:trPr>
          <w:trHeight w:val="149"/>
        </w:trPr>
        <w:tc>
          <w:tcPr>
            <w:tcW w:w="60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of restricted stock, net</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2,117</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34,515</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104,949</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39,166</w:t>
            </w:r>
          </w:p>
        </w:tc>
      </w:tr>
      <w:tr>
        <w:trPr>
          <w:trHeight w:val="142"/>
        </w:trPr>
        <w:tc>
          <w:tcPr>
            <w:tcW w:w="60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deposits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375,472</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886,730</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from FHLBNY advances, short-term, net</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(100,000)</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(715,000)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FHLBNY advances, long-term</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FHLBNY advances, long-term</w:t>
            </w:r>
          </w:p>
        </w:tc>
        <w:tc>
          <w:tcPr>
            <w:tcW w:w="22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other short-term borrowings, net</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(50,000)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subordinated debentures issuance, net</w:t>
            </w:r>
          </w:p>
        </w:tc>
        <w:tc>
          <w:tcPr>
            <w:tcW w:w="22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72,103</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Release of stock for benefit plan awards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642</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related to tax withholding for equity awards</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(2,534)</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preferred stockholders</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(5,465)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(5,465)</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common stockholders</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(32,168)</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(28,496)</w:t>
            </w:r>
          </w:p>
        </w:tc>
      </w:tr>
      <w:tr>
        <w:trPr>
          <w:trHeight w:val="142"/>
        </w:trPr>
        <w:tc>
          <w:tcPr>
            <w:tcW w:w="60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185,947</w:t>
            </w:r>
          </w:p>
        </w:tc>
        <w:tc>
          <w:tcPr>
            <w:tcW w:w="2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119,302</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Decrease in cash and cash equivalents</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431,473</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168,509</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1,283,571</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457,547</w:t>
            </w:r>
          </w:p>
        </w:tc>
      </w:tr>
      <w:tr>
        <w:trPr>
          <w:trHeight w:val="18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1,715,044</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626,056</w:t>
            </w:r>
          </w:p>
        </w:tc>
      </w:tr>
      <w:tr>
        <w:trPr>
          <w:trHeight w:val="143"/>
        </w:trPr>
        <w:tc>
          <w:tcPr>
            <w:tcW w:w="6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34,912</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28,003</w:t>
            </w: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210,149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264,924</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transferred to held for sale</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32,912</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17,341</w:t>
            </w: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transferred to held for investment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21,817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 in exchange for operating lease liabilities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8,967</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w:t>
            </w:r>
          </w:p>
        </w:tc>
      </w:tr>
    </w:tbl>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Dime Community Bancshares, Inc. (the “ Company”) is engaged in commercial banking and financial services through its wholly-owned subsidiary, Dime Community Bank (“the Bank”). The Bank was established in 1910 and is headquartered in Hauppauge, New York. The Company was incorporated under the laws of the State of New York in 1988 to serve as the holding company for the Bank. The Company functions primarily as the holder of all of the Bank’s common stock. Our bank operations also include Dime Abstract LLC (“Dime Abstract”), a wholly-owned subsidiary of the Bank, which is a broker of title insurance services. As of September 30, 2025, we operated 62 branch locations throughout Long Island and the New York City boroughs of Brooklyn, Queens, Manhattan, the Bronx, Staten Island, and Westchester County. The Bank has received all requisite regulatory approvals to open a branch in Lakewood, New Jersey.</w:t>
      </w:r>
    </w:p>
    <w:p>
      <w:pPr>
        <w:spacing w:after="0" w:line="15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presented in this Quarterly Report on Form 10-Q include the collective results of the Company and its wholly-owned subsidiary, the Bank, which are collectively herein referred to as “we”, “us”, “our” and the “Company.”</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unaudited Consolidated Financial Statements included herein reflect all normal recurring adjustments that are, in the opinion of management, necessary for a fair presentation of the results for the interim periods presented. In preparing the interim financial statements, management has made estimates and assumptions that affect the reported amounts of assets and liabilities and disclosure of contingent assets and liabilities at the date of the financial statements and the reported amounts of revenue and expense during the reported periods. Such estimates are subject to change in the future as additional information becomes available or previously existing circumstances are modified. Actual future results could differ significantly from those estimates. The annualized results of operations for the three and nine months ended September 30, 2025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Certain reclassifications have been made to prior year amounts, and the related discussion and analysis, to conform to the current year presentation. These reclassifications did not have an impact on net income or total stockholders' equity. The unaudited Consolidated Financial Statements should be read in conjunction with the audited Consolidated Financial Statements and notes thereto included in the Company’s Annual Report on Form 10-K for the year ended December 31, 2024, which remain significantly unchanged and have been followed similarly as in prior periods.</w:t>
      </w:r>
    </w:p>
    <w:p>
      <w:pPr>
        <w:spacing w:after="0" w:line="201" w:lineRule="exact"/>
        <w:rPr>
          <w:sz w:val="20"/>
          <w:szCs w:val="20"/>
          <w:color w:val="auto"/>
        </w:rPr>
      </w:pPr>
    </w:p>
    <w:p>
      <w:pPr>
        <w:ind w:left="60" w:right="5339" w:hanging="10"/>
        <w:spacing w:after="0" w:line="532" w:lineRule="auto"/>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ACCOUNTING POLICIES Summary of Significant Accounting Policies</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necessary for a fair presentation of the Company’s financial condition as of September 30, 2025 and December 31, 2024, the results of operations and statements of comprehensive income for the three and nine months ended September 30, 2025 and 2024, the changes in stockholders’ equity for the three and nine months ended September 30, 2025 and 2024, and cash flows for the nine months ended September 30, 2025 and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Please see “Part I - Item 2. Management’s Discussion and Analysis of Financial Condition and Results of Operations - Critical Accounting Policies” for a discussion of areas in the accompanying unaudited condensed Consolidated Financial Statements utilizing significant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Adoption of Recent Accounting Standards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ASU 2023-07, Segment Reporting - Improvements to Reportable Segment Disclosures (Topic 280)</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Financial Accounting Standards Board (“FASB”) issued Accounting Standards Update (“ASU”) 2023-07 to improve reportable segment disclosures by requiring public business entities to disclose significant expense categories and amounts for each reportable segment, where significant expense categories are defined as those that are regularly reported to an entity’s chief operating decision-maker and included in a segment’s reported measures of profit or loss. ASU 2023-07 became effective for the Company for interim periods on January 1, 2025. The adoption of ASU 2023-07 did not have a material effect on the Company’s consolidated financial statements. For a further discussion please see Note 17 to the condensed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ASU No. 2023-09—Income Taxes (Topic 740)—Improvements to Income Tax Disclosures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2023-09—Income Taxes (Topic 740)—Improvements to Income Tax Disclosures, intended to enhance the transparency of income tax disclosures, primarily related to the rate reconciliation and income taxes paid information.</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ASU 2023-09 became effective for the Company on January 1, 2025 for annual reporting periods, on a prospective basis and is not anticipated to have a material effect on the Company’s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accumulated other comprehensive income (loss), net of tax, was as follows: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5"/>
        </w:trPr>
        <w:tc>
          <w:tcPr>
            <w:tcW w:w="5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(43,767)</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(7,499)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6,248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13,813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 during the period</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15,241</w:t>
            </w:r>
          </w:p>
        </w:tc>
        <w:tc>
          <w:tcPr>
            <w:tcW w:w="14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3,626</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(7,445)</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(28,526)</w:t>
            </w:r>
          </w:p>
        </w:tc>
        <w:tc>
          <w:tcPr>
            <w:tcW w:w="1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(3,873)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(1,197)</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(33,596)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(90,242)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(6,430)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21,940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during the period</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23,509</w:t>
            </w:r>
          </w:p>
        </w:tc>
        <w:tc>
          <w:tcPr>
            <w:tcW w:w="14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(66,733)</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(6,022)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before and after tax amounts allocated to each component of other comprehensive income (loss) are presented in the table below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securities: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gain during the period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25,135</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32,254</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net gain included in net gain on securities and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Accretion of net unrealized loss on securities transferred to held-to-maturity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Credit loss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2,100</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21,989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34,555</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6,748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11,046</w:t>
            </w:r>
          </w:p>
        </w:tc>
        <w:tc>
          <w:tcPr>
            <w:tcW w:w="0" w:type="dxa"/>
            <w:vAlign w:val="bottom"/>
          </w:tcPr>
          <w:p>
            <w:pPr>
              <w:spacing w:after="0"/>
              <w:rPr>
                <w:sz w:val="1"/>
                <w:szCs w:val="1"/>
                <w:color w:val="auto"/>
              </w:rPr>
            </w:pPr>
          </w:p>
        </w:tc>
      </w:tr>
      <w:tr>
        <w:trPr>
          <w:trHeight w:val="169"/>
        </w:trPr>
        <w:tc>
          <w:tcPr>
            <w:tcW w:w="5420" w:type="dxa"/>
            <w:vAlign w:val="bottom"/>
          </w:tcPr>
          <w:p>
            <w:pPr>
              <w:ind w:left="180"/>
              <w:spacing w:after="0" w:line="169" w:lineRule="exact"/>
              <w:rPr>
                <w:sz w:val="20"/>
                <w:szCs w:val="20"/>
                <w:color w:val="auto"/>
              </w:rPr>
            </w:pPr>
            <w:r>
              <w:rPr>
                <w:rFonts w:ascii="Times New Roman" w:cs="Times New Roman" w:eastAsia="Times New Roman" w:hAnsi="Times New Roman"/>
                <w:sz w:val="16"/>
                <w:szCs w:val="16"/>
                <w:color w:val="auto"/>
              </w:rPr>
              <w:t>Net change in unrealized gain on securities, net of reclassification adjustments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5,260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15,241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tax</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23,509</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and other postretirement obligations: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benefit (expense) included in other expense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the net actuarial gain</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96"/>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pension and other postretirement obligations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derivatives: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loss during the period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(15,483)</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expense included in interest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5,867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benefit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169"/>
        </w:trPr>
        <w:tc>
          <w:tcPr>
            <w:tcW w:w="542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Net change in unrealized loss on derivatives, net of reclassification adjustments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(1,080)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(7,445)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and tax</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0" w:type="dxa"/>
            <w:vAlign w:val="bottom"/>
          </w:tcPr>
          <w:p>
            <w:pPr>
              <w:spacing w:after="0"/>
              <w:rPr>
                <w:sz w:val="1"/>
                <w:szCs w:val="1"/>
                <w:color w:val="auto"/>
              </w:rPr>
            </w:pPr>
          </w:p>
        </w:tc>
      </w:tr>
      <w:tr>
        <w:trPr>
          <w:trHeight w:val="19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4,341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11,422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EARNINGS PER COMMON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In determining the weighted-average shares outstanding for basic and diluted EPS, treasury shares are excluded. Vested restricted stock award (“RSA”) shares are included in the calculation of the weighted-average shares outstanding for basic and diluted EPS. Unvested RSA and performance-based share awards (“PSA”) shares not yet awarded are recognized as a special class of participating securities under ASC 260, and are included in the calculation of the weighted-average shares outstanding for basic and diluted EPS. Basic and diluted EPS on common stock and the basic and diluted EPS on participating securities are the same.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numerators and denominators of basic and diluted EPS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25,849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73,361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Dividends paid and earnings allocated to participating securities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25,356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72,038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Weighted-average common shares outstanding, including participating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43,888,983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43,795,578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39,147,845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39,025,751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weighted-average participating securities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(836,085)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(784,659)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(708,528)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43,052,898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38,366,619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43,010,919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38,317,223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EPS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43,052,898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38,366,619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43,010,919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38,317,223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equivalent shares outstanding</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and equivalent shares outstanding</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43,052,898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38,366,619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43,010,919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38,317,223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EPS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Common and equivalent shares resulting from the dilutive effect of “in-the-money” outstanding stock options are calculated based upon the excess of the average market value of the common stock over the exercise price of outstanding in-the-money stock options during the period.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were 26,995 weighted-average stock options outstanding for the three and nine months ended September 30, 2025 and 2024, which were not considered in the calculation of diluted EPS since their exercise prices exceeded the average market price during the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PREFERRED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Dime Community Bancshares, Inc. has 5,299,200 shares currently outstanding, or $132.5 million in aggregate liquidation preference, of its 5.50% Fixed-Rate Non-Cumulative Perpetual Preferred Stock, Series A, par value $0.01 per share, with a liquidation preference of $25.00 per share (the “Preferred Stock”).</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2025, or within 90 days following a regulatory capital treatment event, as described in the prospectus supplement and accompanying prospectus relating to the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major categories of securities as of the dates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8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6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10,000</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(178)</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9,822</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148,152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1,142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(5,158)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(2,100)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142,036</w:t>
            </w:r>
          </w:p>
        </w:tc>
        <w:tc>
          <w:tcPr>
            <w:tcW w:w="0" w:type="dxa"/>
            <w:vAlign w:val="bottom"/>
          </w:tcPr>
          <w:p>
            <w:pPr>
              <w:spacing w:after="0"/>
              <w:rPr>
                <w:sz w:val="1"/>
                <w:szCs w:val="1"/>
                <w:color w:val="auto"/>
              </w:rPr>
            </w:pPr>
          </w:p>
        </w:tc>
      </w:tr>
      <w:tr>
        <w:trPr>
          <w:trHeight w:val="126"/>
        </w:trPr>
        <w:tc>
          <w:tcPr>
            <w:tcW w:w="42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Pass-through mortgage-backed securities ("MBS") issued by</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273,812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3,742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(691)</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276,863</w:t>
            </w:r>
          </w:p>
        </w:tc>
        <w:tc>
          <w:tcPr>
            <w:tcW w:w="0" w:type="dxa"/>
            <w:vAlign w:val="bottom"/>
          </w:tcPr>
          <w:p>
            <w:pPr>
              <w:spacing w:after="0"/>
              <w:rPr>
                <w:sz w:val="1"/>
                <w:szCs w:val="1"/>
                <w:color w:val="auto"/>
              </w:rPr>
            </w:pPr>
          </w:p>
        </w:tc>
      </w:tr>
      <w:tr>
        <w:trPr>
          <w:trHeight w:val="171"/>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government sponsored entities ("GSEs")</w:t>
            </w: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233,506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(22,403)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211,867</w:t>
            </w: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22,972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(894)</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22,079</w:t>
            </w: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688,442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5,649</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(29,324)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662,667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thousands)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Securities held-to-maturity:</w:t>
      </w:r>
    </w:p>
    <w:p>
      <w:pPr>
        <w:ind w:left="160"/>
        <w:spacing w:after="0" w:line="221" w:lineRule="auto"/>
        <w:rPr>
          <w:sz w:val="20"/>
          <w:szCs w:val="20"/>
          <w:color w:val="auto"/>
        </w:rPr>
      </w:pPr>
      <w:r>
        <w:rPr>
          <w:rFonts w:ascii="Times New Roman" w:cs="Times New Roman" w:eastAsia="Times New Roman" w:hAnsi="Times New Roman"/>
          <w:sz w:val="14"/>
          <w:szCs w:val="14"/>
          <w:color w:val="auto"/>
        </w:rPr>
        <w:t>Agency notes</w:t>
      </w:r>
    </w:p>
    <w:p>
      <w:pPr>
        <w:ind w:left="160"/>
        <w:spacing w:after="0" w:line="221" w:lineRule="auto"/>
        <w:rPr>
          <w:sz w:val="20"/>
          <w:szCs w:val="20"/>
          <w:color w:val="auto"/>
        </w:rPr>
      </w:pPr>
      <w:r>
        <w:rPr>
          <w:rFonts w:ascii="Times New Roman" w:cs="Times New Roman" w:eastAsia="Times New Roman" w:hAnsi="Times New Roman"/>
          <w:sz w:val="14"/>
          <w:szCs w:val="14"/>
          <w:color w:val="auto"/>
        </w:rPr>
        <w:t>Corporate securities</w:t>
      </w:r>
    </w:p>
    <w:p>
      <w:pPr>
        <w:ind w:left="160"/>
        <w:spacing w:after="0" w:line="222" w:lineRule="auto"/>
        <w:rPr>
          <w:sz w:val="20"/>
          <w:szCs w:val="20"/>
          <w:color w:val="auto"/>
        </w:rPr>
      </w:pPr>
      <w:r>
        <w:rPr>
          <w:rFonts w:ascii="Times New Roman" w:cs="Times New Roman" w:eastAsia="Times New Roman" w:hAnsi="Times New Roman"/>
          <w:sz w:val="14"/>
          <w:szCs w:val="14"/>
          <w:color w:val="auto"/>
        </w:rPr>
        <w:t>Pass-through MBS issued by GSEs</w:t>
      </w:r>
    </w:p>
    <w:p>
      <w:pPr>
        <w:ind w:left="160"/>
        <w:spacing w:after="0"/>
        <w:rPr>
          <w:sz w:val="20"/>
          <w:szCs w:val="20"/>
          <w:color w:val="auto"/>
        </w:rPr>
      </w:pPr>
      <w:r>
        <w:rPr>
          <w:rFonts w:ascii="Times New Roman" w:cs="Times New Roman" w:eastAsia="Times New Roman" w:hAnsi="Times New Roman"/>
          <w:sz w:val="14"/>
          <w:szCs w:val="14"/>
          <w:color w:val="auto"/>
        </w:rPr>
        <w:t>Agency CMOs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securities held-to-maturity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thousands)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Securities available-for-sale:</w:t>
      </w:r>
    </w:p>
    <w:p>
      <w:pPr>
        <w:ind w:left="160"/>
        <w:spacing w:after="0" w:line="221" w:lineRule="auto"/>
        <w:rPr>
          <w:sz w:val="20"/>
          <w:szCs w:val="20"/>
          <w:color w:val="auto"/>
        </w:rPr>
      </w:pPr>
      <w:r>
        <w:rPr>
          <w:rFonts w:ascii="Times New Roman" w:cs="Times New Roman" w:eastAsia="Times New Roman" w:hAnsi="Times New Roman"/>
          <w:sz w:val="14"/>
          <w:szCs w:val="14"/>
          <w:color w:val="auto"/>
        </w:rPr>
        <w:t>Agency notes</w:t>
      </w:r>
    </w:p>
    <w:p>
      <w:pPr>
        <w:ind w:left="160"/>
        <w:spacing w:after="0" w:line="221" w:lineRule="auto"/>
        <w:rPr>
          <w:sz w:val="20"/>
          <w:szCs w:val="20"/>
          <w:color w:val="auto"/>
        </w:rPr>
      </w:pPr>
      <w:r>
        <w:rPr>
          <w:rFonts w:ascii="Times New Roman" w:cs="Times New Roman" w:eastAsia="Times New Roman" w:hAnsi="Times New Roman"/>
          <w:sz w:val="14"/>
          <w:szCs w:val="14"/>
          <w:color w:val="auto"/>
        </w:rPr>
        <w:t>Corporate securities</w:t>
      </w:r>
    </w:p>
    <w:p>
      <w:pPr>
        <w:ind w:left="160"/>
        <w:spacing w:after="0" w:line="222" w:lineRule="auto"/>
        <w:rPr>
          <w:sz w:val="20"/>
          <w:szCs w:val="20"/>
          <w:color w:val="auto"/>
        </w:rPr>
      </w:pPr>
      <w:r>
        <w:rPr>
          <w:rFonts w:ascii="Times New Roman" w:cs="Times New Roman" w:eastAsia="Times New Roman" w:hAnsi="Times New Roman"/>
          <w:sz w:val="14"/>
          <w:szCs w:val="14"/>
          <w:color w:val="auto"/>
        </w:rPr>
        <w:t>Pass-through MBS issued by GSEs</w:t>
      </w:r>
    </w:p>
    <w:p>
      <w:pPr>
        <w:ind w:left="160"/>
        <w:spacing w:after="0" w:line="221" w:lineRule="auto"/>
        <w:rPr>
          <w:sz w:val="20"/>
          <w:szCs w:val="20"/>
          <w:color w:val="auto"/>
        </w:rPr>
      </w:pPr>
      <w:r>
        <w:rPr>
          <w:rFonts w:ascii="Times New Roman" w:cs="Times New Roman" w:eastAsia="Times New Roman" w:hAnsi="Times New Roman"/>
          <w:sz w:val="14"/>
          <w:szCs w:val="14"/>
          <w:color w:val="auto"/>
        </w:rPr>
        <w:t>Agency CMOs</w:t>
      </w:r>
    </w:p>
    <w:p>
      <w:pPr>
        <w:ind w:left="160"/>
        <w:spacing w:after="0"/>
        <w:rPr>
          <w:sz w:val="20"/>
          <w:szCs w:val="20"/>
          <w:color w:val="auto"/>
        </w:rPr>
      </w:pPr>
      <w:r>
        <w:rPr>
          <w:rFonts w:ascii="Times New Roman" w:cs="Times New Roman" w:eastAsia="Times New Roman" w:hAnsi="Times New Roman"/>
          <w:sz w:val="14"/>
          <w:szCs w:val="14"/>
          <w:color w:val="auto"/>
        </w:rPr>
        <w:t>State and municipal obligations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securities available-for-sale</w:t>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6"/>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90,294</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(7,093)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83,201</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(430)</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12,830</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286,080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(32,706)</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253,660</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233,720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(23,340)</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210,762</w:t>
            </w:r>
          </w:p>
        </w:tc>
        <w:tc>
          <w:tcPr>
            <w:tcW w:w="0" w:type="dxa"/>
            <w:vAlign w:val="bottom"/>
          </w:tcPr>
          <w:p>
            <w:pPr>
              <w:spacing w:after="0"/>
              <w:rPr>
                <w:sz w:val="1"/>
                <w:szCs w:val="1"/>
                <w:color w:val="auto"/>
              </w:rPr>
            </w:pPr>
          </w:p>
        </w:tc>
      </w:tr>
      <w:tr>
        <w:trPr>
          <w:trHeight w:val="142"/>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623,094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(63,569)</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560,453</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7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8"/>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(10,778)</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163,949</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300,221</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(28,442)</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191,888</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(1,517)</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25,028</w:t>
            </w:r>
          </w:p>
        </w:tc>
        <w:tc>
          <w:tcPr>
            <w:tcW w:w="0" w:type="dxa"/>
            <w:vAlign w:val="bottom"/>
          </w:tcPr>
          <w:p>
            <w:pPr>
              <w:spacing w:after="0"/>
              <w:rPr>
                <w:sz w:val="1"/>
                <w:szCs w:val="1"/>
                <w:color w:val="auto"/>
              </w:rPr>
            </w:pPr>
          </w:p>
        </w:tc>
      </w:tr>
      <w:tr>
        <w:trPr>
          <w:trHeight w:val="142"/>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734,134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(44,242)</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690,693</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-1653540</wp:posOffset>
            </wp:positionV>
            <wp:extent cx="564896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9461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-1464945</wp:posOffset>
            </wp:positionV>
            <wp:extent cx="564896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-1851025</wp:posOffset>
            </wp:positionV>
            <wp:extent cx="564896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0287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-504825</wp:posOffset>
            </wp:positionV>
            <wp:extent cx="5648960"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-316230</wp:posOffset>
            </wp:positionV>
            <wp:extent cx="5648960"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-127635</wp:posOffset>
            </wp:positionV>
            <wp:extent cx="5648960"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-702310</wp:posOffset>
            </wp:positionV>
            <wp:extent cx="564896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12" w:lineRule="exact"/>
        <w:rPr>
          <w:sz w:val="20"/>
          <w:szCs w:val="20"/>
          <w:color w:val="auto"/>
        </w:rPr>
      </w:pPr>
    </w:p>
    <w:p>
      <w:pPr>
        <w:sectPr>
          <w:pgSz w:w="11900" w:h="16838" w:orient="portrait"/>
          <w:cols w:equalWidth="0" w:num="2">
            <w:col w:w="4100" w:space="720"/>
            <w:col w:w="419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31"/>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89,977</w:t>
            </w:r>
          </w:p>
        </w:tc>
        <w:tc>
          <w:tcPr>
            <w:tcW w:w="16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(10,961)</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79,016</w:t>
            </w: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12,285</w:t>
            </w: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298,697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(43,716)</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254,981</w:t>
            </w: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 CMOs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235,665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(29,699)</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205,995</w:t>
            </w:r>
          </w:p>
        </w:tc>
        <w:tc>
          <w:tcPr>
            <w:tcW w:w="0" w:type="dxa"/>
            <w:vAlign w:val="bottom"/>
          </w:tcPr>
          <w:p>
            <w:pPr>
              <w:spacing w:after="0"/>
              <w:rPr>
                <w:sz w:val="1"/>
                <w:szCs w:val="1"/>
                <w:color w:val="auto"/>
              </w:rPr>
            </w:pPr>
          </w:p>
        </w:tc>
      </w:tr>
      <w:tr>
        <w:trPr>
          <w:trHeight w:val="142"/>
        </w:trPr>
        <w:tc>
          <w:tcPr>
            <w:tcW w:w="47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637,339</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(85,231)</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552,277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or nine months ended September 30, 2025 and 2024,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carrying value of securities pledged at September 30, 2025 and December 31, 2024 was $562.6 million and $622.7 million,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30, 2025 and December 31, 2024, there were no holdings of securities of any one issuer, other than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Government and its agencies, in an amount greater than 10% of stockholders' equity.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17"/>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0"/>
                <w:szCs w:val="10"/>
                <w:color w:val="auto"/>
              </w:rPr>
            </w:pPr>
          </w:p>
        </w:tc>
        <w:tc>
          <w:tcPr>
            <w:tcW w:w="12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940" w:type="dxa"/>
            <w:vAlign w:val="bottom"/>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6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0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8,711</w:t>
            </w:r>
          </w:p>
        </w:tc>
        <w:tc>
          <w:tcPr>
            <w:tcW w:w="22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8,686</w:t>
            </w: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53,090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49,230</w:t>
            </w: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113,323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109,991</w:t>
            </w:r>
          </w:p>
        </w:tc>
        <w:tc>
          <w:tcPr>
            <w:tcW w:w="0" w:type="dxa"/>
            <w:vAlign w:val="bottom"/>
          </w:tcPr>
          <w:p>
            <w:pPr>
              <w:spacing w:after="0"/>
              <w:rPr>
                <w:sz w:val="1"/>
                <w:szCs w:val="1"/>
                <w:color w:val="auto"/>
              </w:rPr>
            </w:pPr>
          </w:p>
        </w:tc>
      </w:tr>
      <w:tr>
        <w:trPr>
          <w:trHeight w:val="149"/>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6,030</w:t>
            </w:r>
          </w:p>
        </w:tc>
        <w:tc>
          <w:tcPr>
            <w:tcW w:w="0" w:type="dxa"/>
            <w:vAlign w:val="bottom"/>
          </w:tcPr>
          <w:p>
            <w:pPr>
              <w:spacing w:after="0"/>
              <w:rPr>
                <w:sz w:val="1"/>
                <w:szCs w:val="1"/>
                <w:color w:val="auto"/>
              </w:rPr>
            </w:pPr>
          </w:p>
        </w:tc>
      </w:tr>
      <w:tr>
        <w:trPr>
          <w:trHeight w:val="148"/>
        </w:trPr>
        <w:tc>
          <w:tcPr>
            <w:tcW w:w="63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 and agency CMOs</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507,318</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488,730</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688,442</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662,667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32,654</w:t>
            </w: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68,759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63,377</w:t>
            </w: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 and agency CMOs</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519,800</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464,422</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623,094</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560,453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information related to sales of securities available-for-sale as of the periods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5"/>
                <w:szCs w:val="15"/>
                <w:color w:val="auto"/>
              </w:rPr>
            </w:pPr>
          </w:p>
        </w:tc>
        <w:tc>
          <w:tcPr>
            <w:tcW w:w="196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Securities available-for-sale</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14,005</w:t>
            </w:r>
          </w:p>
        </w:tc>
        <w:tc>
          <w:tcPr>
            <w:tcW w:w="18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38,842</w:t>
            </w:r>
          </w:p>
        </w:tc>
        <w:tc>
          <w:tcPr>
            <w:tcW w:w="18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Gross gains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Tax expense on gains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Gross losses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Tax benefit on losses</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sales of securities held-to-maturity during the three or nine months ended September 30, 2025 and 2024,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gross unrealized losses and fair value of securities available-for-sale aggregated by investment category and the length of time the securities were in a continuous unrealized loss position as of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83"/>
        </w:trPr>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18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2"/>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18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spacing w:after="0"/>
              <w:rPr>
                <w:sz w:val="18"/>
                <w:szCs w:val="18"/>
                <w:color w:val="auto"/>
              </w:rPr>
            </w:pPr>
          </w:p>
        </w:tc>
      </w:tr>
      <w:tr>
        <w:trPr>
          <w:trHeight w:val="186"/>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6"/>
                <w:szCs w:val="16"/>
                <w:color w:val="auto"/>
              </w:rPr>
            </w:pPr>
          </w:p>
        </w:tc>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90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199"/>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Agency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9,822</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9,822</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r>
      <w:tr>
        <w:trPr>
          <w:trHeight w:val="20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75,143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91,046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5,158</w:t>
            </w:r>
          </w:p>
        </w:tc>
      </w:tr>
      <w:tr>
        <w:trPr>
          <w:trHeight w:val="203"/>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691</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12,225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691</w:t>
            </w:r>
          </w:p>
        </w:tc>
      </w:tr>
      <w:tr>
        <w:trPr>
          <w:trHeight w:val="20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Agency CMOs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142,672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22,402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145,716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22,403</w:t>
            </w:r>
          </w:p>
        </w:tc>
      </w:tr>
      <w:tr>
        <w:trPr>
          <w:trHeight w:val="212"/>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894</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83"/>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160" w:type="dxa"/>
            <w:vAlign w:val="bottom"/>
          </w:tcPr>
          <w:p>
            <w:pPr>
              <w:spacing w:after="0"/>
              <w:rPr>
                <w:sz w:val="15"/>
                <w:szCs w:val="15"/>
                <w:color w:val="auto"/>
              </w:rPr>
            </w:pPr>
          </w:p>
        </w:tc>
        <w:tc>
          <w:tcPr>
            <w:tcW w:w="17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5"/>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160" w:type="dxa"/>
            <w:vAlign w:val="bottom"/>
          </w:tcPr>
          <w:p>
            <w:pPr>
              <w:spacing w:after="0"/>
              <w:rPr>
                <w:sz w:val="18"/>
                <w:szCs w:val="18"/>
                <w:color w:val="auto"/>
              </w:rPr>
            </w:pPr>
          </w:p>
        </w:tc>
        <w:tc>
          <w:tcPr>
            <w:tcW w:w="17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160" w:type="dxa"/>
            <w:vAlign w:val="bottom"/>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Borders>
              <w:bottom w:val="single" w:sz="8" w:color="auto"/>
            </w:tcBorders>
          </w:tcPr>
          <w:p>
            <w:pPr>
              <w:spacing w:after="0"/>
              <w:rPr>
                <w:sz w:val="18"/>
                <w:szCs w:val="18"/>
                <w:color w:val="auto"/>
              </w:rPr>
            </w:pPr>
          </w:p>
        </w:tc>
      </w:tr>
      <w:tr>
        <w:trPr>
          <w:trHeight w:val="183"/>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5"/>
                <w:szCs w:val="15"/>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5"/>
                <w:szCs w:val="15"/>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0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9,607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9,607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3"/>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144,049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w:t>
            </w:r>
          </w:p>
        </w:tc>
      </w:tr>
      <w:tr>
        <w:trPr>
          <w:trHeight w:val="203"/>
        </w:trPr>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295,214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r>
      <w:tr>
        <w:trPr>
          <w:trHeight w:val="203"/>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186,871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28,442</w:t>
            </w:r>
          </w:p>
        </w:tc>
      </w:tr>
      <w:tr>
        <w:trPr>
          <w:trHeight w:val="210"/>
        </w:trPr>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r>
    </w:tbl>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September 30, 2025, the Company recorded a $2.1 million allowance for credit losses on one available-for-sale corporate security due to the issuer’s non-compliance with certain financial covenants, which was considered a credit deterioration event. Given the high-quality composition of the Company’s held-to-maturity portfolio, the Company did not record an allowance for credit losses on the held-to-maturity portfolio.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totaling $5.3 million and $5.7 million at September 30, 2025 and December 31, 2024, respectively, was included in other assets in the Consolidated Statements of Financial Condition and excluded from the amortized cost and estimated fair value totals in the table above.</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evaluates available-for-sale debt securities in unrealized loss positions to determine whether the impairment is due to credit-related factors or noncredit-related factors. Consideration is given to (1) the extent to which the fair value is less than amortized cost, (2) the financial condition and near-term prospects of the issuer, and (3) the intent and ability of the Company to retain its investment in the security for a period of time sufficient to allow for any anticipated recovery in fair value.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September 30, 2025,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GSEs, Agency Collateralized Mortgage Obligations. None of the unrealized losses are related to credit quality of the issuer. A majority of the state and municipal obligations within the portfolio have all maintained an investment grade rating by either Moody’s or Standard and Poor’s. The Company does not have the intent to sell these securities and it is more likely than not that it will not be required to sell the securities before their anticipated recovery. The issuers continue to make timely principal and interest payments on the debt. The fair value is expected to recover as the securities approach maturity.</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allowance for credit losses for corporate securities available-for-sale for the three and nine months ended September 30, 2025 and 2024:</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256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1,800</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3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LOANS HELD FOR INVESTMENT,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loan categories for the period ended as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61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6"/>
                <w:szCs w:val="16"/>
                <w:color w:val="auto"/>
                <w:vertAlign w:val="superscript"/>
              </w:rPr>
              <w:t>(1)</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3,062,622</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r>
      <w:tr>
        <w:trPr>
          <w:trHeight w:val="148"/>
        </w:trPr>
        <w:tc>
          <w:tcPr>
            <w:tcW w:w="6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1,030,823</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951,528</w:t>
            </w:r>
          </w:p>
        </w:tc>
      </w:tr>
      <w:tr>
        <w:trPr>
          <w:trHeight w:val="148"/>
        </w:trPr>
        <w:tc>
          <w:tcPr>
            <w:tcW w:w="63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3,509,794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3,820,283</w:t>
            </w:r>
          </w:p>
        </w:tc>
      </w:tr>
      <w:tr>
        <w:trPr>
          <w:trHeight w:val="148"/>
        </w:trPr>
        <w:tc>
          <w:tcPr>
            <w:tcW w:w="6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2,975,264</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3,230,535</w:t>
            </w:r>
          </w:p>
        </w:tc>
      </w:tr>
      <w:tr>
        <w:trPr>
          <w:trHeight w:val="148"/>
        </w:trPr>
        <w:tc>
          <w:tcPr>
            <w:tcW w:w="63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 development, and construction ("ADC")</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139,145</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r>
      <w:tr>
        <w:trPr>
          <w:trHeight w:val="149"/>
        </w:trPr>
        <w:tc>
          <w:tcPr>
            <w:tcW w:w="630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7,621</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r>
      <w:tr>
        <w:trPr>
          <w:trHeight w:val="142"/>
        </w:trPr>
        <w:tc>
          <w:tcPr>
            <w:tcW w:w="63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10,725,269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10,869,328</w:t>
            </w:r>
          </w:p>
        </w:tc>
      </w:tr>
      <w:tr>
        <w:trPr>
          <w:trHeight w:val="148"/>
        </w:trPr>
        <w:tc>
          <w:tcPr>
            <w:tcW w:w="630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Fair value hedge basis point adjustments </w:t>
            </w:r>
            <w:r>
              <w:rPr>
                <w:rFonts w:ascii="Times New Roman" w:cs="Times New Roman" w:eastAsia="Times New Roman" w:hAnsi="Times New Roman"/>
                <w:sz w:val="17"/>
                <w:szCs w:val="17"/>
                <w:color w:val="auto"/>
                <w:vertAlign w:val="superscript"/>
              </w:rPr>
              <w:t>(2)</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w:t>
            </w:r>
          </w:p>
        </w:tc>
      </w:tr>
      <w:tr>
        <w:trPr>
          <w:trHeight w:val="142"/>
        </w:trPr>
        <w:tc>
          <w:tcPr>
            <w:tcW w:w="63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loans, net of fair value hedge basis point adjustments</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10,725,674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10,871,943</w:t>
            </w:r>
          </w:p>
        </w:tc>
      </w:tr>
      <w:tr>
        <w:trPr>
          <w:trHeight w:val="148"/>
        </w:trPr>
        <w:tc>
          <w:tcPr>
            <w:tcW w:w="6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3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(94,061)</w:t>
            </w: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(88,751)</w:t>
            </w:r>
          </w:p>
        </w:tc>
      </w:tr>
      <w:tr>
        <w:trPr>
          <w:trHeight w:val="142"/>
        </w:trPr>
        <w:tc>
          <w:tcPr>
            <w:tcW w:w="6300" w:type="dxa"/>
            <w:vAlign w:val="bottom"/>
            <w:tcBorders>
              <w:top w:val="single" w:sz="8" w:color="CCEEFF"/>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Loans held for investment, net</w:t>
            </w: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10,631,613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r>
      <w:tr>
        <w:trPr>
          <w:trHeight w:val="20"/>
        </w:trPr>
        <w:tc>
          <w:tcPr>
            <w:tcW w:w="2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81" w:lineRule="exact"/>
        <w:rPr>
          <w:sz w:val="20"/>
          <w:szCs w:val="20"/>
          <w:color w:val="auto"/>
        </w:rPr>
      </w:pPr>
    </w:p>
    <w:p>
      <w:pPr>
        <w:ind w:left="380" w:right="79" w:hanging="330"/>
        <w:spacing w:after="0" w:line="215" w:lineRule="auto"/>
        <w:tabs>
          <w:tab w:leader="none" w:pos="38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Business loans include commercial and industrial loans (“C&amp;I loans”), owner-occupied commercial real estate loans and SBA Paycheck Protection Program (“PPP”) loans.</w:t>
      </w:r>
    </w:p>
    <w:p>
      <w:pPr>
        <w:ind w:left="380" w:right="79" w:hanging="330"/>
        <w:spacing w:after="0" w:line="211" w:lineRule="auto"/>
        <w:tabs>
          <w:tab w:leader="none" w:pos="38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31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data regarding the allowance for credit losses activity on loans held for investment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17"/>
          </w:tcPr>
          <w:p>
            <w:pPr>
              <w:ind w:left="520"/>
              <w:spacing w:after="0"/>
              <w:rPr>
                <w:sz w:val="20"/>
                <w:szCs w:val="20"/>
                <w:color w:val="auto"/>
              </w:rPr>
            </w:pPr>
            <w:r>
              <w:rPr>
                <w:rFonts w:ascii="Times New Roman" w:cs="Times New Roman" w:eastAsia="Times New Roman" w:hAnsi="Times New Roman"/>
                <w:sz w:val="14"/>
                <w:szCs w:val="14"/>
                <w:b w:val="1"/>
                <w:bCs w:val="1"/>
                <w:color w:val="auto"/>
              </w:rPr>
              <w:t>At or for the Three Months Ended September 30, 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4"/>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90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Multifamily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Family</w:t>
            </w:r>
          </w:p>
        </w:tc>
        <w:tc>
          <w:tcPr>
            <w:tcW w:w="4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10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Coop/ Condo</w:t>
            </w:r>
          </w:p>
        </w:tc>
        <w:tc>
          <w:tcPr>
            <w:tcW w:w="4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ADC</w:t>
            </w:r>
          </w:p>
        </w:tc>
        <w:tc>
          <w:tcPr>
            <w:tcW w:w="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4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42,965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9,567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24,326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$ 2,380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93,189</w:t>
            </w:r>
          </w:p>
        </w:tc>
        <w:tc>
          <w:tcPr>
            <w:tcW w:w="0" w:type="dxa"/>
            <w:vAlign w:val="bottom"/>
          </w:tcPr>
          <w:p>
            <w:pPr>
              <w:spacing w:after="0"/>
              <w:rPr>
                <w:sz w:val="1"/>
                <w:szCs w:val="1"/>
                <w:color w:val="auto"/>
              </w:rPr>
            </w:pPr>
          </w:p>
        </w:tc>
      </w:tr>
      <w:tr>
        <w:trPr>
          <w:trHeight w:val="148"/>
        </w:trPr>
        <w:tc>
          <w:tcPr>
            <w:tcW w:w="2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6,053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(747)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7,990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(386)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13,458</w:t>
            </w:r>
          </w:p>
        </w:tc>
        <w:tc>
          <w:tcPr>
            <w:tcW w:w="0" w:type="dxa"/>
            <w:vAlign w:val="bottom"/>
          </w:tcPr>
          <w:p>
            <w:pPr>
              <w:spacing w:after="0"/>
              <w:rPr>
                <w:sz w:val="1"/>
                <w:szCs w:val="1"/>
                <w:color w:val="auto"/>
              </w:rPr>
            </w:pPr>
          </w:p>
        </w:tc>
      </w:tr>
      <w:tr>
        <w:trPr>
          <w:trHeight w:val="148"/>
        </w:trPr>
        <w:tc>
          <w:tcPr>
            <w:tcW w:w="2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(1,883)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(69)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(10,992)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(12,957)</w:t>
            </w:r>
          </w:p>
        </w:tc>
        <w:tc>
          <w:tcPr>
            <w:tcW w:w="0" w:type="dxa"/>
            <w:vAlign w:val="bottom"/>
          </w:tcPr>
          <w:p>
            <w:pPr>
              <w:spacing w:after="0"/>
              <w:rPr>
                <w:sz w:val="1"/>
                <w:szCs w:val="1"/>
                <w:color w:val="auto"/>
              </w:rPr>
            </w:pPr>
          </w:p>
        </w:tc>
      </w:tr>
      <w:tr>
        <w:trPr>
          <w:trHeight w:val="149"/>
        </w:trPr>
        <w:tc>
          <w:tcPr>
            <w:tcW w:w="2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371</w:t>
            </w:r>
          </w:p>
        </w:tc>
        <w:tc>
          <w:tcPr>
            <w:tcW w:w="0" w:type="dxa"/>
            <w:vAlign w:val="bottom"/>
          </w:tcPr>
          <w:p>
            <w:pPr>
              <w:spacing w:after="0"/>
              <w:rPr>
                <w:sz w:val="1"/>
                <w:szCs w:val="1"/>
                <w:color w:val="auto"/>
              </w:rPr>
            </w:pPr>
          </w:p>
        </w:tc>
      </w:tr>
      <w:tr>
        <w:trPr>
          <w:trHeight w:val="142"/>
        </w:trPr>
        <w:tc>
          <w:tcPr>
            <w:tcW w:w="2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47,502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$ 1,994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94,061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7"/>
          </w:tcPr>
          <w:p>
            <w:pPr>
              <w:ind w:left="520"/>
              <w:spacing w:after="0"/>
              <w:rPr>
                <w:sz w:val="20"/>
                <w:szCs w:val="20"/>
                <w:color w:val="auto"/>
              </w:rPr>
            </w:pPr>
            <w:r>
              <w:rPr>
                <w:rFonts w:ascii="Times New Roman" w:cs="Times New Roman" w:eastAsia="Times New Roman" w:hAnsi="Times New Roman"/>
                <w:sz w:val="14"/>
                <w:szCs w:val="14"/>
                <w:b w:val="1"/>
                <w:bCs w:val="1"/>
                <w:color w:val="auto"/>
              </w:rPr>
              <w:t>At or for the Three Months Ended September 30,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40" w:type="dxa"/>
            <w:vAlign w:val="bottom"/>
          </w:tcPr>
          <w:p>
            <w:pPr>
              <w:spacing w:after="0"/>
              <w:rPr>
                <w:sz w:val="10"/>
                <w:szCs w:val="10"/>
                <w:color w:val="auto"/>
              </w:rPr>
            </w:pPr>
          </w:p>
        </w:tc>
        <w:tc>
          <w:tcPr>
            <w:tcW w:w="8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Multifamily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5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Coop/ Condo</w:t>
            </w: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2"/>
                <w:szCs w:val="12"/>
                <w:color w:val="auto"/>
              </w:rPr>
            </w:pPr>
          </w:p>
        </w:tc>
        <w:tc>
          <w:tcPr>
            <w:tcW w:w="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ADC</w:t>
            </w:r>
          </w:p>
        </w:tc>
        <w:tc>
          <w:tcPr>
            <w:tcW w:w="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40" w:type="dxa"/>
            <w:vAlign w:val="bottom"/>
          </w:tcPr>
          <w:p>
            <w:pPr>
              <w:spacing w:after="0"/>
              <w:rPr>
                <w:sz w:val="15"/>
                <w:szCs w:val="15"/>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37,115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$ 2,455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77,812</w:t>
            </w:r>
          </w:p>
        </w:tc>
        <w:tc>
          <w:tcPr>
            <w:tcW w:w="0" w:type="dxa"/>
            <w:vAlign w:val="bottom"/>
          </w:tcPr>
          <w:p>
            <w:pPr>
              <w:spacing w:after="0"/>
              <w:rPr>
                <w:sz w:val="1"/>
                <w:szCs w:val="1"/>
                <w:color w:val="auto"/>
              </w:rPr>
            </w:pPr>
          </w:p>
        </w:tc>
      </w:tr>
      <w:tr>
        <w:trPr>
          <w:trHeight w:val="149"/>
        </w:trPr>
        <w:tc>
          <w:tcPr>
            <w:tcW w:w="2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(1,942)</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11,608</w:t>
            </w:r>
          </w:p>
        </w:tc>
        <w:tc>
          <w:tcPr>
            <w:tcW w:w="0" w:type="dxa"/>
            <w:vAlign w:val="bottom"/>
          </w:tcPr>
          <w:p>
            <w:pPr>
              <w:spacing w:after="0"/>
              <w:rPr>
                <w:sz w:val="1"/>
                <w:szCs w:val="1"/>
                <w:color w:val="auto"/>
              </w:rPr>
            </w:pPr>
          </w:p>
        </w:tc>
      </w:tr>
      <w:tr>
        <w:trPr>
          <w:trHeight w:val="148"/>
        </w:trPr>
        <w:tc>
          <w:tcPr>
            <w:tcW w:w="2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0" w:type="dxa"/>
            <w:vAlign w:val="bottom"/>
          </w:tcPr>
          <w:p>
            <w:pPr>
              <w:spacing w:after="0"/>
              <w:rPr>
                <w:sz w:val="12"/>
                <w:szCs w:val="12"/>
                <w:color w:val="auto"/>
              </w:rPr>
            </w:pP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(4,494)</w:t>
            </w:r>
          </w:p>
        </w:tc>
        <w:tc>
          <w:tcPr>
            <w:tcW w:w="0" w:type="dxa"/>
            <w:vAlign w:val="bottom"/>
          </w:tcPr>
          <w:p>
            <w:pPr>
              <w:spacing w:after="0"/>
              <w:rPr>
                <w:sz w:val="1"/>
                <w:szCs w:val="1"/>
                <w:color w:val="auto"/>
              </w:rPr>
            </w:pPr>
          </w:p>
        </w:tc>
      </w:tr>
      <w:tr>
        <w:trPr>
          <w:trHeight w:val="148"/>
        </w:trPr>
        <w:tc>
          <w:tcPr>
            <w:tcW w:w="2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2"/>
        </w:trPr>
        <w:tc>
          <w:tcPr>
            <w:tcW w:w="2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45,026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8,646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12,503</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16,302</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$ 2,521</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85,221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1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At or for the Nine Months Ended September 30, 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4"/>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90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Multifamily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Family</w:t>
            </w:r>
          </w:p>
        </w:tc>
        <w:tc>
          <w:tcPr>
            <w:tcW w:w="4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10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Coop/ Condo</w:t>
            </w:r>
          </w:p>
        </w:tc>
        <w:tc>
          <w:tcPr>
            <w:tcW w:w="4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2"/>
                <w:szCs w:val="12"/>
                <w:color w:val="auto"/>
              </w:rPr>
            </w:pPr>
          </w:p>
        </w:tc>
        <w:tc>
          <w:tcPr>
            <w:tcW w:w="6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ADC</w:t>
            </w:r>
          </w:p>
        </w:tc>
        <w:tc>
          <w:tcPr>
            <w:tcW w:w="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4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42,898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9,501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11,946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21,876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$ 2,323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88,751</w:t>
            </w:r>
          </w:p>
        </w:tc>
        <w:tc>
          <w:tcPr>
            <w:tcW w:w="0" w:type="dxa"/>
            <w:vAlign w:val="bottom"/>
          </w:tcPr>
          <w:p>
            <w:pPr>
              <w:spacing w:after="0"/>
              <w:rPr>
                <w:sz w:val="1"/>
                <w:szCs w:val="1"/>
                <w:color w:val="auto"/>
              </w:rPr>
            </w:pPr>
          </w:p>
        </w:tc>
      </w:tr>
      <w:tr>
        <w:trPr>
          <w:trHeight w:val="148"/>
        </w:trPr>
        <w:tc>
          <w:tcPr>
            <w:tcW w:w="2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11,018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17,938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(329)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30,359</w:t>
            </w:r>
          </w:p>
        </w:tc>
        <w:tc>
          <w:tcPr>
            <w:tcW w:w="0" w:type="dxa"/>
            <w:vAlign w:val="bottom"/>
          </w:tcPr>
          <w:p>
            <w:pPr>
              <w:spacing w:after="0"/>
              <w:rPr>
                <w:sz w:val="1"/>
                <w:szCs w:val="1"/>
                <w:color w:val="auto"/>
              </w:rPr>
            </w:pPr>
          </w:p>
        </w:tc>
      </w:tr>
      <w:tr>
        <w:trPr>
          <w:trHeight w:val="148"/>
        </w:trPr>
        <w:tc>
          <w:tcPr>
            <w:tcW w:w="2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(7,116)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(44)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(69)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(18,490)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(25,776)</w:t>
            </w:r>
          </w:p>
        </w:tc>
        <w:tc>
          <w:tcPr>
            <w:tcW w:w="0" w:type="dxa"/>
            <w:vAlign w:val="bottom"/>
          </w:tcPr>
          <w:p>
            <w:pPr>
              <w:spacing w:after="0"/>
              <w:rPr>
                <w:sz w:val="1"/>
                <w:szCs w:val="1"/>
                <w:color w:val="auto"/>
              </w:rPr>
            </w:pPr>
          </w:p>
        </w:tc>
      </w:tr>
      <w:tr>
        <w:trPr>
          <w:trHeight w:val="148"/>
        </w:trPr>
        <w:tc>
          <w:tcPr>
            <w:tcW w:w="2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727</w:t>
            </w:r>
          </w:p>
        </w:tc>
        <w:tc>
          <w:tcPr>
            <w:tcW w:w="0" w:type="dxa"/>
            <w:vAlign w:val="bottom"/>
          </w:tcPr>
          <w:p>
            <w:pPr>
              <w:spacing w:after="0"/>
              <w:rPr>
                <w:sz w:val="1"/>
                <w:szCs w:val="1"/>
                <w:color w:val="auto"/>
              </w:rPr>
            </w:pPr>
          </w:p>
        </w:tc>
      </w:tr>
      <w:tr>
        <w:trPr>
          <w:trHeight w:val="142"/>
        </w:trPr>
        <w:tc>
          <w:tcPr>
            <w:tcW w:w="2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47,502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$ 1,994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94,061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At or for the Nine Months Ended September 30,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40" w:type="dxa"/>
            <w:vAlign w:val="bottom"/>
          </w:tcPr>
          <w:p>
            <w:pPr>
              <w:spacing w:after="0"/>
              <w:rPr>
                <w:sz w:val="10"/>
                <w:szCs w:val="10"/>
                <w:color w:val="auto"/>
              </w:rPr>
            </w:pPr>
          </w:p>
        </w:tc>
        <w:tc>
          <w:tcPr>
            <w:tcW w:w="8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Multifamily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5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Coop/ Condo</w:t>
            </w: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2"/>
                <w:szCs w:val="12"/>
                <w:color w:val="auto"/>
              </w:rPr>
            </w:pPr>
          </w:p>
        </w:tc>
        <w:tc>
          <w:tcPr>
            <w:tcW w:w="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ADC</w:t>
            </w:r>
          </w:p>
        </w:tc>
        <w:tc>
          <w:tcPr>
            <w:tcW w:w="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40" w:type="dxa"/>
            <w:vAlign w:val="bottom"/>
          </w:tcPr>
          <w:p>
            <w:pPr>
              <w:spacing w:after="0"/>
              <w:rPr>
                <w:sz w:val="15"/>
                <w:szCs w:val="15"/>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35,962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$ 1,989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71,743</w:t>
            </w:r>
          </w:p>
        </w:tc>
        <w:tc>
          <w:tcPr>
            <w:tcW w:w="0" w:type="dxa"/>
            <w:vAlign w:val="bottom"/>
          </w:tcPr>
          <w:p>
            <w:pPr>
              <w:spacing w:after="0"/>
              <w:rPr>
                <w:sz w:val="1"/>
                <w:szCs w:val="1"/>
                <w:color w:val="auto"/>
              </w:rPr>
            </w:pPr>
          </w:p>
        </w:tc>
      </w:tr>
      <w:tr>
        <w:trPr>
          <w:trHeight w:val="149"/>
        </w:trPr>
        <w:tc>
          <w:tcPr>
            <w:tcW w:w="2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9,110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(3,225)</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22,056</w:t>
            </w:r>
          </w:p>
        </w:tc>
        <w:tc>
          <w:tcPr>
            <w:tcW w:w="0" w:type="dxa"/>
            <w:vAlign w:val="bottom"/>
          </w:tcPr>
          <w:p>
            <w:pPr>
              <w:spacing w:after="0"/>
              <w:rPr>
                <w:sz w:val="1"/>
                <w:szCs w:val="1"/>
                <w:color w:val="auto"/>
              </w:rPr>
            </w:pPr>
          </w:p>
        </w:tc>
      </w:tr>
      <w:tr>
        <w:trPr>
          <w:trHeight w:val="148"/>
        </w:trPr>
        <w:tc>
          <w:tcPr>
            <w:tcW w:w="2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(5,065)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0" w:type="dxa"/>
            <w:vAlign w:val="bottom"/>
          </w:tcPr>
          <w:p>
            <w:pPr>
              <w:spacing w:after="0"/>
              <w:rPr>
                <w:sz w:val="12"/>
                <w:szCs w:val="12"/>
                <w:color w:val="auto"/>
              </w:rPr>
            </w:pP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(9,065)</w:t>
            </w:r>
          </w:p>
        </w:tc>
        <w:tc>
          <w:tcPr>
            <w:tcW w:w="0" w:type="dxa"/>
            <w:vAlign w:val="bottom"/>
          </w:tcPr>
          <w:p>
            <w:pPr>
              <w:spacing w:after="0"/>
              <w:rPr>
                <w:sz w:val="1"/>
                <w:szCs w:val="1"/>
                <w:color w:val="auto"/>
              </w:rPr>
            </w:pPr>
          </w:p>
        </w:tc>
      </w:tr>
      <w:tr>
        <w:trPr>
          <w:trHeight w:val="148"/>
        </w:trPr>
        <w:tc>
          <w:tcPr>
            <w:tcW w:w="27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42"/>
        </w:trPr>
        <w:tc>
          <w:tcPr>
            <w:tcW w:w="2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45,026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8,646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12,503</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16,302</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$ 2,521</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85,221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loans on non-accrual status as of the periods indicated: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183"/>
        </w:trPr>
        <w:tc>
          <w:tcPr>
            <w:tcW w:w="5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6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Non-accrual with</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Related</w:t>
            </w:r>
          </w:p>
        </w:tc>
      </w:tr>
      <w:tr>
        <w:trPr>
          <w:trHeight w:val="21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No Allowance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5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3,096</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17,909</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13,663</w:t>
            </w: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One-to-four family residential and coop/condo apartment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2,440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w:t>
            </w: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47,937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w:t>
            </w: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ADC</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261</w:t>
            </w:r>
          </w:p>
        </w:tc>
      </w:tr>
      <w:tr>
        <w:trPr>
          <w:trHeight w:val="196"/>
        </w:trPr>
        <w:tc>
          <w:tcPr>
            <w:tcW w:w="5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21,021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13,963</w:t>
            </w:r>
          </w:p>
        </w:tc>
      </w:tr>
      <w:tr>
        <w:trPr>
          <w:trHeight w:val="20"/>
        </w:trPr>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406"/>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ind w:left="10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60" w:type="dxa"/>
            <w:vAlign w:val="bottom"/>
          </w:tcPr>
          <w:p>
            <w:pPr>
              <w:spacing w:after="0"/>
              <w:rPr>
                <w:sz w:val="16"/>
                <w:szCs w:val="16"/>
                <w:color w:val="auto"/>
              </w:rPr>
            </w:pPr>
          </w:p>
        </w:tc>
      </w:tr>
      <w:tr>
        <w:trPr>
          <w:trHeight w:val="21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 Allowance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w:t>
            </w:r>
          </w:p>
        </w:tc>
        <w:tc>
          <w:tcPr>
            <w:tcW w:w="60" w:type="dxa"/>
            <w:vAlign w:val="bottom"/>
          </w:tcPr>
          <w:p>
            <w:pPr>
              <w:spacing w:after="0"/>
              <w:rPr>
                <w:sz w:val="17"/>
                <w:szCs w:val="17"/>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One-to-four family residential and coop/condo apartment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60" w:type="dxa"/>
            <w:vAlign w:val="bottom"/>
          </w:tcPr>
          <w:p>
            <w:pPr>
              <w:spacing w:after="0"/>
              <w:rPr>
                <w:sz w:val="17"/>
                <w:szCs w:val="17"/>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ADC</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6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17"/>
                <w:szCs w:val="17"/>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16,585</w:t>
            </w:r>
          </w:p>
        </w:tc>
        <w:tc>
          <w:tcPr>
            <w:tcW w:w="6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did not recognize interest income on non-accrual loans held for investment during the three or nine months ended September 30, 2025 and 2024.</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past due status of the Company’s investment in loans as of the dates indicated:</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0"/>
              <w:spacing w:after="0" w:line="126" w:lineRule="exact"/>
              <w:rPr>
                <w:sz w:val="20"/>
                <w:szCs w:val="20"/>
                <w:color w:val="auto"/>
              </w:rPr>
            </w:pPr>
            <w:r>
              <w:rPr>
                <w:rFonts w:ascii="Times New Roman" w:cs="Times New Roman" w:eastAsia="Times New Roman" w:hAnsi="Times New Roman"/>
                <w:sz w:val="13"/>
                <w:szCs w:val="13"/>
                <w:b w:val="1"/>
                <w:bCs w:val="1"/>
                <w:color w:val="auto"/>
              </w:rPr>
              <w:t>Loans 90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Accruing Interest</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4"/>
                <w:szCs w:val="14"/>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21,005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26,295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3,036,327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3,062,622</w:t>
            </w:r>
          </w:p>
        </w:tc>
        <w:tc>
          <w:tcPr>
            <w:tcW w:w="0" w:type="dxa"/>
            <w:vAlign w:val="bottom"/>
          </w:tcPr>
          <w:p>
            <w:pPr>
              <w:spacing w:after="0"/>
              <w:rPr>
                <w:sz w:val="1"/>
                <w:szCs w:val="1"/>
                <w:color w:val="auto"/>
              </w:rPr>
            </w:pPr>
          </w:p>
        </w:tc>
      </w:tr>
      <w:tr>
        <w:trPr>
          <w:trHeight w:val="126"/>
        </w:trPr>
        <w:tc>
          <w:tcPr>
            <w:tcW w:w="25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9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2,440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3,105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1,027,718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1,030,823</w:t>
            </w: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coop/condo apartment</w:t>
            </w: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5,201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27,607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32,808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3,476,986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3,509,794</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mixed-use</w:t>
            </w: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Non-owner-occupied commercial real</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9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47,952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50,278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2,924,986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2,975,264</w:t>
            </w: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estate</w:t>
            </w: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138,488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139,145</w:t>
            </w:r>
          </w:p>
        </w:tc>
        <w:tc>
          <w:tcPr>
            <w:tcW w:w="0" w:type="dxa"/>
            <w:vAlign w:val="bottom"/>
          </w:tcPr>
          <w:p>
            <w:pPr>
              <w:spacing w:after="0"/>
              <w:rPr>
                <w:sz w:val="1"/>
                <w:szCs w:val="1"/>
                <w:color w:val="auto"/>
              </w:rPr>
            </w:pPr>
          </w:p>
        </w:tc>
      </w:tr>
      <w:tr>
        <w:trPr>
          <w:trHeight w:val="149"/>
        </w:trPr>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96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7,621</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13,313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27,778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72,054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113,145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10,612,124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10,725,269</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0"/>
              <w:spacing w:after="0" w:line="126" w:lineRule="exact"/>
              <w:rPr>
                <w:sz w:val="20"/>
                <w:szCs w:val="20"/>
                <w:color w:val="auto"/>
              </w:rPr>
            </w:pPr>
            <w:r>
              <w:rPr>
                <w:rFonts w:ascii="Times New Roman" w:cs="Times New Roman" w:eastAsia="Times New Roman" w:hAnsi="Times New Roman"/>
                <w:sz w:val="13"/>
                <w:szCs w:val="13"/>
                <w:b w:val="1"/>
                <w:bCs w:val="1"/>
                <w:color w:val="auto"/>
              </w:rPr>
              <w:t>Loans 90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Accruing Interest</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4"/>
                <w:szCs w:val="14"/>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28,450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2,697,276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c>
          <w:tcPr>
            <w:tcW w:w="0" w:type="dxa"/>
            <w:vAlign w:val="bottom"/>
          </w:tcPr>
          <w:p>
            <w:pPr>
              <w:spacing w:after="0"/>
              <w:rPr>
                <w:sz w:val="1"/>
                <w:szCs w:val="1"/>
                <w:color w:val="auto"/>
              </w:rPr>
            </w:pPr>
          </w:p>
        </w:tc>
      </w:tr>
      <w:tr>
        <w:trPr>
          <w:trHeight w:val="126"/>
        </w:trPr>
        <w:tc>
          <w:tcPr>
            <w:tcW w:w="25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945,125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951,528</w:t>
            </w: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coop/condo apartment</w:t>
            </w: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3,788,923</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3,820,283</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mixed-use</w:t>
            </w: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Non-owner-occupied commercial real</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22,960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3,206,310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3,230,535</w:t>
            </w: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estate</w:t>
            </w: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c>
          <w:tcPr>
            <w:tcW w:w="0" w:type="dxa"/>
            <w:vAlign w:val="bottom"/>
          </w:tcPr>
          <w:p>
            <w:pPr>
              <w:spacing w:after="0"/>
              <w:rPr>
                <w:sz w:val="1"/>
                <w:szCs w:val="1"/>
                <w:color w:val="auto"/>
              </w:rPr>
            </w:pPr>
          </w:p>
        </w:tc>
      </w:tr>
      <w:tr>
        <w:trPr>
          <w:trHeight w:val="148"/>
        </w:trPr>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31,313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91,122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10,778,206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10,869,328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September 30, 2025 or at December 31,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Collateral Dependent Loans:</w:t>
      </w:r>
    </w:p>
    <w:p>
      <w:pPr>
        <w:spacing w:after="0" w:line="227"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Company had collateral dependent loans which were individually evaluated to determine expected credit losses as of the dates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5"/>
                <w:szCs w:val="15"/>
                <w:color w:val="auto"/>
              </w:rPr>
            </w:pPr>
          </w:p>
        </w:tc>
        <w:tc>
          <w:tcPr>
            <w:tcW w:w="2560" w:type="dxa"/>
            <w:vAlign w:val="bottom"/>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Associated</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Associated</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73"/>
        </w:trPr>
        <w:tc>
          <w:tcPr>
            <w:tcW w:w="3340" w:type="dxa"/>
            <w:vAlign w:val="bottom"/>
            <w:gridSpan w:val="2"/>
            <w:vMerge w:val="continue"/>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00" w:type="dxa"/>
            <w:vAlign w:val="bottom"/>
          </w:tcPr>
          <w:p>
            <w:pPr>
              <w:spacing w:after="0"/>
              <w:rPr>
                <w:sz w:val="15"/>
                <w:szCs w:val="15"/>
                <w:color w:val="auto"/>
              </w:rPr>
            </w:pPr>
          </w:p>
        </w:tc>
        <w:tc>
          <w:tcPr>
            <w:tcW w:w="12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0" w:type="dxa"/>
            <w:vAlign w:val="bottom"/>
          </w:tcPr>
          <w:p>
            <w:pPr>
              <w:spacing w:after="0"/>
              <w:rPr>
                <w:sz w:val="1"/>
                <w:szCs w:val="1"/>
                <w:color w:val="auto"/>
              </w:rPr>
            </w:pPr>
          </w:p>
        </w:tc>
      </w:tr>
      <w:tr>
        <w:trPr>
          <w:trHeight w:val="142"/>
        </w:trPr>
        <w:tc>
          <w:tcPr>
            <w:tcW w:w="32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8,746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9,290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3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47,937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42"/>
        </w:trPr>
        <w:tc>
          <w:tcPr>
            <w:tcW w:w="3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57,340</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1,861</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32,891</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Loan Restructurings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presents loans modified to borrowers experiencing financial difficulty, disaggregated by loan category and type of concession granted during the three and nine months ended September 30, 2025 and 2024:</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17"/>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2025</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5"/>
        </w:trPr>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4"/>
          </w:tcPr>
          <w:p>
            <w:pPr>
              <w:jc w:val="center"/>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Significant</w:t>
            </w:r>
          </w:p>
        </w:tc>
        <w:tc>
          <w:tcPr>
            <w:tcW w:w="2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8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2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160" w:type="dxa"/>
            <w:vAlign w:val="bottom"/>
          </w:tcPr>
          <w:p>
            <w:pPr>
              <w:spacing w:after="0"/>
              <w:rPr>
                <w:sz w:val="13"/>
                <w:szCs w:val="13"/>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4"/>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8"/>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2,833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4,583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0.1</w:t>
            </w:r>
          </w:p>
        </w:tc>
        <w:tc>
          <w:tcPr>
            <w:tcW w:w="1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r>
      <w:tr>
        <w:trPr>
          <w:trHeight w:val="135"/>
        </w:trPr>
        <w:tc>
          <w:tcPr>
            <w:tcW w:w="2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31,589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14,792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46,381</w:t>
            </w:r>
          </w:p>
        </w:tc>
        <w:tc>
          <w:tcPr>
            <w:tcW w:w="7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6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9,896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9,896</w:t>
            </w:r>
          </w:p>
        </w:tc>
        <w:tc>
          <w:tcPr>
            <w:tcW w:w="74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9"/>
        </w:trPr>
        <w:tc>
          <w:tcPr>
            <w:tcW w:w="26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12,729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32,289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14,792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bottom w:val="single" w:sz="8" w:color="auto"/>
            </w:tcBorders>
            <w:gridSpan w:val="2"/>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60,860</w:t>
            </w:r>
          </w:p>
        </w:tc>
        <w:tc>
          <w:tcPr>
            <w:tcW w:w="860" w:type="dxa"/>
            <w:vAlign w:val="bottom"/>
            <w:gridSpan w:val="6"/>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0.6 %</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6"/>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2024</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6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8"/>
        </w:trPr>
        <w:tc>
          <w:tcPr>
            <w:tcW w:w="2540" w:type="dxa"/>
            <w:vAlign w:val="bottom"/>
            <w:tcBorders>
              <w:top w:val="single" w:sz="8" w:color="auto"/>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15,971</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gridSpan w:val="2"/>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15,971</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rPr>
              <w:t>0.6</w:t>
            </w:r>
          </w:p>
        </w:tc>
        <w:tc>
          <w:tcPr>
            <w:tcW w:w="1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r>
      <w:tr>
        <w:trPr>
          <w:trHeight w:val="135"/>
        </w:trPr>
        <w:tc>
          <w:tcPr>
            <w:tcW w:w="2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24,709</w:t>
            </w:r>
          </w:p>
        </w:tc>
        <w:tc>
          <w:tcPr>
            <w:tcW w:w="740" w:type="dxa"/>
            <w:vAlign w:val="bottom"/>
            <w:gridSpan w:val="4"/>
          </w:tcPr>
          <w:p>
            <w:pPr>
              <w:ind w:left="560"/>
              <w:spacing w:after="0" w:line="135" w:lineRule="exact"/>
              <w:rPr>
                <w:sz w:val="20"/>
                <w:szCs w:val="20"/>
                <w:color w:val="auto"/>
              </w:rPr>
            </w:pPr>
            <w:r>
              <w:rPr>
                <w:rFonts w:ascii="Times New Roman" w:cs="Times New Roman" w:eastAsia="Times New Roman" w:hAnsi="Times New Roman"/>
                <w:sz w:val="13"/>
                <w:szCs w:val="13"/>
                <w:color w:val="auto"/>
                <w:w w:val="98"/>
              </w:rPr>
              <w:t>0.8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2660" w:type="dxa"/>
            <w:vAlign w:val="bottom"/>
            <w:tcBorders>
              <w:top w:val="single" w:sz="8" w:color="CCEEFF"/>
              <w:bottom w:val="single" w:sz="8" w:color="CCEEFF"/>
            </w:tcBorders>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15,971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gridSpan w:val="2"/>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24,709</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40,680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gridSpan w:val="5"/>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color w:val="auto"/>
                <w:w w:val="92"/>
              </w:rPr>
              <w:t>0.4 %</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7"/>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2025</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4"/>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6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9"/>
        </w:trPr>
        <w:tc>
          <w:tcPr>
            <w:tcW w:w="2540" w:type="dxa"/>
            <w:vAlign w:val="bottom"/>
            <w:tcBorders>
              <w:top w:val="single" w:sz="8" w:color="auto"/>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2,833</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1,197</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gridSpan w:val="2"/>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13,692</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18,772</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rPr>
              <w:t>0.6</w:t>
            </w:r>
          </w:p>
        </w:tc>
        <w:tc>
          <w:tcPr>
            <w:tcW w:w="1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r>
      <w:tr>
        <w:trPr>
          <w:trHeight w:val="135"/>
        </w:trPr>
        <w:tc>
          <w:tcPr>
            <w:tcW w:w="26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59,196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14,792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73,988</w:t>
            </w:r>
          </w:p>
        </w:tc>
        <w:tc>
          <w:tcPr>
            <w:tcW w:w="740" w:type="dxa"/>
            <w:vAlign w:val="bottom"/>
            <w:gridSpan w:val="4"/>
          </w:tcPr>
          <w:p>
            <w:pPr>
              <w:ind w:left="560"/>
              <w:spacing w:after="0" w:line="135" w:lineRule="exact"/>
              <w:rPr>
                <w:sz w:val="20"/>
                <w:szCs w:val="20"/>
                <w:color w:val="auto"/>
              </w:rPr>
            </w:pPr>
            <w:r>
              <w:rPr>
                <w:rFonts w:ascii="Times New Roman" w:cs="Times New Roman" w:eastAsia="Times New Roman" w:hAnsi="Times New Roman"/>
                <w:sz w:val="13"/>
                <w:szCs w:val="13"/>
                <w:color w:val="auto"/>
                <w:w w:val="98"/>
              </w:rPr>
              <w:t>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6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9,896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16,720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14,761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41,377</w:t>
            </w:r>
          </w:p>
        </w:tc>
        <w:tc>
          <w:tcPr>
            <w:tcW w:w="740" w:type="dxa"/>
            <w:vAlign w:val="bottom"/>
            <w:gridSpan w:val="4"/>
            <w:shd w:val="clear" w:color="auto" w:fill="CCEEFF"/>
          </w:tcPr>
          <w:p>
            <w:pPr>
              <w:ind w:left="560"/>
              <w:spacing w:after="0" w:line="135" w:lineRule="exact"/>
              <w:rPr>
                <w:sz w:val="20"/>
                <w:szCs w:val="20"/>
                <w:color w:val="auto"/>
              </w:rPr>
            </w:pPr>
            <w:r>
              <w:rPr>
                <w:rFonts w:ascii="Times New Roman" w:cs="Times New Roman" w:eastAsia="Times New Roman" w:hAnsi="Times New Roman"/>
                <w:sz w:val="13"/>
                <w:szCs w:val="13"/>
                <w:color w:val="auto"/>
                <w:w w:val="98"/>
              </w:rPr>
              <w:t>1.4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8"/>
        </w:trPr>
        <w:tc>
          <w:tcPr>
            <w:tcW w:w="26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12,729</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77,113</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gridSpan w:val="2"/>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29,553</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13,692</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134,137</w:t>
            </w:r>
          </w:p>
        </w:tc>
        <w:tc>
          <w:tcPr>
            <w:tcW w:w="20" w:type="dxa"/>
            <w:vAlign w:val="bottom"/>
            <w:tcBorders>
              <w:top w:val="single" w:sz="8" w:color="auto"/>
              <w:bottom w:val="single" w:sz="8" w:color="auto"/>
            </w:tcBorders>
          </w:tcPr>
          <w:p>
            <w:pPr>
              <w:spacing w:after="0"/>
              <w:rPr>
                <w:sz w:val="11"/>
                <w:szCs w:val="11"/>
                <w:color w:val="auto"/>
              </w:rPr>
            </w:pPr>
          </w:p>
        </w:tc>
        <w:tc>
          <w:tcPr>
            <w:tcW w:w="840" w:type="dxa"/>
            <w:vAlign w:val="bottom"/>
            <w:gridSpan w:val="5"/>
          </w:tcPr>
          <w:p>
            <w:pPr>
              <w:ind w:left="540"/>
              <w:spacing w:after="0" w:line="129" w:lineRule="exact"/>
              <w:rPr>
                <w:sz w:val="20"/>
                <w:szCs w:val="20"/>
                <w:color w:val="auto"/>
              </w:rPr>
            </w:pPr>
            <w:r>
              <w:rPr>
                <w:rFonts w:ascii="Times New Roman" w:cs="Times New Roman" w:eastAsia="Times New Roman" w:hAnsi="Times New Roman"/>
                <w:sz w:val="13"/>
                <w:szCs w:val="13"/>
                <w:color w:val="auto"/>
                <w:w w:val="92"/>
              </w:rPr>
              <w:t>1.3 %</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11"/>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2024</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3"/>
          </w:tcPr>
          <w:p>
            <w:pPr>
              <w:jc w:val="center"/>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Delay</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c>
          <w:tcPr>
            <w:tcW w:w="0" w:type="dxa"/>
            <w:vAlign w:val="bottom"/>
          </w:tcPr>
          <w:p>
            <w:pPr>
              <w:spacing w:after="0"/>
              <w:rPr>
                <w:sz w:val="1"/>
                <w:szCs w:val="1"/>
                <w:color w:val="auto"/>
              </w:rPr>
            </w:pPr>
          </w:p>
        </w:tc>
      </w:tr>
      <w:tr>
        <w:trPr>
          <w:trHeight w:val="15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Delay</w:t>
            </w:r>
          </w:p>
        </w:tc>
        <w:tc>
          <w:tcPr>
            <w:tcW w:w="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6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3"/>
                <w:szCs w:val="13"/>
                <w:color w:val="auto"/>
              </w:rPr>
            </w:pPr>
          </w:p>
        </w:tc>
        <w:tc>
          <w:tcPr>
            <w:tcW w:w="70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c>
          <w:tcPr>
            <w:tcW w:w="0" w:type="dxa"/>
            <w:vAlign w:val="bottom"/>
          </w:tcPr>
          <w:p>
            <w:pPr>
              <w:spacing w:after="0"/>
              <w:rPr>
                <w:sz w:val="1"/>
                <w:szCs w:val="1"/>
                <w:color w:val="auto"/>
              </w:rPr>
            </w:pPr>
          </w:p>
        </w:tc>
      </w:tr>
      <w:tr>
        <w:trPr>
          <w:trHeight w:val="128"/>
        </w:trPr>
        <w:tc>
          <w:tcPr>
            <w:tcW w:w="25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16,077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17,487</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rPr>
              <w:t>0.7</w:t>
            </w:r>
          </w:p>
        </w:tc>
        <w:tc>
          <w:tcPr>
            <w:tcW w:w="1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17"/>
        </w:trPr>
        <w:tc>
          <w:tcPr>
            <w:tcW w:w="26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 coop/condo</w:t>
            </w:r>
          </w:p>
        </w:tc>
        <w:tc>
          <w:tcPr>
            <w:tcW w:w="8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34,095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34,095</w:t>
            </w:r>
          </w:p>
        </w:tc>
        <w:tc>
          <w:tcPr>
            <w:tcW w:w="740" w:type="dxa"/>
            <w:vAlign w:val="bottom"/>
            <w:gridSpan w:val="2"/>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80" w:type="dxa"/>
            <w:vAlign w:val="bottom"/>
          </w:tcPr>
          <w:p>
            <w:pPr>
              <w:spacing w:after="0"/>
              <w:rPr>
                <w:sz w:val="11"/>
                <w:szCs w:val="11"/>
                <w:color w:val="auto"/>
              </w:rPr>
            </w:pPr>
          </w:p>
        </w:tc>
        <w:tc>
          <w:tcPr>
            <w:tcW w:w="64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31,097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55,806</w:t>
            </w:r>
          </w:p>
        </w:tc>
        <w:tc>
          <w:tcPr>
            <w:tcW w:w="74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16,077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66,384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24,737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900</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108,288</w:t>
            </w:r>
          </w:p>
        </w:tc>
        <w:tc>
          <w:tcPr>
            <w:tcW w:w="840" w:type="dxa"/>
            <w:vAlign w:val="bottom"/>
            <w:tcBorders>
              <w:top w:val="single" w:sz="8" w:color="CCEEFF"/>
              <w:bottom w:val="single" w:sz="8" w:color="CCEEFF"/>
            </w:tcBorders>
            <w:gridSpan w:val="3"/>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color w:val="auto"/>
                <w:w w:val="92"/>
              </w:rPr>
              <w:t>1.0 %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describe the financial effect of the modifications made to borrowers experiencing financial difficulty as of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1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0" w:type="dxa"/>
            <w:vAlign w:val="bottom"/>
          </w:tcPr>
          <w:p>
            <w:pPr>
              <w:spacing w:after="0"/>
              <w:rPr>
                <w:sz w:val="1"/>
                <w:szCs w:val="1"/>
                <w:color w:val="auto"/>
              </w:rPr>
            </w:pPr>
          </w:p>
        </w:tc>
      </w:tr>
      <w:tr>
        <w:trPr>
          <w:trHeight w:val="401"/>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5"/>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1.50</w:t>
            </w: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157</w:t>
            </w:r>
          </w:p>
        </w:tc>
        <w:tc>
          <w:tcPr>
            <w:tcW w:w="0" w:type="dxa"/>
            <w:vAlign w:val="bottom"/>
          </w:tcPr>
          <w:p>
            <w:pPr>
              <w:spacing w:after="0"/>
              <w:rPr>
                <w:sz w:val="1"/>
                <w:szCs w:val="1"/>
                <w:color w:val="auto"/>
              </w:rPr>
            </w:pPr>
          </w:p>
        </w:tc>
      </w:tr>
      <w:tr>
        <w:trPr>
          <w:trHeight w:val="149"/>
        </w:trPr>
        <w:tc>
          <w:tcPr>
            <w:tcW w:w="4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28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194</w:t>
            </w:r>
          </w:p>
        </w:tc>
        <w:tc>
          <w:tcPr>
            <w:tcW w:w="0" w:type="dxa"/>
            <w:vAlign w:val="bottom"/>
          </w:tcPr>
          <w:p>
            <w:pPr>
              <w:spacing w:after="0"/>
              <w:rPr>
                <w:sz w:val="1"/>
                <w:szCs w:val="1"/>
                <w:color w:val="auto"/>
              </w:rPr>
            </w:pPr>
          </w:p>
        </w:tc>
      </w:tr>
      <w:tr>
        <w:trPr>
          <w:trHeight w:val="148"/>
        </w:trPr>
        <w:tc>
          <w:tcPr>
            <w:tcW w:w="48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8"/>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4"/>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Non-owner-occupied commercial real estate</w:t>
            </w: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338"/>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1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w:t>
            </w: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w:t>
            </w:r>
          </w:p>
        </w:tc>
        <w:tc>
          <w:tcPr>
            <w:tcW w:w="0" w:type="dxa"/>
            <w:vAlign w:val="bottom"/>
          </w:tcPr>
          <w:p>
            <w:pPr>
              <w:spacing w:after="0"/>
              <w:rPr>
                <w:sz w:val="1"/>
                <w:szCs w:val="1"/>
                <w:color w:val="auto"/>
              </w:rPr>
            </w:pPr>
          </w:p>
        </w:tc>
      </w:tr>
      <w:tr>
        <w:trPr>
          <w:trHeight w:val="148"/>
        </w:trPr>
        <w:tc>
          <w:tcPr>
            <w:tcW w:w="4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380" w:type="dxa"/>
            <w:vAlign w:val="bottom"/>
            <w:gridSpan w:val="7"/>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0.90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298</w:t>
            </w:r>
          </w:p>
        </w:tc>
        <w:tc>
          <w:tcPr>
            <w:tcW w:w="0" w:type="dxa"/>
            <w:vAlign w:val="bottom"/>
          </w:tcPr>
          <w:p>
            <w:pPr>
              <w:spacing w:after="0"/>
              <w:rPr>
                <w:sz w:val="1"/>
                <w:szCs w:val="1"/>
                <w:color w:val="auto"/>
              </w:rPr>
            </w:pPr>
          </w:p>
        </w:tc>
      </w:tr>
      <w:tr>
        <w:trPr>
          <w:trHeight w:val="149"/>
        </w:trPr>
        <w:tc>
          <w:tcPr>
            <w:tcW w:w="48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380" w:type="dxa"/>
            <w:vAlign w:val="bottom"/>
            <w:gridSpan w:val="7"/>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3.75</w:t>
            </w:r>
          </w:p>
        </w:tc>
        <w:tc>
          <w:tcPr>
            <w:tcW w:w="2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1,339</w:t>
            </w:r>
          </w:p>
        </w:tc>
        <w:tc>
          <w:tcPr>
            <w:tcW w:w="0" w:type="dxa"/>
            <w:vAlign w:val="bottom"/>
          </w:tcPr>
          <w:p>
            <w:pPr>
              <w:spacing w:after="0"/>
              <w:rPr>
                <w:sz w:val="1"/>
                <w:szCs w:val="1"/>
                <w:color w:val="auto"/>
              </w:rPr>
            </w:pPr>
          </w:p>
        </w:tc>
      </w:tr>
      <w:tr>
        <w:trPr>
          <w:trHeight w:val="378"/>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6"/>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20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7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1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w:t>
            </w:r>
          </w:p>
        </w:tc>
        <w:tc>
          <w:tcPr>
            <w:tcW w:w="300" w:type="dxa"/>
            <w:vAlign w:val="bottom"/>
            <w:tcBorders>
              <w:top w:val="single" w:sz="8" w:color="CCEEFF"/>
            </w:tcBorders>
            <w:gridSpan w:val="3"/>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48"/>
        </w:trPr>
        <w:tc>
          <w:tcPr>
            <w:tcW w:w="4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28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Non-owner-occupied commercial real estate</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monitors the performance of loans modified to borrowers experiencing financial difficulty to understand the effectiveness of its modification efforts. The following tables describe the performance of loans that have been modified during the past 12 months.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20,962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22,405</w:t>
            </w:r>
          </w:p>
        </w:tc>
        <w:tc>
          <w:tcPr>
            <w:tcW w:w="0" w:type="dxa"/>
            <w:vAlign w:val="bottom"/>
          </w:tcPr>
          <w:p>
            <w:pPr>
              <w:spacing w:after="0"/>
              <w:rPr>
                <w:sz w:val="1"/>
                <w:szCs w:val="1"/>
                <w:color w:val="auto"/>
              </w:rPr>
            </w:pPr>
          </w:p>
        </w:tc>
      </w:tr>
      <w:tr>
        <w:trPr>
          <w:trHeight w:val="126"/>
        </w:trPr>
        <w:tc>
          <w:tcPr>
            <w:tcW w:w="29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 mixed-</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46,380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27,607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73,987</w:t>
            </w:r>
          </w:p>
        </w:tc>
        <w:tc>
          <w:tcPr>
            <w:tcW w:w="0" w:type="dxa"/>
            <w:vAlign w:val="bottom"/>
          </w:tcPr>
          <w:p>
            <w:pPr>
              <w:spacing w:after="0"/>
              <w:rPr>
                <w:sz w:val="1"/>
                <w:szCs w:val="1"/>
                <w:color w:val="auto"/>
              </w:rPr>
            </w:pPr>
          </w:p>
        </w:tc>
      </w:tr>
      <w:tr>
        <w:trPr>
          <w:trHeight w:val="17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use</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9,896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31,481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41,377</w:t>
            </w: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77,238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27,778</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32,753</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137,769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17,565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19,339</w:t>
            </w:r>
          </w:p>
        </w:tc>
        <w:tc>
          <w:tcPr>
            <w:tcW w:w="0" w:type="dxa"/>
            <w:vAlign w:val="bottom"/>
          </w:tcPr>
          <w:p>
            <w:pPr>
              <w:spacing w:after="0"/>
              <w:rPr>
                <w:sz w:val="1"/>
                <w:szCs w:val="1"/>
                <w:color w:val="auto"/>
              </w:rPr>
            </w:pPr>
          </w:p>
        </w:tc>
      </w:tr>
      <w:tr>
        <w:trPr>
          <w:trHeight w:val="126"/>
        </w:trPr>
        <w:tc>
          <w:tcPr>
            <w:tcW w:w="29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 coop/condo</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0" w:type="dxa"/>
            <w:vAlign w:val="bottom"/>
          </w:tcPr>
          <w:p>
            <w:pPr>
              <w:spacing w:after="0"/>
              <w:rPr>
                <w:sz w:val="1"/>
                <w:szCs w:val="1"/>
                <w:color w:val="auto"/>
              </w:rPr>
            </w:pPr>
          </w:p>
        </w:tc>
      </w:tr>
      <w:tr>
        <w:trPr>
          <w:trHeight w:val="17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apartment</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 mixed-</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6,496</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27,599</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34,095</w:t>
            </w:r>
          </w:p>
        </w:tc>
        <w:tc>
          <w:tcPr>
            <w:tcW w:w="0" w:type="dxa"/>
            <w:vAlign w:val="bottom"/>
          </w:tcPr>
          <w:p>
            <w:pPr>
              <w:spacing w:after="0"/>
              <w:rPr>
                <w:sz w:val="1"/>
                <w:szCs w:val="1"/>
                <w:color w:val="auto"/>
              </w:rPr>
            </w:pPr>
          </w:p>
        </w:tc>
      </w:tr>
      <w:tr>
        <w:trPr>
          <w:trHeight w:val="17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use</w:t>
            </w: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55,806</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82,716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27,599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112,989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September 30, 2025, there were two non-owner-occupied commercial loans totaling $31.5 million that were modified to borrowers experiencing financial difficulty during the prior 12 months that subsequently defaulted. As of September 30, 2024, there were no loans modified to borrowers experiencing financial difficulty during the prior 12 months that subsequently defaulted. For the purposes of this disclosure, a payment default is defined as 90 or more days past due. Non-accrual loans that are modified to borrowers experiencing financial difficulty remain on non-accrual status until the borrower has demonstrated performance under the modified terms.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based on credit risk. The Company uses the following definitions for risk ratings:</w:t>
      </w:r>
    </w:p>
    <w:p>
      <w:pPr>
        <w:spacing w:after="0" w:line="178"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Loans classified as special mention have a potential weakness that deserves management’s 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If left uncorrected, these potential weaknesses may result in deterioration of the repayment prospects for the loan or of the Bank’s credit position at some future date.</w:t>
      </w:r>
    </w:p>
    <w:p>
      <w:pPr>
        <w:spacing w:after="0" w:line="173"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Loans classified as substandard are inadequately protected by the current net worth and paying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obligor or of the collateral pledged, if any. Loans so classified have a well-defined weakness or weaknesses that jeopardize the liquidation of the debt. They are characterized by the distinct possibility that the Bank will sustain some loss if the deficiencies are not corrected.</w:t>
      </w:r>
    </w:p>
    <w:p>
      <w:pPr>
        <w:spacing w:after="0" w:line="180"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Loans classified as doubtful have all the weaknesses inherent in those classified as substandard,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characteristic that the weaknesses make collection or liquidation in full, on the basis of then existing facts, conditions, and values, highly questionable and improbable.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credit risk profile of loans by internally assigned grade as of the periods indicated, the years represent the year of origination for non-revolving loans: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2020 and</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6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0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5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327,917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361,191</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219,883</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308,155</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184,634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429,456</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1,061,472</w:t>
            </w:r>
          </w:p>
        </w:tc>
        <w:tc>
          <w:tcPr>
            <w:tcW w:w="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60,132</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2,952,840</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5,896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21,455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54,284</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54,887</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8"/>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327,917</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361,390</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220,748</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318,727</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209,612</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463,910</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1,073,469</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86,849</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3,062,622</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4,393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7,116</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66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 coop/condo</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140,352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128,433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152,122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196,100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96,148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279,724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23,912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1,025,883</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4,911</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coop/condo apartment</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140,352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128,433</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152,122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196,100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96,148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283,555</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10,043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1,030,823</w:t>
            </w:r>
          </w:p>
        </w:tc>
      </w:tr>
      <w:tr>
        <w:trPr>
          <w:trHeight w:val="129"/>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230,523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1,157,142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543,808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1,311,795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3,290,940</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94,659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116,206</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78,757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102,648</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mixed-use</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16,809</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21,346</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230,523</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1,185,178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561,210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1,485,211</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3,509,794</w:t>
            </w:r>
          </w:p>
        </w:tc>
      </w:tr>
      <w:tr>
        <w:trPr>
          <w:trHeight w:val="129"/>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54,811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203,072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702,480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582,937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1,206,495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2,820,007</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82,555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83,198</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55,588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72,059</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46,839</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54,811</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203,072</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702,480</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600,051</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1,344,638</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7,322</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16,051</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2,975,264</w:t>
            </w:r>
          </w:p>
        </w:tc>
      </w:tr>
      <w:tr>
        <w:trPr>
          <w:trHeight w:val="129"/>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16,666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18,490</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57,264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37,641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138,488</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17,516</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57,264</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37,641</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6,110</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4,796</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12,894</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2,917</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139,145</w:t>
            </w:r>
          </w:p>
        </w:tc>
      </w:tr>
      <w:tr>
        <w:trPr>
          <w:trHeight w:val="128"/>
        </w:trPr>
        <w:tc>
          <w:tcPr>
            <w:tcW w:w="2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549,433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623,045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843,241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2,369,987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1,412,323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3,227,477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1,110,896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91,756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10,228,158</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13,110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30,269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198,698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253,717</w:t>
            </w:r>
          </w:p>
        </w:tc>
      </w:tr>
      <w:tr>
        <w:trPr>
          <w:trHeight w:val="135"/>
        </w:trPr>
        <w:tc>
          <w:tcPr>
            <w:tcW w:w="26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150,535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235,162</w:t>
            </w:r>
          </w:p>
        </w:tc>
      </w:tr>
      <w:tr>
        <w:trPr>
          <w:trHeight w:val="135"/>
        </w:trPr>
        <w:tc>
          <w:tcPr>
            <w:tcW w:w="2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9"/>
        </w:trPr>
        <w:tc>
          <w:tcPr>
            <w:tcW w:w="266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549,433</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623,244</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844,106</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2,408,595</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1,471,817</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3,577,321</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1,123,051</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120,081</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10,717,648</w:t>
            </w:r>
          </w:p>
        </w:tc>
      </w:tr>
      <w:tr>
        <w:trPr>
          <w:trHeight w:val="115"/>
        </w:trPr>
        <w:tc>
          <w:tcPr>
            <w:tcW w:w="2660" w:type="dxa"/>
            <w:vAlign w:val="bottom"/>
            <w:tcBorders>
              <w:bottom w:val="single" w:sz="8" w:color="CCEEFF"/>
            </w:tcBorders>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1,492</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208</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16,779</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6,217</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1,023</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25,719</w:t>
            </w: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2019 and</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0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6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400,607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232,017</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327,174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201,799</w:t>
            </w:r>
          </w:p>
        </w:tc>
        <w:tc>
          <w:tcPr>
            <w:tcW w:w="2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164,834</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348,388</w:t>
            </w:r>
          </w:p>
        </w:tc>
        <w:tc>
          <w:tcPr>
            <w:tcW w:w="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828,287</w:t>
            </w:r>
          </w:p>
        </w:tc>
        <w:tc>
          <w:tcPr>
            <w:tcW w:w="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67,238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2,570,344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36,740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104,197</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50,574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8"/>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400,742</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233,169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365,899</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208,501</w:t>
            </w: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173,111</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377,523</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854,579</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112,202</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2,725,726</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8,051</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74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 coop/condo</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134,804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159,300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202,706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98,491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247,952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941,434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870</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9,224</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 coop/condo</w:t>
            </w: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apartment</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134,804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159,300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202,706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98,491</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64,077</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255,989</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26,883</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951,528</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252,975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1,285,619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560,039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286,653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1,239,261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3,654,909</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12,369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14,172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73,778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101,521</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63,853</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 mixed-</w:t>
            </w: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use</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252,975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1,286,821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572,408</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300,825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1,376,892</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3,820,283</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4,677</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215,279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724,041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601,508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408,361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1,020,137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11,937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3,047,509</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75,802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106,024</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34,236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77,002</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57,280</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215,279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724,041</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618,637</w:t>
            </w: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518,399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1,075,996</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11,937</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8,966</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3,230,535</w:t>
            </w:r>
          </w:p>
        </w:tc>
      </w:tr>
      <w:tr>
        <w:trPr>
          <w:trHeight w:val="129"/>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6,926</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34,169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120,541</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14,974</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16,154</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34,169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25,950</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19,784</w:t>
            </w: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2,468</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24,868</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12,779</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136,172</w:t>
            </w:r>
          </w:p>
        </w:tc>
      </w:tr>
      <w:tr>
        <w:trPr>
          <w:trHeight w:val="128"/>
        </w:trPr>
        <w:tc>
          <w:tcPr>
            <w:tcW w:w="27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630,655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893,740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2,565,490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1,466,647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922,941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2,858,206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896,101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100,957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10,334,737</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37,942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32,221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94,307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121,279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327,586</w:t>
            </w:r>
          </w:p>
        </w:tc>
      </w:tr>
      <w:tr>
        <w:trPr>
          <w:trHeight w:val="135"/>
        </w:trPr>
        <w:tc>
          <w:tcPr>
            <w:tcW w:w="27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18,953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39,164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108,772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201,310</w:t>
            </w:r>
          </w:p>
        </w:tc>
      </w:tr>
      <w:tr>
        <w:trPr>
          <w:trHeight w:val="135"/>
        </w:trPr>
        <w:tc>
          <w:tcPr>
            <w:tcW w:w="27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9"/>
        </w:trPr>
        <w:tc>
          <w:tcPr>
            <w:tcW w:w="27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630,790</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894,892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2,605,417</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1,517,821</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1,056,412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3,088,868</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922,552</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147,492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10,864,244</w:t>
            </w:r>
          </w:p>
        </w:tc>
      </w:tr>
      <w:tr>
        <w:trPr>
          <w:trHeight w:val="115"/>
        </w:trPr>
        <w:tc>
          <w:tcPr>
            <w:tcW w:w="2740" w:type="dxa"/>
            <w:vAlign w:val="bottom"/>
            <w:tcBorders>
              <w:bottom w:val="single" w:sz="8" w:color="CCEEFF"/>
            </w:tcBorders>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400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158</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2,963</w:t>
            </w:r>
          </w:p>
        </w:tc>
        <w:tc>
          <w:tcPr>
            <w:tcW w:w="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5,592</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3,571</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89</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6,881</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19,654</w:t>
            </w: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7,621</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r>
      <w:tr>
        <w:trPr>
          <w:trHeight w:val="202"/>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Non-accrual</w:t>
            </w:r>
          </w:p>
        </w:tc>
        <w:tc>
          <w:tcPr>
            <w:tcW w:w="100" w:type="dxa"/>
            <w:vAlign w:val="bottom"/>
          </w:tcPr>
          <w:p>
            <w:pPr>
              <w:spacing w:after="0"/>
              <w:rPr>
                <w:sz w:val="17"/>
                <w:szCs w:val="17"/>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6"/>
        </w:trPr>
        <w:tc>
          <w:tcPr>
            <w:tcW w:w="5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remaining maturities of undiscounted lease payments, as well as a reconciliation to the discounted operating lease liabilities in the Consolidated Statements of Financial Condition at September 30, 2025:</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r>
      <w:tr>
        <w:trPr>
          <w:trHeight w:val="142"/>
        </w:trPr>
        <w:tc>
          <w:tcPr>
            <w:tcW w:w="7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00" w:type="dxa"/>
            <w:vAlign w:val="bottom"/>
            <w:gridSpan w:val="2"/>
            <w:shd w:val="clear" w:color="auto" w:fill="CCEEFF"/>
          </w:tcPr>
          <w:p>
            <w:pPr>
              <w:jc w:val="right"/>
              <w:ind w:right="2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3,728</w:t>
            </w:r>
          </w:p>
        </w:tc>
      </w:tr>
      <w:tr>
        <w:trPr>
          <w:trHeight w:val="148"/>
        </w:trPr>
        <w:tc>
          <w:tcPr>
            <w:tcW w:w="7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15,074</w:t>
            </w:r>
          </w:p>
        </w:tc>
      </w:tr>
      <w:tr>
        <w:trPr>
          <w:trHeight w:val="148"/>
        </w:trPr>
        <w:tc>
          <w:tcPr>
            <w:tcW w:w="7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13,280</w:t>
            </w:r>
          </w:p>
        </w:tc>
      </w:tr>
      <w:tr>
        <w:trPr>
          <w:trHeight w:val="149"/>
        </w:trPr>
        <w:tc>
          <w:tcPr>
            <w:tcW w:w="7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7,022</w:t>
            </w:r>
          </w:p>
        </w:tc>
      </w:tr>
      <w:tr>
        <w:trPr>
          <w:trHeight w:val="148"/>
        </w:trPr>
        <w:tc>
          <w:tcPr>
            <w:tcW w:w="7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4,485</w:t>
            </w:r>
          </w:p>
        </w:tc>
      </w:tr>
      <w:tr>
        <w:trPr>
          <w:trHeight w:val="148"/>
        </w:trPr>
        <w:tc>
          <w:tcPr>
            <w:tcW w:w="7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8,387</w:t>
            </w:r>
          </w:p>
        </w:tc>
      </w:tr>
      <w:tr>
        <w:trPr>
          <w:trHeight w:val="142"/>
        </w:trPr>
        <w:tc>
          <w:tcPr>
            <w:tcW w:w="75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undiscounted lease payments</w:t>
            </w:r>
          </w:p>
        </w:tc>
        <w:tc>
          <w:tcPr>
            <w:tcW w:w="2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51,976</w:t>
            </w:r>
          </w:p>
        </w:tc>
      </w:tr>
      <w:tr>
        <w:trPr>
          <w:trHeight w:val="142"/>
        </w:trPr>
        <w:tc>
          <w:tcPr>
            <w:tcW w:w="7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Less amounts representing interest</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(3,838)</w:t>
            </w:r>
          </w:p>
        </w:tc>
      </w:tr>
      <w:tr>
        <w:trPr>
          <w:trHeight w:val="142"/>
        </w:trPr>
        <w:tc>
          <w:tcPr>
            <w:tcW w:w="752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48,138</w:t>
            </w: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Operating lease cost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2,934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3,506</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10,275</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10,195</w:t>
            </w:r>
          </w:p>
        </w:tc>
        <w:tc>
          <w:tcPr>
            <w:tcW w:w="0" w:type="dxa"/>
            <w:vAlign w:val="bottom"/>
          </w:tcPr>
          <w:p>
            <w:pPr>
              <w:spacing w:after="0"/>
              <w:rPr>
                <w:sz w:val="1"/>
                <w:szCs w:val="1"/>
                <w:color w:val="auto"/>
              </w:rPr>
            </w:pPr>
          </w:p>
        </w:tc>
      </w:tr>
      <w:tr>
        <w:trPr>
          <w:trHeight w:val="19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1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2,911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10,203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0" w:type="dxa"/>
            <w:vAlign w:val="bottom"/>
          </w:tcPr>
          <w:p>
            <w:pPr>
              <w:spacing w:after="0"/>
              <w:rPr>
                <w:sz w:val="1"/>
                <w:szCs w:val="1"/>
                <w:color w:val="auto"/>
              </w:rPr>
            </w:pPr>
          </w:p>
        </w:tc>
      </w:tr>
      <w:tr>
        <w:trPr>
          <w:trHeight w:val="336"/>
        </w:trPr>
        <w:tc>
          <w:tcPr>
            <w:tcW w:w="47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48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remaining lease term</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w:t>
            </w:r>
          </w:p>
        </w:tc>
        <w:tc>
          <w:tcPr>
            <w:tcW w:w="3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19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3.13 %</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DERIVATIVES AND HEDGING ACTIVITIES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Derivatives on the Consolidated Statements of Financial Condition</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amounts and fair values of the Company’s derivative financial instruments as of September 30, 2025 and December 31, 2024.</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8"/>
                <w:szCs w:val="18"/>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19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r>
      <w:tr>
        <w:trPr>
          <w:trHeight w:val="203"/>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1,688,992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1,665,949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r>
      <w:tr>
        <w:trPr>
          <w:trHeight w:val="426"/>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24"/>
                <w:szCs w:val="24"/>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r>
      <w:tr>
        <w:trPr>
          <w:trHeight w:val="19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Fair value hedges - interest rate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4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1,688,992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77,522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1,665,949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126,610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Fair Value and Cash Flow Hedge Accounting on the Consolidated Statements of Operations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and nine months ended September 30, 2025 and 2024.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60" w:type="dxa"/>
            <w:vAlign w:val="bottom"/>
            <w:tcBorders>
              <w:bottom w:val="single" w:sz="8" w:color="auto"/>
            </w:tcBorders>
          </w:tcPr>
          <w:p>
            <w:pPr>
              <w:spacing w:after="0"/>
              <w:rPr>
                <w:sz w:val="15"/>
                <w:szCs w:val="15"/>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9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(437)</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(4,717)</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reclassified from AOCI into income</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Borders>
              <w:bottom w:val="single" w:sz="8" w:color="auto"/>
            </w:tcBorders>
          </w:tcPr>
          <w:p>
            <w:pPr>
              <w:spacing w:after="0"/>
              <w:rPr>
                <w:sz w:val="15"/>
                <w:szCs w:val="15"/>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9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5,867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(2,211)</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(934)</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reclassified from AOCI into income</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Hedges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income.</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posted $524 thousand and $2.7 million, respectively, to the Chicago Mercantile Exchange (“CME”) clearing house related to the fair value derivatives settled daily to market. The Company pays an average fixed rate of 4.24% and receives a floating rate based on the US federal funds effective rate for the life of the agreement without an exchange of the underlying notional amount.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September 30, 2025 totaled $1.33 billion. The amount identified as the last-of-layer in the open hedge relationship was $850.0 million, which is the amount of loans in the closed portfolio anticipated to be outstanding for the designated hedge period. The basis adjustment associated with the hedge was a $405 thousand asset as of September 30, 2025,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December 31, 2024 totaled $692.2 million. The amount identified as the last-of-layer in the open hedge relationship was $500.0 million, which is the amount of loans in the closed portfolio anticipated to be outstanding for the designated hedge period. The basis adjustment associated with the hedge was a $2.6 million asset as of December 31, 2024,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a $21 thousand debit and $848 thousand debit, respectively, from the swap transactions as a component of interest income in the consolidated statements of operations. During the three and nine months ended September 30, 2024, the Company recorded a $600 thousand credit and a $1.9 million credit, respectively, from the swap transactions as a component of interest income in the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following amounts were recorded on the consolidated statements of financial condition related to cumulative basis adjustment for fair value hedges: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26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left="29"/>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8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gridSpan w:val="2"/>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73"/>
        </w:trPr>
        <w:tc>
          <w:tcPr>
            <w:tcW w:w="3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0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8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Fixed Rate Loans</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1,333,890</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tcBorders>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694,774</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2,615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Cash flow hedges involve the receipt of variable amounts from a counterparty in exchange for the Company making fixed-rate payments over the life of the agreements without exchange of the underlying notional amount. The Company uses these types of derivatives to hedge the variable cash flows associated with existing or forecasted issuances of short-term borrowings.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During the next twelve months, the Company estimates that an additional $2.2 million will be reclassified as an increase to interest expense.</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did not terminate any derivatives during the nine months ended September 30, 2025 or September 30, 2024,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periods indicated: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7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7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7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96"/>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recognized in other comprehensive income (loss)</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(3,635)</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(14,500)</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(16,609)</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(15,483)</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reclassified from other comprehensive income into interest expense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(2,077)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(2,752)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(5,867)</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(7,707)</w:t>
            </w:r>
          </w:p>
        </w:tc>
      </w:tr>
    </w:tbl>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 of Financial Condition.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September 30, 2025 and December 31, 2024, the Company did not post collateral to the third-party counterparties. As of September 30, 2025, the Company received $4.6 million in collateral from its third-party counterparties under the agreements in a net asset position. As of September 30, 2025, the Company posted $5.6 million to the CME clearing house that are accounted for as settlements of the derivative liabilities. As of December 31, 2024, the Company received $9.1 million in collateral from its third-party counterparties under the agreements in a net asset position. As of December 31, 2024, the Company received $856 thousand from the CME clearing house that are accounted for as settlements of the derivative asset.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22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 attains a fixed-rate loan, while the Company receives floating rate loan payments. The Company offsets the loan level</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interest rate swap exposure by entering into an offsetting interest rate swap or interest rate floor with an unaffiliated and reputable bank counterparty. These interest rate derivatives do not qualify as designated hedges, under ASU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83"/>
        </w:trPr>
        <w:tc>
          <w:tcPr>
            <w:tcW w:w="5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5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$ 785,739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15,558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149</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903,253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61,964</w:t>
            </w:r>
          </w:p>
        </w:tc>
      </w:tr>
      <w:tr>
        <w:trPr>
          <w:trHeight w:val="20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785,739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15,558</w:t>
            </w:r>
          </w:p>
        </w:tc>
      </w:tr>
      <w:tr>
        <w:trPr>
          <w:trHeight w:val="203"/>
        </w:trPr>
        <w:tc>
          <w:tcPr>
            <w:tcW w:w="5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149</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903,253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61,964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29"/>
        </w:trPr>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83"/>
        </w:trPr>
        <w:tc>
          <w:tcPr>
            <w:tcW w:w="5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Count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321,745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104,474</w:t>
            </w:r>
          </w:p>
        </w:tc>
      </w:tr>
      <w:tr>
        <w:trPr>
          <w:trHeight w:val="20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321,745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02"/>
        </w:trPr>
        <w:tc>
          <w:tcPr>
            <w:tcW w:w="5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Loan level derivative income is recognized on the mark-to-market of the interest rate swap as a fair value adjustment at the time the transaction is closed. Total loan level derivative income is included in non-interest income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6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1,653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September 30, 2025, the Company posted $2.8 million in collateral to the third-party counterparty, and did not post collateral to its third-parties as of December 31, 2024. As of September 30, 2025, the Company received $52.7 million in collateral from its third-party counterparties under the agreements in a net asset position. As of December 31, 2024, the Company received $103.3 million in collateral from its third-party counterparties under the agreements in a net asset position.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Risk Participation Agreements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enters into risk participation agreements to manage economic risks but does not designate the instruments in hedge relationships. As of September 30, 2025 and December 31, 2024, the notional amounts of risk participation agreements for derivative liabilities were $126.6 million and $141.1 million, respectively. The related fair values of the Company’s risk participation agreements as of September 30, 2025 and December 31, 2024 were $9 thousand and $10 thousand,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 Related Contingent Features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agreements with certain of its derivative counterparties state that if the Bank fails to maintain its status as a well-capitalized institution, the Bank could be required to terminate its derivative positions with the counterparty.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September 30, 2025, there were no derivatives in a net liability position, and therefore the termination value was zero. There were no provisions breached for the three or nine months ended September 30,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74" w:lineRule="exact"/>
        <w:rPr>
          <w:sz w:val="20"/>
          <w:szCs w:val="20"/>
          <w:color w:val="auto"/>
        </w:rPr>
      </w:pPr>
    </w:p>
    <w:p>
      <w:pPr>
        <w:jc w:val="both"/>
        <w:ind w:left="60" w:right="79" w:firstLine="3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Quoted prices (unadjusted) for identical assets or liabilities in active markets that the reporting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ability to access at the measurement date.</w:t>
      </w:r>
    </w:p>
    <w:p>
      <w:pPr>
        <w:spacing w:after="0" w:line="158" w:lineRule="exact"/>
        <w:rPr>
          <w:sz w:val="20"/>
          <w:szCs w:val="20"/>
          <w:color w:val="auto"/>
        </w:rPr>
      </w:pPr>
    </w:p>
    <w:p>
      <w:pPr>
        <w:jc w:val="both"/>
        <w:ind w:left="60" w:right="59" w:firstLine="38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Significant other observable inputs such as any of the following: (1) quoted prices for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active markets, (2) quoted prices for identical or similar assets or liabilities in markets that are not active,</w:t>
      </w:r>
    </w:p>
    <w:p>
      <w:pPr>
        <w:jc w:val="both"/>
        <w:ind w:left="60" w:right="59" w:hanging="10"/>
        <w:spacing w:after="0" w:line="250" w:lineRule="auto"/>
        <w:tabs>
          <w:tab w:leader="none" w:pos="3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rates and yield curves observable at commonly quoted intervals, volatilities, prepayment speeds, loss severities, credit risks, and default rates), or</w:t>
      </w:r>
    </w:p>
    <w:p>
      <w:pPr>
        <w:ind w:left="60" w:right="59" w:hanging="10"/>
        <w:spacing w:after="0" w:line="260" w:lineRule="auto"/>
        <w:tabs>
          <w:tab w:leader="none" w:pos="3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 (market-corroborated inputs).</w:t>
      </w:r>
    </w:p>
    <w:p>
      <w:pPr>
        <w:spacing w:after="0" w:line="179"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Inputs – </w:t>
      </w:r>
      <w:r>
        <w:rPr>
          <w:rFonts w:ascii="Times New Roman" w:cs="Times New Roman" w:eastAsia="Times New Roman" w:hAnsi="Times New Roman"/>
          <w:sz w:val="18"/>
          <w:szCs w:val="18"/>
          <w:color w:val="auto"/>
        </w:rPr>
        <w:t>Significant unobservable inputs for the asset or liability. Significant unobservable inputs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entity’s own assumptions about the 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Recurring Basis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 normally sought in the evaluation of securities include benchmark yields, reported trades, broker/dealer quotes (obtained only from market makers or broker/dealers recognized as market participants), issuer spreads, two-sided markets, benchmark securities, bids, offers and reference data. For certain securities, additional inputs may be used or some market inputs may not be applicable. Prioritization of inputs may vary on any given day based on market conditions.</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 MBS, CMOs, treasury securities, and agency notes are guaranteed either implicitly or explicitly by GSEs as of September 30, 2025 and December 31, 2024, respectively. In accordance with the Company’s investment policy, corporate securities are rated “investment grade” at the time of purchase and the financials of the issuers are reviewed quarterly.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swaps and estimated fair values are based on valuation models using observable market data as of the measurement date.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11"/>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11"/>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 September 30, 2025 Using</w:t>
            </w:r>
          </w:p>
        </w:tc>
      </w:tr>
      <w:tr>
        <w:trPr>
          <w:trHeight w:val="18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02"/>
        </w:trPr>
        <w:tc>
          <w:tcPr>
            <w:tcW w:w="20" w:type="dxa"/>
            <w:vAlign w:val="bottom"/>
          </w:tcPr>
          <w:p>
            <w:pPr>
              <w:spacing w:after="0"/>
              <w:rPr>
                <w:sz w:val="17"/>
                <w:szCs w:val="17"/>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9,822</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2"/>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142,036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142,036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276,863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276,863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211,867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211,867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22,079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77,522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fair value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77,522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0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11"/>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11"/>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 December 31, 2024 Using</w:t>
            </w:r>
          </w:p>
        </w:tc>
      </w:tr>
      <w:tr>
        <w:trPr>
          <w:trHeight w:val="186"/>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Pr>
          <w:p>
            <w:pPr>
              <w:spacing w:after="0"/>
              <w:rPr>
                <w:sz w:val="16"/>
                <w:szCs w:val="16"/>
                <w:color w:val="auto"/>
              </w:rPr>
            </w:pPr>
          </w:p>
        </w:tc>
      </w:tr>
      <w:tr>
        <w:trPr>
          <w:trHeight w:val="215"/>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199"/>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163,949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163,949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300,221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191,888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108,178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108,178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Non-recurring Basis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4,445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September 30, 2025 had a carrying amount of $4.4 million, which is made up of the outstanding balance of $6.3 million, net of a valuation allowance of $1.9 million. There was a credit loss recovery of $651 thousand on collateral dependent individually evaluated loans during the nine months ended September 30, 2025, which is included in the amounts reported in the Consolidated Statements of Operations.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December 31, 2024 had a carrying amount of $7.6 million, which is made up of the outstanding balance of $9.7 million, net of a valuation allowance of $2.1 million.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Financial Instruments Not Measured at Fair Value</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940" w:type="dxa"/>
            <w:vAlign w:val="bottom"/>
          </w:tcPr>
          <w:p>
            <w:pPr>
              <w:spacing w:after="0"/>
              <w:rPr>
                <w:sz w:val="17"/>
                <w:szCs w:val="17"/>
                <w:color w:val="auto"/>
              </w:rPr>
            </w:pPr>
          </w:p>
        </w:tc>
      </w:tr>
      <w:tr>
        <w:trPr>
          <w:trHeight w:val="212"/>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at September 30, 2025 Using</w:t>
            </w:r>
          </w:p>
        </w:tc>
        <w:tc>
          <w:tcPr>
            <w:tcW w:w="940" w:type="dxa"/>
            <w:vAlign w:val="bottom"/>
            <w:tcBorders>
              <w:bottom w:val="single" w:sz="8" w:color="auto"/>
            </w:tcBorders>
          </w:tcPr>
          <w:p>
            <w:pPr>
              <w:spacing w:after="0"/>
              <w:rPr>
                <w:sz w:val="18"/>
                <w:szCs w:val="18"/>
                <w:color w:val="auto"/>
              </w:rPr>
            </w:pPr>
          </w:p>
        </w:tc>
      </w:tr>
      <w:tr>
        <w:trPr>
          <w:trHeight w:val="186"/>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940" w:type="dxa"/>
            <w:vAlign w:val="bottom"/>
          </w:tcPr>
          <w:p>
            <w:pPr>
              <w:spacing w:after="0"/>
              <w:rPr>
                <w:sz w:val="16"/>
                <w:szCs w:val="16"/>
                <w:color w:val="auto"/>
              </w:rPr>
            </w:pPr>
          </w:p>
        </w:tc>
      </w:tr>
      <w:tr>
        <w:trPr>
          <w:trHeight w:val="215"/>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1,715,044</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1,715,044</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1,715,044</w:t>
            </w:r>
          </w:p>
        </w:tc>
      </w:tr>
      <w:tr>
        <w:trPr>
          <w:trHeight w:val="203"/>
        </w:trPr>
        <w:tc>
          <w:tcPr>
            <w:tcW w:w="3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623,094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560,453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560,453</w:t>
            </w:r>
          </w:p>
        </w:tc>
      </w:tr>
      <w:tr>
        <w:trPr>
          <w:trHeight w:val="203"/>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3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10,627,168</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10,405,884</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10,405,884</w:t>
            </w:r>
          </w:p>
        </w:tc>
      </w:tr>
      <w:tr>
        <w:trPr>
          <w:trHeight w:val="203"/>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57,048</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50,528</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57,048</w:t>
            </w:r>
          </w:p>
        </w:tc>
      </w:tr>
      <w:tr>
        <w:trPr>
          <w:trHeight w:val="20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7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10,922,735</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10,922,735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10,922,735</w:t>
            </w:r>
          </w:p>
        </w:tc>
      </w:tr>
      <w:tr>
        <w:trPr>
          <w:trHeight w:val="203"/>
        </w:trPr>
        <w:tc>
          <w:tcPr>
            <w:tcW w:w="3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Certificates of deposit ("CDs")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1,138,872</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1,136,531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1,136,531</w:t>
            </w:r>
          </w:p>
        </w:tc>
      </w:tr>
      <w:tr>
        <w:trPr>
          <w:trHeight w:val="203"/>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510,952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510,952</w:t>
            </w:r>
          </w:p>
        </w:tc>
      </w:tr>
      <w:tr>
        <w:trPr>
          <w:trHeight w:val="203"/>
        </w:trPr>
        <w:tc>
          <w:tcPr>
            <w:tcW w:w="3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272,459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267,698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267,698</w:t>
            </w:r>
          </w:p>
        </w:tc>
      </w:tr>
      <w:tr>
        <w:trPr>
          <w:trHeight w:val="212"/>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9,687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62230</wp:posOffset>
            </wp:positionV>
            <wp:extent cx="141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Includes mortgage escrow deposits.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940" w:type="dxa"/>
            <w:vAlign w:val="bottom"/>
          </w:tcPr>
          <w:p>
            <w:pPr>
              <w:spacing w:after="0"/>
              <w:rPr>
                <w:sz w:val="17"/>
                <w:szCs w:val="17"/>
                <w:color w:val="auto"/>
              </w:rPr>
            </w:pPr>
          </w:p>
        </w:tc>
      </w:tr>
      <w:tr>
        <w:trPr>
          <w:trHeight w:val="212"/>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 Using</w:t>
            </w:r>
          </w:p>
        </w:tc>
        <w:tc>
          <w:tcPr>
            <w:tcW w:w="940" w:type="dxa"/>
            <w:vAlign w:val="bottom"/>
            <w:tcBorders>
              <w:bottom w:val="single" w:sz="8" w:color="auto"/>
            </w:tcBorders>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6"/>
                <w:szCs w:val="16"/>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940" w:type="dxa"/>
            <w:vAlign w:val="bottom"/>
          </w:tcPr>
          <w:p>
            <w:pPr>
              <w:spacing w:after="0"/>
              <w:rPr>
                <w:sz w:val="16"/>
                <w:szCs w:val="16"/>
                <w:color w:val="auto"/>
              </w:rPr>
            </w:pPr>
          </w:p>
        </w:tc>
      </w:tr>
      <w:tr>
        <w:trPr>
          <w:trHeight w:val="215"/>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1,283,571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1,283,571</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1,283,571</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637,339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552,277</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10,775,608</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10,354,366</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10,354,366</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55,970</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49,294</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55,970</w:t>
            </w:r>
          </w:p>
        </w:tc>
      </w:tr>
      <w:tr>
        <w:trPr>
          <w:trHeight w:val="203"/>
        </w:trPr>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10,617,060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10,617,060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10,617,060</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CDs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1,069,081</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1,066,630</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608,000</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608,908</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257,464</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r>
      <w:tr>
        <w:trPr>
          <w:trHeight w:val="108"/>
        </w:trPr>
        <w:tc>
          <w:tcPr>
            <w:tcW w:w="22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Includes mortgage escrow deposits.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carrying amount and accumulated amortization of intangible assets that are amortizable.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carrying value</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10,204</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w:t>
            </w:r>
          </w:p>
        </w:tc>
      </w:tr>
      <w:tr>
        <w:trPr>
          <w:trHeight w:val="20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5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(7,031)</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w:t>
            </w:r>
          </w:p>
        </w:tc>
      </w:tr>
      <w:tr>
        <w:trPr>
          <w:trHeight w:val="196"/>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Amortization expense recognized on intangible assets was $236 thousand and $723 thousand for the three and nine months ended September 30, 2025, respectively. Amortization expense recognized on intangible assets was $286 thousand and $878 thousand for the three and nine months ended September 30,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amortization expense for the remainder of 2025 through 2029 and thereafter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03"/>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196"/>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FHLBNY ADVANCES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had borrowings from the FHLBNY totaling $508.0 million and $608.0 million at September 30, 2025 and December 31, 2024, respectively, all of which were fixed rate. In accordance with the Collateral Pledge and Security Agreement with the FHLBNY, the Bank had remaining FHLBNY borrowing capacity of $1.78 billion as of September 30, 2025 and $1.84 billion as of December 31, 2024, and maintained sufficient qualifying collateral, as defined by the FHLBNY.</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the three or nine months ended September 30, 2025, the Company did not incur any prepayment penalty expense related to the extinguishment of debt. During the three and nine months ended September 30, 2024, the Company had $1 thousand and $454 thousand, respectively, of prepayment penalty expense recognized as a loss on extinguishment of debt.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is a summary of FHLBNY extinguishments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6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r>
      <w:tr>
        <w:trPr>
          <w:trHeight w:val="196"/>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advances extinguished</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1,805,000</w:t>
            </w:r>
          </w:p>
        </w:tc>
        <w:tc>
          <w:tcPr>
            <w:tcW w:w="240" w:type="dxa"/>
            <w:vAlign w:val="bottom"/>
            <w:tcBorders>
              <w:top w:val="single" w:sz="8" w:color="CCEEFF"/>
            </w:tcBorders>
            <w:shd w:val="clear" w:color="auto" w:fill="CCEEFF"/>
          </w:tcPr>
          <w:p>
            <w:pPr>
              <w:spacing w:after="0"/>
              <w:rPr>
                <w:sz w:val="17"/>
                <w:szCs w:val="17"/>
                <w:color w:val="auto"/>
              </w:rPr>
            </w:pPr>
          </w:p>
        </w:tc>
      </w:tr>
      <w:tr>
        <w:trPr>
          <w:trHeight w:val="20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rate</w:t>
            </w:r>
          </w:p>
        </w:tc>
        <w:tc>
          <w:tcPr>
            <w:tcW w:w="26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5.25 %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 %</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5.28 %</w:t>
            </w:r>
          </w:p>
        </w:tc>
      </w:tr>
      <w:tr>
        <w:trPr>
          <w:trHeight w:val="203"/>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4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FHLBNY advances for each of the next five years.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Overnight, fixed rate at 4.67%</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 fixed rate at rates from 4.29% to 4.50%</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400,000</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3"/>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fixed rate at 4.25%</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36,000</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w:t>
            </w:r>
          </w:p>
        </w:tc>
      </w:tr>
      <w:tr>
        <w:trPr>
          <w:trHeight w:val="20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 fixed rate at 4.04%</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12,000</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fixed rate at rates from 3.98% to 4.03%</w:t>
            </w: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60,000</w:t>
            </w: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19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FHLBNY advances</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40" w:type="dxa"/>
            <w:vAlign w:val="bottom"/>
          </w:tcPr>
          <w:p>
            <w:pPr>
              <w:spacing w:after="0"/>
              <w:rPr>
                <w:sz w:val="17"/>
                <w:szCs w:val="17"/>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608,000</w:t>
            </w: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FHLBNY advances had a weighted average interest rate of 4.32% and 4.58% at September 30, 2025 and December 31,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SUBORDINATED DEBENTURES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June 28, 2024, the Company issued $65.0 million aggregate principal amount of fixed-to-floating rate subordinated notes due 2034 (“the 2024 Notes”). The 2024 Notes are callable at par after five years, have a stated maturity of July 15, 2034, and bear interest at a fixed annual rate of 9.00% per year, payable quarterly in arrears on January 15, April 15, July 15, and October 15 of each year, commencing on October 15, 2024. The last interest payment for the fixed rate period will be July 15, 2029. From and including July 15, 2029, to, but excluding the stated maturity date or any earlier redemption date, the interest rate will reset quarterly to an annual interest rate equal to the benchmark rate (which is expected to be Three-Month Term SOFR) plus 495.1 basis points, payable quarterly in arrears on January 15, April 15, July 15, and October 15 of each year, commencing on October 15, 2029.</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Subsequently, on July 9, 2024, the Company issued and sold an additional $9.8 million of the 2024 Notes, pursuant to an overallotment option granted to the underwriters of the offering. Including the overallotment option, the total gross proceeds from the offering were $74.8 million, before discounts and offering expenses.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6, 2022, the Company issued $160.0 million aggregate principal amount of fixed-to-floating rate subordinated notes due 2032 (“the 2022 Notes”). The 2022 Notes are callable at par after five years,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SOFR) plus 218-basis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remaining $40.0 million of fixed-to-floating rate subordinated debentures were issued by the Company in September 2015, are callable at par after ten years, have a stated maturity of September 30, 2030, and bear interest at a fixed annual rate of 5.75% per year, for the first ten years. From and including September 30, 2025 to the maturity date or early redemption date, the interest rate will reset quarterly to an annual interest rate equal to the then-current three-month CME Term SOFR plus 372 basis points.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subordinated debentures totaled $272.5 million and $272.3 million at September 30, 2025 and December 31, 2024, respectively. Interest expense related to the subordinated debentures was $4.3 million during the three months ended September 30, 2025 and 2024, respectively. Interest expense related to the subordinated debentures was $12.9 million and $9.5 million during the nine months ended September 30, 2025 and 2024, respectively. The subordinated debentures are included in tier 2 capital (with certain limitations applicable) under current regulatory guidelines and interpretations.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RETIREMENT AND POSTRETIREMENT PLANS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Bank maintains two noncontributory pension plans that existed before the Merger: (i) the Retirement Plan of Dime Community Bank (“Employee Retirement Plan”) and (ii) the BNB Bank Pension Plan, covering all eligible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121"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On December 21, 2023, the Company’s Board of Directors adopted a resolution to terminate the Employee Retirement Plan effective December 31, 2023. Retirement benefits of the plan were vested as they were earned. For the year ended December 31, 2024,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Employee Retirement Plan.</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BNB Bank Pension Plan</w:t>
      </w:r>
    </w:p>
    <w:p>
      <w:pPr>
        <w:spacing w:after="0" w:line="229"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During 2012, Bridge Bancorp, Inc.,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The termination was effectively completed by March 31, 2025, and all related liabilities were fully settled. Retirement benefits of the plan were vested as they were earned. For the year ended December 31, 2024,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BNB Bank Pension Plan.</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represent the components of net periodic (credit) benefit cost associated with these plans: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83"/>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Retirement Plan</w:t>
            </w:r>
          </w:p>
        </w:tc>
      </w:tr>
      <w:tr>
        <w:trPr>
          <w:trHeight w:val="202"/>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8"/>
                <w:szCs w:val="18"/>
                <w:color w:val="auto"/>
              </w:rPr>
            </w:pPr>
          </w:p>
        </w:tc>
      </w:tr>
      <w:tr>
        <w:trPr>
          <w:trHeight w:val="22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tcPr>
          <w:p>
            <w:pPr>
              <w:spacing w:after="0"/>
              <w:rPr>
                <w:sz w:val="19"/>
                <w:szCs w:val="19"/>
                <w:color w:val="auto"/>
              </w:rPr>
            </w:pPr>
          </w:p>
        </w:tc>
      </w:tr>
      <w:tr>
        <w:trPr>
          <w:trHeight w:val="214"/>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Pr>
          <w:p>
            <w:pPr>
              <w:spacing w:after="0"/>
              <w:rPr>
                <w:sz w:val="18"/>
                <w:szCs w:val="18"/>
                <w:color w:val="auto"/>
              </w:rPr>
            </w:pPr>
          </w:p>
        </w:tc>
      </w:tr>
      <w:tr>
        <w:trPr>
          <w:trHeight w:val="211"/>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benefit (credit)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8"/>
                <w:szCs w:val="18"/>
                <w:color w:val="auto"/>
              </w:rPr>
            </w:pPr>
          </w:p>
        </w:tc>
      </w:tr>
      <w:tr>
        <w:trPr>
          <w:trHeight w:val="208"/>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Settlement loss recognized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19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benefit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960" w:type="dxa"/>
            <w:vAlign w:val="bottom"/>
            <w:tcBorders>
              <w:bottom w:val="single" w:sz="8" w:color="auto"/>
            </w:tcBorders>
          </w:tcPr>
          <w:p>
            <w:pPr>
              <w:spacing w:after="0"/>
              <w:rPr>
                <w:sz w:val="18"/>
                <w:szCs w:val="18"/>
                <w:color w:val="auto"/>
              </w:rPr>
            </w:pPr>
          </w:p>
        </w:tc>
      </w:tr>
      <w:tr>
        <w:trPr>
          <w:trHeight w:val="199"/>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960" w:type="dxa"/>
            <w:vAlign w:val="bottom"/>
            <w:tcBorders>
              <w:bottom w:val="single" w:sz="8" w:color="auto"/>
            </w:tcBorders>
          </w:tcPr>
          <w:p>
            <w:pPr>
              <w:spacing w:after="0"/>
              <w:rPr>
                <w:sz w:val="17"/>
                <w:szCs w:val="17"/>
                <w:color w:val="auto"/>
              </w:rPr>
            </w:pPr>
          </w:p>
        </w:tc>
      </w:tr>
      <w:tr>
        <w:trPr>
          <w:trHeight w:val="383"/>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Retirement Plan</w:t>
            </w:r>
          </w:p>
        </w:tc>
      </w:tr>
      <w:tr>
        <w:trPr>
          <w:trHeight w:val="202"/>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0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(534)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(968)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02"/>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19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(credit)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loss recognized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benefit cost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contributions to the BNB Bank Pension Plan or the Employee Retirement Plan for the three or nine months ended September 30, 2025 and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18"/>
          <w:szCs w:val="18"/>
          <w:color w:val="auto"/>
        </w:rPr>
        <w:t>The Company maintains a 401(k) Plan (the “401(k) Plan”) that existed before the Merger. The 401(k) Plan covers substantially all current employees. Newly hired employees are automatically enrolled in the plan on the first pay date following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employment, unless they elect not to participate. Participants may contribute a portion of their pre-tax base salary, generally not to exceed $23,500 for the calendar year ended December 31, 2025. Under the provisions of the 401(k) Plan, Dime Community Bank provides an employer non-elective contribution to employee accounts equivalent to 3% of eligible compensation. Participants can invest their account balances into several investment alternatives. The 401(k) Plan does not allow for investment of new contributions in the Company’s common stock, nor does it allow participants to transfer existing balances into the Company’s common stock. The 401(k) Plan held Company common stock within the accounts of participants totaling $6.3 million at September 30, 2025 and 2024, respectively. During the three and nine months ended September 30, 2025, total expense recognized as a component of salaries and employee benefits expense for the 401(k) Plan was $629 thousand and $2.6 million, respectively. During the three and nine months ended September 30, 2024, total expense recognized as a component of salaries and employee benefits expense for the 401(k) Plan was $566 thousand and $2.2 million, respectively.</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2021, the Company’s stockholders approved the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The Company no longer makes grants under the Legacy Stock Plans. Awards outstanding under the Legacy Stock Plans will continue to remain outstanding and subject to the terms and conditions of the Legacy Stock Plans. An additional 1,185,000 shares of common stock were reserved to be issued under the 2021 Equity Incentive Plan following stockholder approval at the Annual Meeting of Shareholders on May 23, 2024. At September 30, 2025, there were 1,167,731 shares reserved for issuance under the 2021 Equity Incentive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activity related to stock options granted under the Legacy Stock Plans, and changes during the period then ended: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 except share and per share amounts)</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4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January 1, 2025</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6"/>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September 30,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and exercisable at September 30,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stock options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6"/>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6"/>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4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for option exercise cost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recognized on stock option exercises</w:t>
            </w:r>
          </w:p>
        </w:tc>
        <w:tc>
          <w:tcPr>
            <w:tcW w:w="80" w:type="dxa"/>
            <w:vAlign w:val="bottom"/>
          </w:tcPr>
          <w:p>
            <w:pPr>
              <w:spacing w:after="0"/>
              <w:rPr>
                <w:sz w:val="17"/>
                <w:szCs w:val="17"/>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range of exercise prices and weighted-average remaining contractual lives of both outstanding and vested options (by option exercise cost) as of September 30, 2025 were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7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Vested Options</w:t>
            </w:r>
          </w:p>
        </w:tc>
      </w:tr>
      <w:tr>
        <w:trPr>
          <w:trHeight w:val="183"/>
        </w:trPr>
        <w:tc>
          <w:tcPr>
            <w:tcW w:w="5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2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Contractual</w:t>
            </w:r>
          </w:p>
        </w:tc>
      </w:tr>
      <w:tr>
        <w:trPr>
          <w:trHeight w:val="203"/>
        </w:trPr>
        <w:tc>
          <w:tcPr>
            <w:tcW w:w="52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15"/>
        </w:trPr>
        <w:tc>
          <w:tcPr>
            <w:tcW w:w="528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99"/>
        </w:trPr>
        <w:tc>
          <w:tcPr>
            <w:tcW w:w="5280" w:type="dxa"/>
            <w:vAlign w:val="bottom"/>
            <w:tcBorders>
              <w:top w:val="single" w:sz="8" w:color="CCEEFF"/>
            </w:tcBorders>
            <w:shd w:val="clear" w:color="auto" w:fill="CCEEFF"/>
          </w:tcPr>
          <w:p>
            <w:pPr>
              <w:jc w:val="right"/>
              <w:ind w:right="4099"/>
              <w:spacing w:after="0"/>
              <w:rPr>
                <w:sz w:val="20"/>
                <w:szCs w:val="20"/>
                <w:color w:val="auto"/>
              </w:rPr>
            </w:pPr>
            <w:r>
              <w:rPr>
                <w:rFonts w:ascii="Times New Roman" w:cs="Times New Roman" w:eastAsia="Times New Roman" w:hAnsi="Times New Roman"/>
                <w:sz w:val="16"/>
                <w:szCs w:val="16"/>
                <w:b w:val="1"/>
                <w:bCs w:val="1"/>
                <w:color w:val="auto"/>
                <w:w w:val="99"/>
              </w:rPr>
              <w:t>Exercise Prices:</w:t>
            </w: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5280" w:type="dxa"/>
            <w:vAlign w:val="bottom"/>
          </w:tcPr>
          <w:p>
            <w:pPr>
              <w:jc w:val="right"/>
              <w:ind w:right="4739"/>
              <w:spacing w:after="0"/>
              <w:rPr>
                <w:sz w:val="20"/>
                <w:szCs w:val="20"/>
                <w:color w:val="auto"/>
              </w:rPr>
            </w:pPr>
            <w:r>
              <w:rPr>
                <w:rFonts w:ascii="Times New Roman" w:cs="Times New Roman" w:eastAsia="Times New Roman" w:hAnsi="Times New Roman"/>
                <w:sz w:val="16"/>
                <w:szCs w:val="16"/>
                <w:color w:val="auto"/>
                <w:w w:val="99"/>
              </w:rPr>
              <w:t>$34.87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5280" w:type="dxa"/>
            <w:vAlign w:val="bottom"/>
            <w:shd w:val="clear" w:color="auto" w:fill="CCEEFF"/>
          </w:tcPr>
          <w:p>
            <w:pPr>
              <w:jc w:val="right"/>
              <w:ind w:right="4739"/>
              <w:spacing w:after="0"/>
              <w:rPr>
                <w:sz w:val="20"/>
                <w:szCs w:val="20"/>
                <w:color w:val="auto"/>
              </w:rPr>
            </w:pPr>
            <w:r>
              <w:rPr>
                <w:rFonts w:ascii="Times New Roman" w:cs="Times New Roman" w:eastAsia="Times New Roman" w:hAnsi="Times New Roman"/>
                <w:sz w:val="16"/>
                <w:szCs w:val="16"/>
                <w:color w:val="auto"/>
                <w:w w:val="99"/>
              </w:rPr>
              <w:t>$35.35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5280" w:type="dxa"/>
            <w:vAlign w:val="bottom"/>
            <w:tcBorders>
              <w:bottom w:val="single" w:sz="8" w:color="CCEEFF"/>
            </w:tcBorders>
          </w:tcPr>
          <w:p>
            <w:pPr>
              <w:jc w:val="right"/>
              <w:ind w:right="4739"/>
              <w:spacing w:after="0"/>
              <w:rPr>
                <w:sz w:val="20"/>
                <w:szCs w:val="20"/>
                <w:color w:val="auto"/>
              </w:rPr>
            </w:pPr>
            <w:r>
              <w:rPr>
                <w:rFonts w:ascii="Times New Roman" w:cs="Times New Roman" w:eastAsia="Times New Roman" w:hAnsi="Times New Roman"/>
                <w:sz w:val="16"/>
                <w:szCs w:val="16"/>
                <w:color w:val="auto"/>
                <w:w w:val="99"/>
              </w:rPr>
              <w:t>$36.19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6"/>
        </w:trPr>
        <w:tc>
          <w:tcPr>
            <w:tcW w:w="5280" w:type="dxa"/>
            <w:vAlign w:val="bottom"/>
            <w:tcBorders>
              <w:bottom w:val="single" w:sz="8" w:color="CCEEFF"/>
            </w:tcBorders>
            <w:shd w:val="clear" w:color="auto" w:fill="CCEEFF"/>
          </w:tcPr>
          <w:p>
            <w:pPr>
              <w:jc w:val="right"/>
              <w:ind w:right="4759"/>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5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RSAs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7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5"/>
        </w:trPr>
        <w:tc>
          <w:tcPr>
            <w:tcW w:w="6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470,236</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(237,235)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(16,622)</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19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September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RSAs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6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62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1,435</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r>
      <w:tr>
        <w:trPr>
          <w:trHeight w:val="212"/>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recognized on vesting of RSAs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bl>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$8.2 million of total unrecognized compensation cost related to unvested RSAs to be recognized over a weighted-average period of 2.0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Performance-Based Share Awards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maintains a Long-Term Incentive Plan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in order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PSAs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258,864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(12,430)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(7,166)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September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Minimum aggregate share payout</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aggregate share payout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334,349</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PSAs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6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64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(benefit) recognized</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1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recognized on vesting of PSAs</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$3.7 million of total unrecognized compensation cost related to unvested PSAs based on the expected aggregate share payout to be recognized over a weighted-average period of 1.8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Company’s consolidated effective tax rates were 31.0% and 26.9%, respectively. During the nine months ended September 30, 2025 and 2024, the Company’s consolidated effective tax rates were 27.7% and 27.8%, respectively. There were no significant unusual income tax items during the three or nine months ended September 30, 2025 and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Chief Executive Officer, who is designated as the chief operating decision maker (“CODM”), determines the Company’s reportable segment. The Chief Executive Officer along with others in the Company’s executive management evaluates performance and allocates resources based upon analysis of the Company as one operating segment or unit. The activities of the Company comprise one reportable segment, “Community Banking.” All of the Company’s activities are interrelated, and each activity is dependent and assessed based on the manner in which it supports the other activities of the Company. All the consolidated assets are attributable to the Community Banking segment. The accounting policies of the Community Banking segment are the same as those described in Note 1 “Summary of Significant Accounting Policies” in the Company’s Annual Report on Form 10-K for fiscal year ended December 31, 2024.</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provides a range of community banking services, including commercial and consumer lending, personal and business banking, treasury management and merchant services, and other financial services primarily to individuals, businesses, and municipalities in the Greater Long Island area.</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CODM is provided with the Company’s consolidated statements of financial condition and operations and evaluates the Company’s operating results based on consolidated net interest income, non-interest income, non-interest expense, and net income, which can be seen on the consolidated statement of operations. These results are used to benchmark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management’s compensation. All revenues are derived from banking operations within the United States, and for the three or nine months ended September 30, 2025 and 2024, no customer accounted for more than 10% of the Company's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Dime Community Bancshares, Inc., a New York corporation, is a bank holding company formed in 1988. On a parent-only basis, the Company has minimal operations, other than as owner of Dime Community Bank. The Company is dependent on dividends from its wholly-owned subsidiary, Dime Community Bank, its own earnings, additional capital raised, and borrowings as sources of funds. 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The level of non-interest expenses, such as salaries and benefits, occupancy and equipment costs, other general and administrative expenses, expenses from the Bank’s title insurance subsidiary, and income tax expense, further affects our net income. Certain reclassifications have been made to prior year amounts and the related discussion and analysis to conform to the current year presentation. These reclassifications did not have an impact on net income or total stockholders'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Highlights and Other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At or For the</w:t>
            </w:r>
          </w:p>
        </w:tc>
        <w:tc>
          <w:tcPr>
            <w:tcW w:w="140" w:type="dxa"/>
            <w:vAlign w:val="bottom"/>
          </w:tcPr>
          <w:p>
            <w:pPr>
              <w:spacing w:after="0"/>
              <w:rPr>
                <w:sz w:val="17"/>
                <w:szCs w:val="17"/>
                <w:color w:val="auto"/>
              </w:rPr>
            </w:pPr>
          </w:p>
        </w:tc>
        <w:tc>
          <w:tcPr>
            <w:tcW w:w="18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At or For the</w:t>
            </w:r>
          </w:p>
        </w:tc>
      </w:tr>
      <w:tr>
        <w:trPr>
          <w:trHeight w:val="203"/>
        </w:trPr>
        <w:tc>
          <w:tcPr>
            <w:tcW w:w="2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8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2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88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9"/>
        </w:trPr>
        <w:tc>
          <w:tcPr>
            <w:tcW w:w="2240" w:type="dxa"/>
            <w:vAlign w:val="bottom"/>
            <w:tcBorders>
              <w:bottom w:val="single" w:sz="8" w:color="CCEEFF"/>
            </w:tcBorders>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r>
      <w:tr>
        <w:trPr>
          <w:trHeight w:val="19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Reported EPS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Book value per common share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30.44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payout ratio</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42.37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86.21 %</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44.91 %</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66.37 %</w:t>
            </w:r>
          </w:p>
        </w:tc>
      </w:tr>
      <w:tr>
        <w:trPr>
          <w:trHeight w:val="20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and Other Selected Ratios: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0.77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0.39 %</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0.75 %</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0.49 %</w:t>
            </w: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20" w:type="dxa"/>
            <w:vAlign w:val="bottom"/>
            <w:shd w:val="clear" w:color="auto" w:fill="CCEEFF"/>
          </w:tcPr>
          <w:p>
            <w:pPr>
              <w:spacing w:after="0"/>
              <w:rPr>
                <w:sz w:val="17"/>
                <w:szCs w:val="17"/>
                <w:color w:val="auto"/>
              </w:rPr>
            </w:pPr>
          </w:p>
        </w:tc>
      </w:tr>
      <w:tr>
        <w:trPr>
          <w:trHeight w:val="202"/>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interest margin</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Average interest-earning assets to average interest-bearing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148.06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147.35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Loan-to-deposit ratio at end of period</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Effective tax rate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Summary:</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Non-performing loans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72,054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72,054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49,463</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72,054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72,054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49,463</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charge-offs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12,586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assets/Total assets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0.36 %</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0.36 %</w:t>
            </w: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Non-performing loans/Total loans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Allowance for credit losses/Total loans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Allowance for credit losses/Non-performing loans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130.54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220" w:type="dxa"/>
            <w:vAlign w:val="bottom"/>
            <w:shd w:val="clear" w:color="auto" w:fill="CCEEFF"/>
          </w:tcPr>
          <w:p>
            <w:pPr>
              <w:spacing w:after="0"/>
              <w:rPr>
                <w:sz w:val="17"/>
                <w:szCs w:val="17"/>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9" w:lineRule="exact"/>
        <w:rPr>
          <w:sz w:val="20"/>
          <w:szCs w:val="20"/>
          <w:color w:val="auto"/>
        </w:rPr>
      </w:pPr>
    </w:p>
    <w:p>
      <w:pPr>
        <w:ind w:left="240" w:hanging="190"/>
        <w:spacing w:after="0"/>
        <w:tabs>
          <w:tab w:leader="none" w:pos="24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Non-performing loans are defined as all loans on non-accrual status.</w:t>
      </w:r>
    </w:p>
    <w:p>
      <w:pPr>
        <w:spacing w:after="0" w:line="200" w:lineRule="exact"/>
        <w:rPr>
          <w:rFonts w:ascii="Times New Roman" w:cs="Times New Roman" w:eastAsia="Times New Roman" w:hAnsi="Times New Roman"/>
          <w:sz w:val="24"/>
          <w:szCs w:val="24"/>
          <w:color w:val="auto"/>
          <w:vertAlign w:val="superscript"/>
        </w:rPr>
      </w:pPr>
    </w:p>
    <w:p>
      <w:pPr>
        <w:spacing w:after="0" w:line="219" w:lineRule="exact"/>
        <w:rPr>
          <w:rFonts w:ascii="Times New Roman" w:cs="Times New Roman" w:eastAsia="Times New Roman" w:hAnsi="Times New Roman"/>
          <w:sz w:val="24"/>
          <w:szCs w:val="24"/>
          <w:color w:val="auto"/>
          <w:vertAlign w:val="superscript"/>
        </w:rPr>
      </w:pPr>
    </w:p>
    <w:p>
      <w:pPr>
        <w:ind w:left="44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Note 1. Summary of Significant Accounting Policies, to the Company’s Audited Consolidated Financial Statements in its Annual Report on Form 10-K for the year ended December 31, 2024 contains a summary of significant accounting policies. These critical accounting estimates involve a significant degree of complexity and require management to make difficult subjective judgments which often necessitate assumptions or estimates about highly uncertain matters. Policies with respect to the methodology used to determine the allowance for credit losses on loans held for investment are important to the presentation of the Company’s consolidated financial condition and results of operations. The use of different judgments, assumptions or estimates could result in material variations in the Company’s consolidated results of operations or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has reviewed the following critical accounting estimates and related disclosures with its Audit Committee.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on Loans Held for Investment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which are subjective and require significant management judgment. These factors include:</w:t>
      </w:r>
    </w:p>
    <w:p>
      <w:pPr>
        <w:spacing w:after="0" w:line="3" w:lineRule="exact"/>
        <w:rPr>
          <w:sz w:val="20"/>
          <w:szCs w:val="20"/>
          <w:color w:val="auto"/>
        </w:rPr>
      </w:pPr>
    </w:p>
    <w:p>
      <w:pPr>
        <w:jc w:val="both"/>
        <w:ind w:left="60" w:right="59" w:hanging="10"/>
        <w:spacing w:after="0" w:line="250"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w:t>
      </w:r>
    </w:p>
    <w:p>
      <w:pPr>
        <w:spacing w:after="0" w:line="1"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it uses the best information available to establish the Allowance for Credit Loss, management assesses the sensitivity of key quantitative assumptions including macroeconomic forecasts and prepayment rate assumptions. Changes in quantitative inputs may not occur in the same direction or magnitude across all segments of our loan portfolio and deterioration in some quantitative inputs may offset improvement in others.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which would materially decrease our net income.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Board of Directors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in order to assess potential future liquidity concerns. A forecast of cash flow data for the upcoming 12 months is presented to the Board of Directors no less than annually. Given recent banking industry events, management monitors the level of uninsured deposits on a regular basis.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payments,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Federal National Mortgage Association and Federal Home Loan Mortgage Corporation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is a member of American Financial Exchange (“AFX”), through which it may either borrow or lend funds on an overnight or short-term basis with other member institutions. The availability of funds changes daily. At September 30, 2025, the Bank did not have any such borrowings outstanding through the AFX. At December 31, 2024, the Bank had $50.0 million of such borrowings outstanding through the AFX, which is included in other short-term borrowings on the consolidated statements of financial condition.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utilizes repurchase agreements as part of its borrowing policy to add liquidity. Repurchase agreements represent funds received from customers, generally on an overnight basis, which are collateralized by investment securities. As of September 30, 2025 and December 31, 2024, the Bank did not have any repurchase agreements.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the equity or bond markets could adversely impact the Bank’s deposit flows.</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Total deposits (including mortgage escrow deposits) increased $375.5 million during the nine months ended September 30, 2025, compared to an increase of $886.7 million during the nine months ended September 30, 2024. The increase in deposits during the current period was primarily due to increases in non-interest-bearing checking accounts, money market accounts, CDs and interest bearing checking accounts, partially offset by a decline in savings accounts deposits.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event that the Bank should require funds beyond its ability or desire to generate them internally, additional sources of funds are available through a borrowing line at the FHLBNY, borrowing capacity at the AFX, lines of credit with unaffiliated correspondent banks, and various brokered deposit sources. At September 30, 2025, the Bank had remaining borrowing capacity of $1.78 billion through the FHLBNY, subject to customary minimum FHLBNY common stock ownership requirements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4.5% of the Bank’s outstanding FHLBNY borrowings). The Bank also had access to the Federal Reserve Bank (“FRB”) Discount Window. At September 30, 2025, an available line of credit totaling $351.6 million was in place at the FRB backed by investment securities with no advances drawn. Additionally, at September 30, 2025, a line of credit totaling $3.32 billion was in place at the FRB secured by certain qualifying 1-4 family residential mortgage loans, construction loans and commercial real estate loans with no amounts drawn.</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reduced its outstanding FHLBNY advances by $100.0 million during the nine months ended September 30, 2025, compared to a reduction of $805.0 million during the nine months ended September 30, 2024. See Note 12. “FHLBNY Advances” for further information.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Subordinated debentures totaled $272.5 million at September 30, 2025 compared to $272.3 million at December 31, 2024.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13. “Subordinated Debentures” to our Consolidated Financial Statements for further information.</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and 2024, business loan originations excluding new lines were $279.5 million and $236.1 million, respectively. During the nine months ended September 30, 2025, and 2024, real estate loan originations excluding new lines (excluding owner-occupied commercial real estate) totaled $196.3 million and $147.2 million, respectively.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and the Bank are subject to minimum regulatory capital requirements imposed by their primary federal regulators. As a general matter, these capital requirements are based on the amount and composition of an institution’s assets. At September 30, 2025, both the Company and the Bank were in compliance with all applicable regulatory capital requirements and the Bank was considered “well capitalized” for all regulatory purposes.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Company and Bank capital ratios calculated under the Basel III Capital Rules framework as of the period indicated: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7"/>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Actual Ratios at September 30, 2025</w:t>
            </w:r>
          </w:p>
        </w:tc>
      </w:tr>
      <w:tr>
        <w:trPr>
          <w:trHeight w:val="183"/>
        </w:trPr>
        <w:tc>
          <w:tcPr>
            <w:tcW w:w="4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1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4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 Be Categorized as</w:t>
            </w:r>
          </w:p>
        </w:tc>
      </w:tr>
      <w:tr>
        <w:trPr>
          <w:trHeight w:val="232"/>
        </w:trPr>
        <w:tc>
          <w:tcPr>
            <w:tcW w:w="4160" w:type="dxa"/>
            <w:vAlign w:val="bottom"/>
          </w:tcPr>
          <w:p>
            <w:pPr>
              <w:spacing w:after="0"/>
              <w:rPr>
                <w:sz w:val="20"/>
                <w:szCs w:val="20"/>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Bank</w:t>
            </w:r>
          </w:p>
        </w:tc>
        <w:tc>
          <w:tcPr>
            <w:tcW w:w="10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170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“Well Capitalized” </w:t>
            </w:r>
            <w:r>
              <w:rPr>
                <w:rFonts w:ascii="Times New Roman" w:cs="Times New Roman" w:eastAsia="Times New Roman" w:hAnsi="Times New Roman"/>
                <w:sz w:val="24"/>
                <w:szCs w:val="24"/>
                <w:b w:val="1"/>
                <w:bCs w:val="1"/>
                <w:color w:val="auto"/>
                <w:vertAlign w:val="superscript"/>
              </w:rPr>
              <w:t>(1)</w:t>
            </w: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common equity ratio</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17"/>
                <w:szCs w:val="17"/>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7"/>
                <w:szCs w:val="17"/>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4"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Only the Bank is subject to these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did not repurchase any shares of its common stock. As of September 30, 2025, 1,566,947 shares remained available for purchase under the authorized share repurchase programs. See “Part II - Item 2. Other Information - Unregistered Sales of Equity Securities, Use of Proceeds and Issuer Purchases of Equity Securities” for additional information about repurchases of common stock.</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paid $5.5 million in cash dividends on its preferred stock during the nine months ended September 30, 2025, and 2024,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paid $32.2 million and $28.5 million in cash dividends on its common stock during the nine months ended September 30,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generally has borrowings outstanding in the form of FHLBNY advances, short-term or overnight borrowings, subordinated debt, as well as customer CDs with fixed contractual interest rates. In addition, the Bank is obligated to make rental payments under leases on certain of its branches and equipment.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September 30, 2025, the Bank had $155.7 million of firm loan commitments that were accepted by the borrowers.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in connection with a loan securitization completed in December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$28.0 million. The Bank has pledged $27.9 million of pass-through MBS issued by GSEs as collateral.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of Lending Activities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Non-owner occupied commercial real estate loans and multifamily residential and residential mixed-use loans have collectively represented the largest percentage of the Company’s loan portfolio, accounting for 61% and 65% of total loans held for investment as of September 30, 2025 and December 31, 2024, respectively. Non-owner occupied commercial real estate loans represent 28% and 30% of total loans held for investment as of September 30, 2025 and December 31, 2024, respectively. Multifamily residential and residential mixed-use loans made up 33% and 35% of total loans held for investment as of September 30, 2025 and December 31, 2024, respectively. The Company expects that non-owner occupied commercial real estate loans and multifamily residential and residential mixed-use loans will continue to be a significant portion of the Company’s total loan portfolio.</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Non-owner occupied commercial real estate loans and multifamily residential and residential mixed-use loans are subject to a varying degree of risk associated with changing general economic conditions. The Company employs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appropriate capital levels as needed to support lending activities.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Despite the Company's concentration in non-owner occupied commercial real estate and multifamily residential and residential mixed-use loans, the properties securing these portfolios are diversified in terms of type and geographic location. This diversity helps reduce the exposure to adverse economic events that affect any single market or industry. As a matter of policy, the non-owner occupied commercial real estate loan and the multifamily residential and residential mixed-use loan portfolios are subject to risk exposure limits by individual asset classes as well as geographic collateral locations outside of our market areas.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regularly identify and assess concentration levels through ongoing reporting to our Board of Directors as well as committees at both the Board and Management levels. The management team has extensive knowledge and experience in underwriting non-owner occupied commercial real estate loans and multifamily residential and residential mixed-use loans. Management has established the Credit Risk Management Committee which meets quarterly to review all policies and procedures, large lending exposures, and emerging trends including trends related to delinquency, debt service coverage ratios, loan-to-value, and loan ratings to aid in early detection and escalation of potential issues. The Company has a dedicated team responsible for conducting comprehensive annual reviews of the portfolios, ensuring consistent oversight. Credit underwriting standards are periodically reviewed and adjusted based upon observations from our ongoing monitoring of economic conditions in major real estate markets in which we lend. In response to the current dynamic interest rate environment and changes in the benchmark rates that determine loan pricing, the Company has enhanced its stress testing and loan review activities to mitigate interest rate reset risk with a specific emphasis on borrowers' abilities to absorb the impact of higher interest loan rates and measure the resiliency of the portfolios. As a general rule, Management takes a selective approach to originating non-owner occupied commercial real estate and multifamily residential and residential mixed-use loans, prioritizing quality and strategic alignment.</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composition by property type and weighted average loan-to-value (“LTV”)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non-owner occupied commercial real estate loans: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NY</w:t>
            </w:r>
          </w:p>
        </w:tc>
        <w:tc>
          <w:tcPr>
            <w:tcW w:w="1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70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LTV</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988,425</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65,898</w:t>
            </w:r>
          </w:p>
        </w:tc>
        <w:tc>
          <w:tcPr>
            <w:tcW w:w="16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3,496</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1,057,819</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400,430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149,534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553,037</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301,722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14,614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68,462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384,798</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311,514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323,702</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169,874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169,874</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76,317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28,009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104,326</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112,839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112,839</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facility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60,506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60,506</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203,018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208,363</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2,624,645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233,156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117,463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2,975,264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14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line="224" w:lineRule="auto"/>
        <w:tabs>
          <w:tab w:leader="none" w:pos="38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211" w:lineRule="exact"/>
        <w:rPr>
          <w:rFonts w:ascii="Times New Roman" w:cs="Times New Roman" w:eastAsia="Times New Roman" w:hAnsi="Times New Roman"/>
          <w:sz w:val="27"/>
          <w:szCs w:val="27"/>
          <w:color w:val="auto"/>
          <w:vertAlign w:val="superscript"/>
        </w:rPr>
      </w:pPr>
    </w:p>
    <w:p>
      <w:pPr>
        <w:ind w:left="606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b w:val="1"/>
          <w:bCs w:val="1"/>
          <w:color w:val="auto"/>
        </w:rPr>
        <w:t>December 31, 2024</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17"/>
        </w:trPr>
        <w:tc>
          <w:tcPr>
            <w:tcW w:w="2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NY</w:t>
            </w:r>
          </w:p>
        </w:tc>
        <w:tc>
          <w:tcPr>
            <w:tcW w:w="1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70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LTV</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1,085,618</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62,990</w:t>
            </w:r>
          </w:p>
        </w:tc>
        <w:tc>
          <w:tcPr>
            <w:tcW w:w="16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3,594</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1,152,202</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439,359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162,367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604,853</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337,288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16,675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69,314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423,277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356,450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368,809</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161,207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161,207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106,403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134,873</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120,719</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facility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60,866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60,866</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196,304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203,729</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2,864,214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245,220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121,101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3,230,535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14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line="224" w:lineRule="auto"/>
        <w:tabs>
          <w:tab w:leader="none" w:pos="38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200" w:lineRule="exact"/>
        <w:rPr>
          <w:rFonts w:ascii="Times New Roman" w:cs="Times New Roman" w:eastAsia="Times New Roman" w:hAnsi="Times New Roman"/>
          <w:sz w:val="27"/>
          <w:szCs w:val="27"/>
          <w:color w:val="auto"/>
          <w:vertAlign w:val="superscript"/>
        </w:rPr>
      </w:pPr>
    </w:p>
    <w:p>
      <w:pPr>
        <w:spacing w:after="0" w:line="220" w:lineRule="exact"/>
        <w:rPr>
          <w:rFonts w:ascii="Times New Roman" w:cs="Times New Roman" w:eastAsia="Times New Roman" w:hAnsi="Times New Roman"/>
          <w:sz w:val="27"/>
          <w:szCs w:val="27"/>
          <w:color w:val="auto"/>
          <w:vertAlign w:val="superscript"/>
        </w:rPr>
      </w:pPr>
    </w:p>
    <w:p>
      <w:pPr>
        <w:ind w:left="44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composition by property type and weighted average LTV of the Company’s multifamily residential and residential mixed-use loans: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86"/>
        </w:trPr>
        <w:tc>
          <w:tcPr>
            <w:tcW w:w="22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LTV</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503,479</w:t>
            </w:r>
          </w:p>
        </w:tc>
        <w:tc>
          <w:tcPr>
            <w:tcW w:w="1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59 </w:t>
            </w:r>
            <w:r>
              <w:rPr>
                <w:rFonts w:ascii="Arial" w:cs="Arial" w:eastAsia="Arial" w:hAnsi="Arial"/>
                <w:sz w:val="16"/>
                <w:szCs w:val="16"/>
                <w:color w:val="auto"/>
              </w:rPr>
              <w:t>%</w:t>
            </w: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594,713</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1,683,562</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55</w:t>
            </w:r>
          </w:p>
        </w:tc>
        <w:tc>
          <w:tcPr>
            <w:tcW w:w="180" w:type="dxa"/>
            <w:vAlign w:val="bottom"/>
            <w:shd w:val="clear" w:color="auto" w:fill="CCEEFF"/>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2,781,754</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728,040</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58</w:t>
            </w:r>
          </w:p>
        </w:tc>
        <w:tc>
          <w:tcPr>
            <w:tcW w:w="18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3,509,794</w:t>
            </w:r>
          </w:p>
        </w:tc>
        <w:tc>
          <w:tcPr>
            <w:tcW w:w="13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57 </w:t>
            </w: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r>
    </w:tbl>
    <w:p>
      <w:pPr>
        <w:ind w:left="380" w:hanging="330"/>
        <w:spacing w:after="0" w:line="224" w:lineRule="auto"/>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22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LTV</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572,054</w:t>
            </w:r>
          </w:p>
        </w:tc>
        <w:tc>
          <w:tcPr>
            <w:tcW w:w="1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58 </w:t>
            </w:r>
            <w:r>
              <w:rPr>
                <w:rFonts w:ascii="Arial" w:cs="Arial" w:eastAsia="Arial" w:hAnsi="Arial"/>
                <w:sz w:val="16"/>
                <w:szCs w:val="16"/>
                <w:color w:val="auto"/>
              </w:rPr>
              <w:t>%</w:t>
            </w: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643,908</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1,846,525</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55</w:t>
            </w:r>
          </w:p>
        </w:tc>
        <w:tc>
          <w:tcPr>
            <w:tcW w:w="180" w:type="dxa"/>
            <w:vAlign w:val="bottom"/>
            <w:shd w:val="clear" w:color="auto" w:fill="CCEEFF"/>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3,062,487</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757,796</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3,820,283</w:t>
            </w:r>
          </w:p>
        </w:tc>
        <w:tc>
          <w:tcPr>
            <w:tcW w:w="13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57 </w:t>
            </w: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r>
    </w:tbl>
    <w:p>
      <w:pPr>
        <w:ind w:left="380" w:hanging="330"/>
        <w:spacing w:after="0" w:line="224" w:lineRule="auto"/>
        <w:tabs>
          <w:tab w:leader="none" w:pos="38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Additional information related to the granularity in the non-owner occupied commercial real estate and multifamily residential and residential mixed-use portfolios is presented in the tables below as of September 30, 2025 and December 31,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83"/>
        </w:trPr>
        <w:tc>
          <w:tcPr>
            <w:tcW w:w="2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6,214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3,773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8,518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21,234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10,258</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facility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7,563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3"/>
        </w:trPr>
        <w:tc>
          <w:tcPr>
            <w:tcW w:w="670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2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0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3"/>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20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108"/>
        </w:trPr>
        <w:tc>
          <w:tcPr>
            <w:tcW w:w="224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ind w:left="380" w:hanging="330"/>
        <w:spacing w:after="0" w:line="224" w:lineRule="auto"/>
        <w:tabs>
          <w:tab w:leader="none" w:pos="38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 York City includes the Bronx, Brooklyn, Queens, Staten Island and Manhattan.</w:t>
      </w:r>
    </w:p>
    <w:p>
      <w:pPr>
        <w:spacing w:after="0" w:line="10" w:lineRule="exact"/>
        <w:rPr>
          <w:rFonts w:ascii="Times New Roman" w:cs="Times New Roman" w:eastAsia="Times New Roman" w:hAnsi="Times New Roman"/>
          <w:sz w:val="22"/>
          <w:szCs w:val="22"/>
          <w:color w:val="auto"/>
          <w:vertAlign w:val="superscript"/>
        </w:rPr>
      </w:pPr>
    </w:p>
    <w:p>
      <w:pPr>
        <w:ind w:left="380" w:hanging="330"/>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3"/>
        </w:trPr>
        <w:tc>
          <w:tcPr>
            <w:tcW w:w="2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facility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70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70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08"/>
        </w:trPr>
        <w:tc>
          <w:tcPr>
            <w:tcW w:w="224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ind w:left="380" w:hanging="330"/>
        <w:spacing w:after="0" w:line="224" w:lineRule="auto"/>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 York City includes the Bronx, Brooklyn, Queens, Staten Island and Manhattan.</w:t>
      </w:r>
    </w:p>
    <w:p>
      <w:pPr>
        <w:spacing w:after="0" w:line="10" w:lineRule="exact"/>
        <w:rPr>
          <w:rFonts w:ascii="Times New Roman" w:cs="Times New Roman" w:eastAsia="Times New Roman" w:hAnsi="Times New Roman"/>
          <w:sz w:val="22"/>
          <w:szCs w:val="22"/>
          <w:color w:val="auto"/>
          <w:vertAlign w:val="superscript"/>
        </w:rPr>
      </w:pPr>
    </w:p>
    <w:p>
      <w:pPr>
        <w:ind w:left="380" w:hanging="330"/>
        <w:spacing w:after="0" w:line="182" w:lineRule="auto"/>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do not originate or purchase loans, either whole loans or loans underlying MBS, which would have been considered subprime loans at origination,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real estate loans advanced to borrowers who did not qualify for market interest rates because of problems with their income or credit history. See Note 6 to our unaudited condensed Consolidated Financial Statements for a discussion of evaluation for impaired securities.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Monitoring and Collection of Delinquent Loans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management reviews delinquent loans on a monthly basis and reports to our Board of Directors or Committees of the Board of Directors at each regularly scheduled Board or Committee meeting regarding the status of all non-performing and otherwise delinquent loans in our loan portfolio.</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loan servicing policies and procedures require that an automated late notice be sent to a delinquent borrower as soon as possible after a payment is ten days late in the case of business loans, multifamily residential and mixed use, non-owner-occupied commercial real estate loans, and ADC loans, or fifteen days late in connection with one-to-four family and consumer loans. Thereafter, periodic letters are mailed and phone calls placed to the borrower until payment is received or the loan is transferred to workout. When contact is made with the borrower at any time prior to foreclosure, we will attempt to obtain the full payment due or negotiate a repayment schedule with the borrower to avoid foreclosure.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Accrual of interest is generally discontinued on a loan that meets any of the following three criteria: (i) full payment of principal or interest is not expected; (ii) principal or interest has been in default for a period of 90 days or more (unless the loan is both deemed to be well secured and in the process of collection); or (iii) 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the system will reverse all outstanding accrued interest receivable.</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generally initiate foreclosure proceedings on real estate loans when a loan enters non-accrual status based upon non-payment, unless the borrower is paying in accordance with an agreed upon modified payment agreement. We obtain an updated appraisal upon the commencement of legal action to calculate a potential collateral shortfall and to reserve appropriately for the potential loss. If a foreclosure action is instituted and the loan is not brought current, paid in full, or refinanced before the foreclosure action is completed,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We have not initiated any expected or imminent foreclosure proceedings that are likely to have a material adverse impact on our consolidated financial statements. In the event that a non-accrual loan is subsequently brought current, it is returned to accrual status once the doubt concerning collectability has been removed and the borrower has demonstrated performance in accordance with the loan terms and has made at least six months of payments.</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C&amp;I portfolio, which is within our business loans, is actively managed by our lenders.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on an annual basis or alternative schedule as provided in their loan documents. All exposures are credit risk rated and those entering adverse ratings due to financial performance concerns of the borrower or material delinquency of any payments or financial reporting are subjected to added management scrutiny and monitoring.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Non-accrual Loans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Within our held-for-investment loan portfolio, non-accrual loans totaled $72.1 million at September 30, 2025 and $49.5 million at December 31,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non-accrual loans as of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Non-accrual loans:</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21,005</w:t>
            </w:r>
          </w:p>
        </w:tc>
        <w:tc>
          <w:tcPr>
            <w:tcW w:w="200" w:type="dxa"/>
            <w:vAlign w:val="bottom"/>
          </w:tcPr>
          <w:p>
            <w:pPr>
              <w:spacing w:after="0"/>
              <w:rPr>
                <w:sz w:val="12"/>
                <w:szCs w:val="12"/>
                <w:color w:val="auto"/>
              </w:rPr>
            </w:pPr>
          </w:p>
        </w:tc>
        <w:tc>
          <w:tcPr>
            <w:tcW w:w="200" w:type="dxa"/>
            <w:vAlign w:val="bottom"/>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22,624</w:t>
            </w:r>
          </w:p>
        </w:tc>
        <w:tc>
          <w:tcPr>
            <w:tcW w:w="18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2,440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47,952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4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w:t>
            </w: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72,054</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49,479</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49,463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Ratios:</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non-accrual loans to total loans</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0.67 %</w:t>
            </w:r>
          </w:p>
        </w:tc>
        <w:tc>
          <w:tcPr>
            <w:tcW w:w="200" w:type="dxa"/>
            <w:vAlign w:val="bottom"/>
          </w:tcPr>
          <w:p>
            <w:pPr>
              <w:spacing w:after="0"/>
              <w:rPr>
                <w:sz w:val="16"/>
                <w:szCs w:val="16"/>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0.45</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544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non-performing assets to total assets</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0.50</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Restructurings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Within the allowance for credit losses, losses are estimated for restructured loans on accrual status as well as restructured loans on non-accrual status that are one-to-four family loans or consumer loans, on a pooled basis with loans that share similar risk characteristics. Restructured loans on non-accrual status excluding one-to-four family and consumer loans are individually evaluated to determine expected credit losses. For restructured loans that are collateral-dependent where the Bank has determined that foreclosure of the collateral is probable, or where the borrower is experiencing financial difficulty and we expect repayment of the loan to be provided substantially through the operation or sale of the collateral, the allowance for credit losses is measured based on the difference between the fair value of collateral, less the estimated costs to sell, and the amortized cost basis of the loan as of the measurement date. For non-collateral-dependent loans, the allowance for credit losses is measured based on the difference between the present value of expected cash flows and the amortized cost basis of the loan as of the measurement date.</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OREO</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Property acquired by the Bank, or a subsidiary, as a result of foreclosure on a mortgage loan or a deed in lieu of foreclosure is classified as OREO. Upon entering OREO status, we obtain a current appraisal on the property and reassess the likely realizable value (</w:t>
      </w:r>
      <w:r>
        <w:rPr>
          <w:rFonts w:ascii="Times New Roman" w:cs="Times New Roman" w:eastAsia="Times New Roman" w:hAnsi="Times New Roman"/>
          <w:sz w:val="18"/>
          <w:szCs w:val="18"/>
          <w:i w:val="1"/>
          <w:iCs w:val="1"/>
          <w:color w:val="auto"/>
        </w:rPr>
        <w:t>a/k/a</w:t>
      </w:r>
      <w:r>
        <w:rPr>
          <w:rFonts w:ascii="Times New Roman" w:cs="Times New Roman" w:eastAsia="Times New Roman" w:hAnsi="Times New Roman"/>
          <w:sz w:val="18"/>
          <w:szCs w:val="18"/>
          <w:color w:val="auto"/>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carrying value of OREO properties on our Consolidated Statement of Financial Condition at September 30, 2025 or December 31, 2024. We did not recognize any provision for losses on OREO properties during the nine months ended September 30, 2025 or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Past Due Loans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30 to 59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September 30, 2025, there were $13.3 million of loans that were past due between 30 and 59 days, compared to $10.3 million at December 31, 2024. The 30 to 59-day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60 to 89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September 30, 2025, there were $27.8 million of loans that were past due between 60 and 89 days, compared to $31.3 million at December 31, 2024. The 60 to 89-day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September 30, 2025 or at December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Reserve for Unfunded Loan Commitments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Bank maintains a reserve, recorded in other liabilities, associated with unfunded loan commitments accepted by the borrower. The amount of our reserve was $2.3 million and $2.7 million at September 30, 2025 and December 31, 2024, respectively. This reserve is determined based upon the outstanding volume of unfunded loan commitments at each period end. Any increases or reductions in this reserve are recognized in provision for credit losses.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Provision for credit losses for the nine months ended September 30, 2025 and 2024 was $32.1 million and $22.4 million, respectively. Included in the provision for credit losses for the nine months ended September 30, 2025 was $2.1 million of provision related to one available-for-sale corporate security. The remainder of the credit loss provision for the nine months ended September 30, 2025, was attributable to updates in the macroeconomic forecast, updated loss drivers, and charge-offs on loans in the owner-occupied and non-owner-occupied real estate segments. The $22.4 million credit loss provision for the nine months ended September 30, 2024, was related to a combination of factors including, provisioning for growth and individually analyzed loans in the business loan portfolio as well as provisioning for the pooled multifamily loan portfolio.</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a further discussion of the allowance for credit losses and related activity during the nine months ended September 30, 2025 and 2024, please see Note 6 “Securities” and Note 7 “Loans Held for Investment, Net” to the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allowance for credit losses allocated by loan type and the percent of loans in each category to total loans as of the dates indicated.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174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9"/>
              </w:rPr>
              <w:t>of Loans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of Loans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3"/>
              </w:rPr>
              <w:t>Category</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Category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Allocated</w:t>
            </w:r>
          </w:p>
        </w:tc>
        <w:tc>
          <w:tcPr>
            <w:tcW w:w="11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1"/>
              </w:rPr>
              <w:t>to Total</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Allocated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to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47,502</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28.56</w:t>
            </w:r>
          </w:p>
        </w:tc>
        <w:tc>
          <w:tcPr>
            <w:tcW w:w="3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42,898</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25.08</w:t>
            </w:r>
          </w:p>
        </w:tc>
        <w:tc>
          <w:tcPr>
            <w:tcW w:w="2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10,031</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9.61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9,501</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12,851</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32.72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11,946</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21,324</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27.74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21,876</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1,994</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359</w:t>
            </w: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0.07</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94,061</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100.00</w:t>
            </w:r>
          </w:p>
        </w:tc>
        <w:tc>
          <w:tcPr>
            <w:tcW w:w="320" w:type="dxa"/>
            <w:vAlign w:val="bottom"/>
            <w:tcBorders>
              <w:bottom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88,751</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Borders>
              <w:bottom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information about our allowance for credit losses at or for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At or for the Nine Months Ended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loans outstanding at end of period </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10,725,269</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10,886,387</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Average total loans outstanding during the period </w:t>
            </w:r>
            <w:r>
              <w:rPr>
                <w:rFonts w:ascii="Times New Roman" w:cs="Times New Roman" w:eastAsia="Times New Roman" w:hAnsi="Times New Roman"/>
                <w:sz w:val="17"/>
                <w:szCs w:val="17"/>
                <w:color w:val="auto"/>
                <w:vertAlign w:val="superscript"/>
              </w:rPr>
              <w:t>(2)</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10,832,841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10,800,951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balance at end of period</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94,061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85,221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loans at end of period</w:t>
            </w: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0.88 %</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0.78</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Non-performing loans to total loans at end of period</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0.67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non-performing loans at end of period</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130.54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Ratio of net charge-offs to average loans outstanding during the period: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0.30 %</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0.78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0.65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41910</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0"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loans represent gross loans (excluding loans held for sale), inclusive of deferred fees/costs and premiums/discounts.</w:t>
      </w:r>
    </w:p>
    <w:p>
      <w:pPr>
        <w:spacing w:after="0" w:line="10" w:lineRule="exact"/>
        <w:rPr>
          <w:rFonts w:ascii="Times New Roman" w:cs="Times New Roman" w:eastAsia="Times New Roman" w:hAnsi="Times New Roman"/>
          <w:sz w:val="27"/>
          <w:szCs w:val="27"/>
          <w:color w:val="auto"/>
          <w:vertAlign w:val="superscript"/>
        </w:rPr>
      </w:pPr>
    </w:p>
    <w:p>
      <w:pPr>
        <w:ind w:left="380" w:right="79" w:hanging="330"/>
        <w:spacing w:after="0" w:line="191" w:lineRule="auto"/>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average loans represent gross loans (including loans held for sale), inclusive of deferred loan fees/costs and premiums/discounts.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September 30, 2025 and December 31, 2024</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totaled $14.54 billion at September 30, 2025, $185.7 million above their level at December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increases of $431.5 million in cash and due from banks and $106.2 million in BOLI, partially offset by decreases of $151.6 million in the loan portfolio, $95.6 million in other assets, $42.3 million in total securities, $35.1 million in derivative assets and $22.6 million in loans held for sale.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 originations, excluding new lines, totaled $475.8 million for the nine-month period ended September 30, 2025.</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Total investment securities decreased $42.3 million during the nine months ended September 30, 2025, to $1.29 billion at period end, primarily due to proceeds from principal payments, calls and maturities of $129.7 million and proceeds from the sale of available for sale securities of $38.8 million, offset by purchases of $106.4 million and a decrease in unrealized losses of $19.8 million. There were no transfers to or from securities held-to-maturity during the nine months ended September 30, 2025.</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BOLI increased $106.2 million during the nine months ended September 30, 2025, to $396.9 million, due to completion of the restructuring initiative that began in late 2024, as well as purchases of new BOLI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liabilities increased $129.9 million during the nine months ended September 30, 2025, to $13.09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 primarily due to an increase of $375.5 million in deposits (including mortgage escrow accounts), partially offset by decreases of $100.0 million in FHLBNY advances, $55.2 million in derivative cash collateral, $50.0 million in short-term borrowings, $30.7 million in derivative liabilities and $9.0 million in other liabilities.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increased $55.8 million during the nine months ended September 30, 2025,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$1.45 billion at period end, primarily due to net income of $78.8 million and other comprehensive income of $11.4 million, partially offset by common stock dividends of $32.8 million, and preferred stock dividends of $5.5 million.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September 30, 2025 and 2024</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$27.7 million during the three months ended September 30, 2025,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$13.3 million for the three months ended September 30, 2024. During the three months ended September 30, 2025, net interest income increased by $23.5 million, non-interest income increased by $4.6 million, income tax expense increased by $7.5 million, non-interest expense increased by $4.5 million, and the credit loss provision increased by $1.7 million, compared to the three months ended September 30, 2024.</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three months ended September 30, 2025 and 2024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$946 thousand during the three months ended September 30, 2025, compared to net loan fees of $849 thousand during the three months ended September 30, 2024. The increase in net loan fees was primarily due to increases in deferred fees and late fees on loans in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w:t>
            </w: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 w:type="dxa"/>
            <w:vAlign w:val="bottom"/>
          </w:tcPr>
          <w:p>
            <w:pPr>
              <w:spacing w:after="0"/>
              <w:rPr>
                <w:sz w:val="13"/>
                <w:szCs w:val="13"/>
                <w:color w:val="auto"/>
              </w:rPr>
            </w:pPr>
          </w:p>
        </w:tc>
        <w:tc>
          <w:tcPr>
            <w:tcW w:w="760" w:type="dxa"/>
            <w:vAlign w:val="bottom"/>
            <w:gridSpan w:val="3"/>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2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3"/>
              </w:rPr>
              <w:t>(Dollars</w:t>
            </w:r>
          </w:p>
        </w:tc>
        <w:tc>
          <w:tcPr>
            <w:tcW w:w="20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6"/>
              </w:rPr>
              <w:t>in</w:t>
            </w:r>
          </w:p>
        </w:tc>
        <w:tc>
          <w:tcPr>
            <w:tcW w:w="72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thousands)</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2,957,434</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50,271</w:t>
            </w:r>
          </w:p>
        </w:tc>
        <w:tc>
          <w:tcPr>
            <w:tcW w:w="8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6.74 % </w:t>
            </w: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2,609,934</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46,656</w:t>
            </w:r>
          </w:p>
        </w:tc>
        <w:tc>
          <w:tcPr>
            <w:tcW w:w="7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7.11 %</w:t>
            </w: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and coop/condo apartment </w:t>
            </w:r>
            <w:r>
              <w:rPr>
                <w:rFonts w:ascii="Times New Roman" w:cs="Times New Roman" w:eastAsia="Times New Roman" w:hAnsi="Times New Roman"/>
                <w:sz w:val="15"/>
                <w:szCs w:val="15"/>
                <w:color w:val="auto"/>
                <w:vertAlign w:val="superscript"/>
              </w:rPr>
              <w:t>(3) (6)</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1,023,844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12,120</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924,150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11,024</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3,591,822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41,712</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3,902,220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45,790</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3,067,598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40,439</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3,297,760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44,804</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5.40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5"/>
                <w:szCs w:val="15"/>
                <w:color w:val="auto"/>
                <w:vertAlign w:val="subscript"/>
              </w:rPr>
              <w:t>ADC</w:t>
            </w:r>
            <w:r>
              <w:rPr>
                <w:rFonts w:ascii="Times New Roman" w:cs="Times New Roman" w:eastAsia="Times New Roman" w:hAnsi="Times New Roman"/>
                <w:sz w:val="7"/>
                <w:szCs w:val="7"/>
                <w:color w:val="auto"/>
              </w:rPr>
              <w:t xml:space="preserve"> (3)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145,902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3,184</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8.66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147,875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3,505</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7,515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4,891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Securities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1,340,223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11,338</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1,493,492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7,766</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1,503,698</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16,449</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4.34</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353,924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4,645</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5.22</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13,638,036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175,543</w:t>
            </w:r>
          </w:p>
        </w:tc>
        <w:tc>
          <w:tcPr>
            <w:tcW w:w="720" w:type="dxa"/>
            <w:vAlign w:val="bottom"/>
            <w:gridSpan w:val="3"/>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5.11 %</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12,734,246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164,239</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5.13</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787,966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768,507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14,426,002</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13,502,753</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1,069,761</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5,306</w:t>
            </w:r>
          </w:p>
        </w:tc>
        <w:tc>
          <w:tcPr>
            <w:tcW w:w="8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1.97 % </w:t>
            </w: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798,024</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4,635</w:t>
            </w:r>
          </w:p>
        </w:tc>
        <w:tc>
          <w:tcPr>
            <w:tcW w:w="7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2.31 %</w:t>
            </w: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4,359,512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34,877</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3,771,562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36,841</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3.89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1,821,289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13,273</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2.89</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2,102,282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19,492</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1,116,152</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9,494</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3.37</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1,232,984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13,057</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4.21</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8,366,714</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62,950</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2.99</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7,904,852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74,025</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508,000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4,104</w:t>
            </w: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528,652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4,455</w:t>
            </w: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3.35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272,429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4,301</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271,450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4,307</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bottom w:val="single" w:sz="8" w:color="CCEEFF"/>
            </w:tcBorders>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5.22</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6.07</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780,505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8,406</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4.27</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800,233</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8,764</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4.36</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2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63,856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788</w:t>
            </w:r>
          </w:p>
        </w:tc>
        <w:tc>
          <w:tcPr>
            <w:tcW w:w="5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4.90</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91,305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1,526</w:t>
            </w:r>
          </w:p>
        </w:tc>
        <w:tc>
          <w:tcPr>
            <w:tcW w:w="5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6.65</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9,211,075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72,144</w:t>
            </w:r>
          </w:p>
        </w:tc>
        <w:tc>
          <w:tcPr>
            <w:tcW w:w="720" w:type="dxa"/>
            <w:vAlign w:val="bottom"/>
            <w:gridSpan w:val="3"/>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3.11 %</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8,796,390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84,315</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3,573,448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3,209,502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183,627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223,546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12,968,150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12,229,438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1,457,852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1,273,315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14,426,002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13,502,753</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2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140"/>
              <w:spacing w:after="0" w:line="102"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103,399</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1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79,924</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rate spread </w:t>
            </w:r>
            <w:r>
              <w:rPr>
                <w:rFonts w:ascii="Times New Roman" w:cs="Times New Roman" w:eastAsia="Times New Roman" w:hAnsi="Times New Roman"/>
                <w:sz w:val="18"/>
                <w:szCs w:val="18"/>
                <w:color w:val="auto"/>
                <w:vertAlign w:val="superscript"/>
              </w:rPr>
              <w:t>(4)</w:t>
            </w: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2.00 %</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80" w:type="dxa"/>
            <w:vAlign w:val="bottom"/>
            <w:tcBorders>
              <w:top w:val="single" w:sz="8" w:color="CCEEFF"/>
              <w:bottom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16"/>
        </w:trPr>
        <w:tc>
          <w:tcPr>
            <w:tcW w:w="4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4,426,961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gridSpan w:val="4"/>
            <w:shd w:val="clear" w:color="auto" w:fill="CCEEFF"/>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3,937,856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8"/>
                <w:szCs w:val="18"/>
                <w:color w:val="auto"/>
                <w:vertAlign w:val="superscript"/>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3.01 %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2.50 %</w:t>
            </w:r>
          </w:p>
        </w:tc>
        <w:tc>
          <w:tcPr>
            <w:tcW w:w="0" w:type="dxa"/>
            <w:vAlign w:val="bottom"/>
          </w:tcPr>
          <w:p>
            <w:pPr>
              <w:spacing w:after="0" w:line="20" w:lineRule="exact"/>
              <w:rPr>
                <w:sz w:val="1"/>
                <w:szCs w:val="1"/>
                <w:color w:val="auto"/>
              </w:rPr>
            </w:pPr>
          </w:p>
        </w:tc>
      </w:tr>
      <w:tr>
        <w:trPr>
          <w:trHeight w:val="115"/>
        </w:trPr>
        <w:tc>
          <w:tcPr>
            <w:tcW w:w="4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148.06 %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144.77</w:t>
            </w:r>
          </w:p>
        </w:tc>
        <w:tc>
          <w:tcPr>
            <w:tcW w:w="18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35"/>
        </w:trPr>
        <w:tc>
          <w:tcPr>
            <w:tcW w:w="46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11,940,162</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62,950</w:t>
            </w:r>
          </w:p>
        </w:tc>
        <w:tc>
          <w:tcPr>
            <w:tcW w:w="82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2.09 % </w:t>
            </w: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11,114,354</w:t>
            </w:r>
          </w:p>
        </w:tc>
        <w:tc>
          <w:tcPr>
            <w:tcW w:w="2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74,025</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1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line="225"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mortgage escrow deposits.</w:t>
      </w:r>
    </w:p>
    <w:p>
      <w:pPr>
        <w:ind w:left="380" w:hanging="330"/>
        <w:spacing w:after="0" w:line="225"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ind w:left="380" w:right="79" w:hanging="330"/>
        <w:spacing w:after="0" w:line="225"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380" w:hanging="330"/>
        <w:spacing w:after="0" w:line="225"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margin represents net interest income divided by average-interest earning assets.</w:t>
      </w:r>
    </w:p>
    <w:p>
      <w:pPr>
        <w:jc w:val="both"/>
        <w:ind w:left="380" w:right="79" w:hanging="330"/>
        <w:spacing w:after="0" w:line="234"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At September 30, 2025 and 2024, 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r>
      <w:tr>
        <w:trPr>
          <w:trHeight w:val="148"/>
        </w:trPr>
        <w:tc>
          <w:tcPr>
            <w:tcW w:w="22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Three Months Ended September 30, 2024</w:t>
            </w:r>
          </w:p>
        </w:tc>
      </w:tr>
      <w:tr>
        <w:trPr>
          <w:trHeight w:val="173"/>
        </w:trPr>
        <w:tc>
          <w:tcPr>
            <w:tcW w:w="2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2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0"/>
              </w:rPr>
              <w:t>(Dollars in thousands)</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5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Business loans </w:t>
            </w:r>
            <w:r>
              <w:rPr>
                <w:rFonts w:ascii="Times New Roman" w:cs="Times New Roman" w:eastAsia="Times New Roman" w:hAnsi="Times New Roman"/>
                <w:sz w:val="17"/>
                <w:szCs w:val="17"/>
                <w:color w:val="auto"/>
                <w:vertAlign w:val="superscript"/>
              </w:rPr>
              <w:t>(1) (2)</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6,139</w:t>
            </w:r>
          </w:p>
        </w:tc>
        <w:tc>
          <w:tcPr>
            <w:tcW w:w="40" w:type="dxa"/>
            <w:vAlign w:val="bottom"/>
          </w:tcPr>
          <w:p>
            <w:pPr>
              <w:spacing w:after="0"/>
              <w:rPr>
                <w:sz w:val="12"/>
                <w:szCs w:val="12"/>
                <w:color w:val="auto"/>
              </w:rPr>
            </w:pPr>
          </w:p>
        </w:tc>
        <w:tc>
          <w:tcPr>
            <w:tcW w:w="4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(2,524)</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3,615</w:t>
            </w:r>
          </w:p>
        </w:tc>
        <w:tc>
          <w:tcPr>
            <w:tcW w:w="20" w:type="dxa"/>
            <w:vAlign w:val="bottom"/>
          </w:tcPr>
          <w:p>
            <w:pPr>
              <w:spacing w:after="0"/>
              <w:rPr>
                <w:sz w:val="12"/>
                <w:szCs w:val="12"/>
                <w:color w:val="auto"/>
              </w:rPr>
            </w:pPr>
          </w:p>
        </w:tc>
      </w:tr>
      <w:tr>
        <w:trPr>
          <w:trHeight w:val="149"/>
        </w:trPr>
        <w:tc>
          <w:tcPr>
            <w:tcW w:w="5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(3,571)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(4,078)</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(3,042)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(4,365)</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3,572</w:t>
            </w:r>
          </w:p>
        </w:tc>
        <w:tc>
          <w:tcPr>
            <w:tcW w:w="20" w:type="dxa"/>
            <w:vAlign w:val="bottom"/>
          </w:tcPr>
          <w:p>
            <w:pPr>
              <w:spacing w:after="0"/>
              <w:rPr>
                <w:sz w:val="12"/>
                <w:szCs w:val="12"/>
                <w:color w:val="auto"/>
              </w:rPr>
            </w:pPr>
          </w:p>
        </w:tc>
      </w:tr>
      <w:tr>
        <w:trPr>
          <w:trHeight w:val="149"/>
        </w:trPr>
        <w:tc>
          <w:tcPr>
            <w:tcW w:w="5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11,804</w:t>
            </w:r>
          </w:p>
        </w:tc>
        <w:tc>
          <w:tcPr>
            <w:tcW w:w="20" w:type="dxa"/>
            <w:vAlign w:val="bottom"/>
          </w:tcPr>
          <w:p>
            <w:pPr>
              <w:spacing w:after="0"/>
              <w:rPr>
                <w:sz w:val="12"/>
                <w:szCs w:val="12"/>
                <w:color w:val="auto"/>
              </w:rPr>
            </w:pPr>
          </w:p>
        </w:tc>
      </w:tr>
      <w:tr>
        <w:trPr>
          <w:trHeight w:val="142"/>
        </w:trPr>
        <w:tc>
          <w:tcPr>
            <w:tcW w:w="534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13,525</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11,304</w:t>
            </w:r>
          </w:p>
        </w:tc>
        <w:tc>
          <w:tcPr>
            <w:tcW w:w="20" w:type="dxa"/>
            <w:vAlign w:val="bottom"/>
          </w:tcPr>
          <w:p>
            <w:pPr>
              <w:spacing w:after="0"/>
              <w:rPr>
                <w:sz w:val="12"/>
                <w:szCs w:val="12"/>
                <w:color w:val="auto"/>
              </w:rPr>
            </w:pPr>
          </w:p>
        </w:tc>
      </w:tr>
      <w:tr>
        <w:trPr>
          <w:trHeight w:val="142"/>
        </w:trPr>
        <w:tc>
          <w:tcPr>
            <w:tcW w:w="5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1,469</w:t>
            </w:r>
          </w:p>
        </w:tc>
        <w:tc>
          <w:tcPr>
            <w:tcW w:w="40" w:type="dxa"/>
            <w:vAlign w:val="bottom"/>
          </w:tcPr>
          <w:p>
            <w:pPr>
              <w:spacing w:after="0"/>
              <w:rPr>
                <w:sz w:val="12"/>
                <w:szCs w:val="12"/>
                <w:color w:val="auto"/>
              </w:rPr>
            </w:pPr>
          </w:p>
        </w:tc>
        <w:tc>
          <w:tcPr>
            <w:tcW w:w="4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(7,287)</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(2,296)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(3,923)</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(6,219)</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(2,467)</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(3,563)</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20" w:type="dxa"/>
            <w:vAlign w:val="bottom"/>
          </w:tcPr>
          <w:p>
            <w:pPr>
              <w:spacing w:after="0"/>
              <w:rPr>
                <w:sz w:val="12"/>
                <w:szCs w:val="12"/>
                <w:color w:val="auto"/>
              </w:rPr>
            </w:pPr>
          </w:p>
        </w:tc>
      </w:tr>
      <w:tr>
        <w:trPr>
          <w:trHeight w:val="149"/>
        </w:trPr>
        <w:tc>
          <w:tcPr>
            <w:tcW w:w="5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8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(738)</w:t>
            </w:r>
          </w:p>
        </w:tc>
        <w:tc>
          <w:tcPr>
            <w:tcW w:w="20" w:type="dxa"/>
            <w:vAlign w:val="bottom"/>
          </w:tcPr>
          <w:p>
            <w:pPr>
              <w:spacing w:after="0"/>
              <w:rPr>
                <w:sz w:val="12"/>
                <w:szCs w:val="12"/>
                <w:color w:val="auto"/>
              </w:rPr>
            </w:pPr>
          </w:p>
        </w:tc>
      </w:tr>
      <w:tr>
        <w:trPr>
          <w:trHeight w:val="142"/>
        </w:trPr>
        <w:tc>
          <w:tcPr>
            <w:tcW w:w="534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(15,026)</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(12,171)</w:t>
            </w:r>
          </w:p>
        </w:tc>
        <w:tc>
          <w:tcPr>
            <w:tcW w:w="20" w:type="dxa"/>
            <w:vAlign w:val="bottom"/>
          </w:tcPr>
          <w:p>
            <w:pPr>
              <w:spacing w:after="0"/>
              <w:rPr>
                <w:sz w:val="12"/>
                <w:szCs w:val="12"/>
                <w:color w:val="auto"/>
              </w:rPr>
            </w:pPr>
          </w:p>
        </w:tc>
      </w:tr>
      <w:tr>
        <w:trPr>
          <w:trHeight w:val="142"/>
        </w:trPr>
        <w:tc>
          <w:tcPr>
            <w:tcW w:w="534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10,670</w:t>
            </w: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12,805</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23,475</w:t>
            </w:r>
          </w:p>
        </w:tc>
        <w:tc>
          <w:tcPr>
            <w:tcW w:w="20" w:type="dxa"/>
            <w:vAlign w:val="bottom"/>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4"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spacing w:after="0" w:line="18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$103.4 million during the three months ended September 30, 2025,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$23.5 million from the three months ended September 30, 2024. Average interest-earning assets were $13.64 billion for the three months ended September 30, 2025, an increase of $903.8 million from $12.73 billion for the three months ended September 30, 2024. The net interest margin was 3.01% during the three months ended September 30, 2025, up from 2.50% during the three months ended September 30, 2024.</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$175.5 million during the three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$164.2 million during the three months ended September 30, 2024. During the three months ended September 30, 2025, interest income increased $11.3 million from the three months ended September 30, 2024, primarily reflecting increases in interest income of $11.8 million in other short-term investments, $3.6 million on business loans, $3.6 million on securities and $1.1 million on one-to-four family residential and coop/condo apartment loans, partially offset by a decrease of $4.4 million on non-owner-occupied commercial real estate loans and a decrease of $4.1 million on multifamily residential and residential mixed-use loans.</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increased interest income on other short-term investments, which is comprised of cash and due from banks and restricted stock, was related to a $1.15 billion increase in the average balances, partially offset by an 88-basis point decrease in the yield of such investments in the period. The increased interest income on business loans was due to a $347.5 million increase in the average balances, partially offset by a 37-basis point decrease in the yield of such loans in the period. The increased interest income on securities was related to a 129-basis point increase in the yield, partially offset by a decrease of $153.3 million in the average balances of such securities in the period. The increased interest income on one-to-four family residential and coop/condo apartment loans was related to a $99.7 million increase in the average balances, partially offset by a 5-basis point decrease in the yield of such loans in the period. The decreased interest income on non-owner-occupied commercial real estate loans reflected a $230.2 million decrease in the average balance and a 17-basis point decrease in the yield of such loans in the period. The decreased interest income on multifamily residential and residential mixed-use loans was related to a $310.4 million decrease in the average balance and a 6-basis point decrease in the yield of such loans in the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$72.1 million during the three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$84.3 million during the three months ended September 30, 2024. During the three months ended September 30, 2025, interest expense decreased $12.2 million, primarily reflecting a decrease in interest expense of $11.1 million on deposits, a decrease in interest expense of $738 thousand on derivative cash collateral, and a decrease in interest expense of $351 thousand on FHLBNY advances.</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decreased interest expense on deposits was primarily due to an 80-basis point decrease in rates paid on savings accounts and a $281.0 million decrease in average balances of such deposits, an 84-basis point decrease in rates paid on CDs and a $116.8 million decrease in the average balance of such deposits, and a 72-basis point decrease in rates paid on money market accounts, partially offset by a $588.0 million increase in average balances of such deposits in the period. The decreased interest expense on derivative cash collateral was due to a $27.5 million decrease in the average balance and a 175-basis point decrease in the cost of such derivatives in the period.</w:t>
      </w:r>
    </w:p>
    <w:p>
      <w:pPr>
        <w:spacing w:after="0" w:line="18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$13.3 million and $11.6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and 2024, respectively. The $13.3 million credit loss provision for the three months ended September 30, 2025, was primarily attributable to charge-offs on loans in the owner occupied and non-owner occupied real estate segments. The $11.6 million credit loss provision for the three months ended September 30, 2024, was primarily associated with increased provisioning for the Bank’s business loan portfolio.</w:t>
      </w:r>
    </w:p>
    <w:p>
      <w:pPr>
        <w:spacing w:after="0" w:line="18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totaled $12.2 million for the three months ended September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$7.6 million for the same period in 2024. The increase was primarily driven by a $2.4 million increase in BOLI income and a $1.9 million increase in other non-interest income.</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totaled $62.2 million for the three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$57.7 million for the same period in 2024. The change was primarily driven by a $2.2 million increase in salaries and employee benefits.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Non-interest expense was 1.73% and 1.71% of average assets during the three months ended September 30, 2025 and 2024, respectively.</w:t>
      </w:r>
    </w:p>
    <w:p>
      <w:pPr>
        <w:spacing w:after="0" w:line="16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$12.4 million during the three months ended September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income tax expense of $4.9 million during the three months ended September 30, 2024. The reported effective tax rate for the three months ended September 30, 2025 and 2024 was 31.0%, and 26.9%,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Nine Months Ended September 30, 2025 and 2024</w:t>
      </w:r>
    </w:p>
    <w:p>
      <w:pPr>
        <w:spacing w:after="0" w:line="22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$78.8 million during the nine months ended September 30, 2025,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$49.5 million for the nine months ended September 30, 2024. During the nine months ended September 30, 2025, net interest income increased by $68.8 million, non-interest income increased by $3.5 million, non-interest expense increased by $22.1 million, income tax expense increased by $11.1 million and the credit loss provision increased by $9.7 million, compared to the nine months ended September 30, 2024.</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nine months ended September 30, 2025 and 2024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$3.2 million during the nine months ended September 30, 2025, compared to net loan fees of $545 thousand during the nine months ended September 30, 2024. The increase in net loan fees was primarily due to increases in prepayment penalty fees and deferred fees on loans in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Yield/</w:t>
            </w: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40" w:type="dxa"/>
            <w:vAlign w:val="bottom"/>
          </w:tcPr>
          <w:p>
            <w:pPr>
              <w:spacing w:after="0"/>
              <w:rPr>
                <w:sz w:val="13"/>
                <w:szCs w:val="13"/>
                <w:color w:val="auto"/>
              </w:rPr>
            </w:pPr>
          </w:p>
        </w:tc>
        <w:tc>
          <w:tcPr>
            <w:tcW w:w="760" w:type="dxa"/>
            <w:vAlign w:val="bottom"/>
            <w:gridSpan w:val="3"/>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4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Assets:</w:t>
            </w: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(Dollars</w:t>
            </w:r>
          </w:p>
        </w:tc>
        <w:tc>
          <w:tcPr>
            <w:tcW w:w="180" w:type="dxa"/>
            <w:vAlign w:val="bottom"/>
            <w:tcBorders>
              <w:top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in</w:t>
            </w:r>
          </w:p>
        </w:tc>
        <w:tc>
          <w:tcPr>
            <w:tcW w:w="7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thousands)</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2,834,746</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141,911</w:t>
            </w:r>
          </w:p>
        </w:tc>
        <w:tc>
          <w:tcPr>
            <w:tcW w:w="8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6.69 % </w:t>
            </w: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2,440,113</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128,813</w:t>
            </w:r>
          </w:p>
        </w:tc>
        <w:tc>
          <w:tcPr>
            <w:tcW w:w="66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7.05 %</w:t>
            </w: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and coop/condo apartment </w:t>
            </w:r>
            <w:r>
              <w:rPr>
                <w:rFonts w:ascii="Times New Roman" w:cs="Times New Roman" w:eastAsia="Times New Roman" w:hAnsi="Times New Roman"/>
                <w:sz w:val="15"/>
                <w:szCs w:val="15"/>
                <w:color w:val="auto"/>
                <w:vertAlign w:val="superscript"/>
              </w:rPr>
              <w:t>(3) (6)</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989,236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34,721</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898,941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30,762</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3,709,088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126,503</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3,953,593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137,584</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3,152,779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123,587</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3,342,570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134,308</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ADC </w:t>
            </w:r>
            <w:r>
              <w:rPr>
                <w:rFonts w:ascii="Times New Roman" w:cs="Times New Roman" w:eastAsia="Times New Roman" w:hAnsi="Times New Roman"/>
                <w:sz w:val="15"/>
                <w:szCs w:val="15"/>
                <w:color w:val="auto"/>
                <w:vertAlign w:val="superscript"/>
              </w:rPr>
              <w:t>(3)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140,189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9,099</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8.68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160,598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10,835</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6,803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88</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5,136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Securities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1,357,938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34,014</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1,536,280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23,553</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1,077,183</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35,035</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4.35</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454,002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18,621</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13,267,962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504,958</w:t>
            </w:r>
          </w:p>
        </w:tc>
        <w:tc>
          <w:tcPr>
            <w:tcW w:w="7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5.09 %</w:t>
            </w: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12,791,233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484,666</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5.06</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4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806,832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780,477</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14,074,794</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13,571,710</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976,018</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13,611</w:t>
            </w:r>
          </w:p>
        </w:tc>
        <w:tc>
          <w:tcPr>
            <w:tcW w:w="8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1.86 % </w:t>
            </w: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670,957</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7,357</w:t>
            </w:r>
          </w:p>
        </w:tc>
        <w:tc>
          <w:tcPr>
            <w:tcW w:w="66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1.46 %</w:t>
            </w: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4,204,642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98,988</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3,543,314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100,672</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1,905,071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41,507</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2,268,534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65,411</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1,055,520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27,099</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3.43</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1,426,805</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46,532</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4.36</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8,141,251</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181,205</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2.98</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7,909,610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219,972</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508,366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12,223</w:t>
            </w: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763,839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23,027</w:t>
            </w: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272,385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12,904</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224,794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9,464</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5.62</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Borders>
              <w:bottom w:val="single" w:sz="8" w:color="CCEEFF"/>
            </w:tcBorders>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7.97</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5.72</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780,986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25,141</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988,703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32,494</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82,242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2,903</w:t>
            </w:r>
          </w:p>
        </w:tc>
        <w:tc>
          <w:tcPr>
            <w:tcW w:w="5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4.72</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122,278</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5,244</w:t>
            </w: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9,004,479</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209,249</w:t>
            </w:r>
          </w:p>
        </w:tc>
        <w:tc>
          <w:tcPr>
            <w:tcW w:w="7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3.11 %</w:t>
            </w: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9,020,591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257,710</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3.82</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3,437,001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3,054,455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194,982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238,028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12,636,462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12,313,074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1,438,332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1,258,636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14,074,794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13,571,710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4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w:t>
            </w: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140"/>
              <w:spacing w:after="0" w:line="102" w:lineRule="exact"/>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295,709</w:t>
            </w: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226,956</w:t>
            </w: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rate spread </w:t>
            </w:r>
            <w:r>
              <w:rPr>
                <w:rFonts w:ascii="Times New Roman" w:cs="Times New Roman" w:eastAsia="Times New Roman" w:hAnsi="Times New Roman"/>
                <w:sz w:val="18"/>
                <w:szCs w:val="18"/>
                <w:color w:val="auto"/>
                <w:vertAlign w:val="superscript"/>
              </w:rPr>
              <w:t>(4)</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1.98 %</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80" w:type="dxa"/>
            <w:vAlign w:val="bottom"/>
            <w:tcBorders>
              <w:top w:val="single" w:sz="8" w:color="CCEEFF"/>
              <w:bottom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16"/>
        </w:trPr>
        <w:tc>
          <w:tcPr>
            <w:tcW w:w="4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4,263,483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gridSpan w:val="4"/>
            <w:shd w:val="clear" w:color="auto" w:fill="CCEEFF"/>
          </w:tcPr>
          <w:p>
            <w:pPr>
              <w:ind w:left="7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3,770,642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8"/>
                <w:szCs w:val="18"/>
                <w:color w:val="auto"/>
                <w:vertAlign w:val="superscript"/>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2.98 %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2.37 %</w:t>
            </w:r>
          </w:p>
        </w:tc>
        <w:tc>
          <w:tcPr>
            <w:tcW w:w="0" w:type="dxa"/>
            <w:vAlign w:val="bottom"/>
          </w:tcPr>
          <w:p>
            <w:pPr>
              <w:spacing w:after="0" w:line="20" w:lineRule="exact"/>
              <w:rPr>
                <w:sz w:val="1"/>
                <w:szCs w:val="1"/>
                <w:color w:val="auto"/>
              </w:rPr>
            </w:pPr>
          </w:p>
        </w:tc>
      </w:tr>
      <w:tr>
        <w:trPr>
          <w:trHeight w:val="115"/>
        </w:trPr>
        <w:tc>
          <w:tcPr>
            <w:tcW w:w="4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147.35 %</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141.80</w:t>
            </w:r>
          </w:p>
        </w:tc>
        <w:tc>
          <w:tcPr>
            <w:tcW w:w="18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35"/>
        </w:trPr>
        <w:tc>
          <w:tcPr>
            <w:tcW w:w="4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11,578,252</w:t>
            </w:r>
          </w:p>
        </w:tc>
        <w:tc>
          <w:tcPr>
            <w:tcW w:w="2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181,205</w:t>
            </w:r>
          </w:p>
        </w:tc>
        <w:tc>
          <w:tcPr>
            <w:tcW w:w="8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2.09 % </w:t>
            </w: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10,964,065</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219,972</w:t>
            </w:r>
          </w:p>
        </w:tc>
        <w:tc>
          <w:tcPr>
            <w:tcW w:w="6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2.68 %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80" w:hanging="330"/>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line="225" w:lineRule="auto"/>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mortgage escrow deposits.</w:t>
      </w:r>
    </w:p>
    <w:p>
      <w:pPr>
        <w:ind w:left="380" w:hanging="330"/>
        <w:spacing w:after="0" w:line="225" w:lineRule="auto"/>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ind w:left="380" w:right="79" w:hanging="330"/>
        <w:spacing w:after="0" w:line="225" w:lineRule="auto"/>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380" w:hanging="330"/>
        <w:spacing w:after="0" w:line="225" w:lineRule="auto"/>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margin represents net interest income divided by average-interest earning assets.</w:t>
      </w:r>
    </w:p>
    <w:p>
      <w:pPr>
        <w:jc w:val="both"/>
        <w:ind w:left="380" w:right="79" w:hanging="330"/>
        <w:spacing w:after="0" w:line="234" w:lineRule="auto"/>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At September 30, 2025 and 2024, 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148"/>
        </w:trPr>
        <w:tc>
          <w:tcPr>
            <w:tcW w:w="2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8"/>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Nine Months Ended September 30, 2024</w:t>
            </w:r>
          </w:p>
        </w:tc>
      </w:tr>
      <w:tr>
        <w:trPr>
          <w:trHeight w:val="173"/>
        </w:trPr>
        <w:tc>
          <w:tcPr>
            <w:tcW w:w="2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12"/>
                <w:szCs w:val="12"/>
                <w:color w:val="auto"/>
              </w:rPr>
            </w:pPr>
          </w:p>
        </w:tc>
        <w:tc>
          <w:tcPr>
            <w:tcW w:w="102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2"/>
                <w:szCs w:val="12"/>
                <w:color w:val="auto"/>
              </w:rPr>
            </w:pPr>
          </w:p>
        </w:tc>
        <w:tc>
          <w:tcPr>
            <w:tcW w:w="76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r>
      <w:tr>
        <w:trPr>
          <w:trHeight w:val="142"/>
        </w:trPr>
        <w:tc>
          <w:tcPr>
            <w:tcW w:w="528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Interest-earning assets:</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8"/>
        </w:trPr>
        <w:tc>
          <w:tcPr>
            <w:tcW w:w="5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Business loans </w:t>
            </w:r>
            <w:r>
              <w:rPr>
                <w:rFonts w:ascii="Times New Roman" w:cs="Times New Roman" w:eastAsia="Times New Roman" w:hAnsi="Times New Roman"/>
                <w:sz w:val="17"/>
                <w:szCs w:val="17"/>
                <w:color w:val="auto"/>
                <w:vertAlign w:val="superscript"/>
              </w:rPr>
              <w:t>(1) (2)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20,239</w:t>
            </w:r>
          </w:p>
        </w:tc>
        <w:tc>
          <w:tcPr>
            <w:tcW w:w="22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(7,141)</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13,098</w:t>
            </w:r>
          </w:p>
        </w:tc>
        <w:tc>
          <w:tcPr>
            <w:tcW w:w="140" w:type="dxa"/>
            <w:vAlign w:val="bottom"/>
          </w:tcPr>
          <w:p>
            <w:pPr>
              <w:spacing w:after="0"/>
              <w:rPr>
                <w:sz w:val="12"/>
                <w:szCs w:val="12"/>
                <w:color w:val="auto"/>
              </w:rPr>
            </w:pPr>
          </w:p>
        </w:tc>
      </w:tr>
      <w:tr>
        <w:trPr>
          <w:trHeight w:val="148"/>
        </w:trPr>
        <w:tc>
          <w:tcPr>
            <w:tcW w:w="52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3,959</w:t>
            </w:r>
          </w:p>
        </w:tc>
        <w:tc>
          <w:tcPr>
            <w:tcW w:w="140" w:type="dxa"/>
            <w:vAlign w:val="bottom"/>
            <w:shd w:val="clear" w:color="auto" w:fill="CCEEFF"/>
          </w:tcPr>
          <w:p>
            <w:pPr>
              <w:spacing w:after="0"/>
              <w:rPr>
                <w:sz w:val="12"/>
                <w:szCs w:val="12"/>
                <w:color w:val="auto"/>
              </w:rPr>
            </w:pPr>
          </w:p>
        </w:tc>
      </w:tr>
      <w:tr>
        <w:trPr>
          <w:trHeight w:val="148"/>
        </w:trPr>
        <w:tc>
          <w:tcPr>
            <w:tcW w:w="5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(8,462)</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(11,081)</w:t>
            </w: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(7,547)</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(3,174)</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(10,721)</w:t>
            </w:r>
          </w:p>
        </w:tc>
      </w:tr>
      <w:tr>
        <w:trPr>
          <w:trHeight w:val="148"/>
        </w:trPr>
        <w:tc>
          <w:tcPr>
            <w:tcW w:w="5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(1,736)</w:t>
            </w:r>
          </w:p>
        </w:tc>
      </w:tr>
      <w:tr>
        <w:trPr>
          <w:trHeight w:val="148"/>
        </w:trPr>
        <w:tc>
          <w:tcPr>
            <w:tcW w:w="52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(102)</w:t>
            </w:r>
          </w:p>
        </w:tc>
      </w:tr>
      <w:tr>
        <w:trPr>
          <w:trHeight w:val="148"/>
        </w:trPr>
        <w:tc>
          <w:tcPr>
            <w:tcW w:w="5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(3,606)</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14,067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10,461</w:t>
            </w:r>
          </w:p>
        </w:tc>
        <w:tc>
          <w:tcPr>
            <w:tcW w:w="140" w:type="dxa"/>
            <w:vAlign w:val="bottom"/>
          </w:tcPr>
          <w:p>
            <w:pPr>
              <w:spacing w:after="0"/>
              <w:rPr>
                <w:sz w:val="12"/>
                <w:szCs w:val="12"/>
                <w:color w:val="auto"/>
              </w:rPr>
            </w:pPr>
          </w:p>
        </w:tc>
      </w:tr>
      <w:tr>
        <w:trPr>
          <w:trHeight w:val="148"/>
        </w:trPr>
        <w:tc>
          <w:tcPr>
            <w:tcW w:w="52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(6,483)</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16,414</w:t>
            </w:r>
          </w:p>
        </w:tc>
        <w:tc>
          <w:tcPr>
            <w:tcW w:w="140" w:type="dxa"/>
            <w:vAlign w:val="bottom"/>
            <w:shd w:val="clear" w:color="auto" w:fill="CCEEFF"/>
          </w:tcPr>
          <w:p>
            <w:pPr>
              <w:spacing w:after="0"/>
              <w:rPr>
                <w:sz w:val="12"/>
                <w:szCs w:val="12"/>
                <w:color w:val="auto"/>
              </w:rPr>
            </w:pPr>
          </w:p>
        </w:tc>
      </w:tr>
      <w:tr>
        <w:trPr>
          <w:trHeight w:val="142"/>
        </w:trPr>
        <w:tc>
          <w:tcPr>
            <w:tcW w:w="528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25,325</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(5,033)</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20,292</w:t>
            </w:r>
          </w:p>
        </w:tc>
        <w:tc>
          <w:tcPr>
            <w:tcW w:w="140" w:type="dxa"/>
            <w:vAlign w:val="bottom"/>
            <w:tcBorders>
              <w:bottom w:val="single" w:sz="8" w:color="CCEEFF"/>
            </w:tcBorders>
          </w:tcPr>
          <w:p>
            <w:pPr>
              <w:spacing w:after="0"/>
              <w:rPr>
                <w:sz w:val="12"/>
                <w:szCs w:val="12"/>
                <w:color w:val="auto"/>
              </w:rPr>
            </w:pPr>
          </w:p>
        </w:tc>
      </w:tr>
      <w:tr>
        <w:trPr>
          <w:trHeight w:val="142"/>
        </w:trPr>
        <w:tc>
          <w:tcPr>
            <w:tcW w:w="52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5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3,789</w:t>
            </w:r>
          </w:p>
        </w:tc>
        <w:tc>
          <w:tcPr>
            <w:tcW w:w="22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2,465</w:t>
            </w:r>
          </w:p>
        </w:tc>
        <w:tc>
          <w:tcPr>
            <w:tcW w:w="22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6,254</w:t>
            </w:r>
          </w:p>
        </w:tc>
        <w:tc>
          <w:tcPr>
            <w:tcW w:w="140" w:type="dxa"/>
            <w:vAlign w:val="bottom"/>
          </w:tcPr>
          <w:p>
            <w:pPr>
              <w:spacing w:after="0"/>
              <w:rPr>
                <w:sz w:val="12"/>
                <w:szCs w:val="12"/>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(18,853)</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(1,684)</w:t>
            </w:r>
          </w:p>
        </w:tc>
      </w:tr>
      <w:tr>
        <w:trPr>
          <w:trHeight w:val="148"/>
        </w:trPr>
        <w:tc>
          <w:tcPr>
            <w:tcW w:w="5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(9,210)</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(14,694)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(23,904)</w:t>
            </w:r>
          </w:p>
        </w:tc>
      </w:tr>
      <w:tr>
        <w:trPr>
          <w:trHeight w:val="148"/>
        </w:trPr>
        <w:tc>
          <w:tcPr>
            <w:tcW w:w="52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(10,808)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(8,625)</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(19,433)</w:t>
            </w:r>
          </w:p>
        </w:tc>
      </w:tr>
      <w:tr>
        <w:trPr>
          <w:trHeight w:val="148"/>
        </w:trPr>
        <w:tc>
          <w:tcPr>
            <w:tcW w:w="5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(6,910)</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(3,894)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(10,804)</w:t>
            </w:r>
          </w:p>
        </w:tc>
      </w:tr>
      <w:tr>
        <w:trPr>
          <w:trHeight w:val="148"/>
        </w:trPr>
        <w:tc>
          <w:tcPr>
            <w:tcW w:w="52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3,440</w:t>
            </w:r>
          </w:p>
        </w:tc>
        <w:tc>
          <w:tcPr>
            <w:tcW w:w="140" w:type="dxa"/>
            <w:vAlign w:val="bottom"/>
            <w:shd w:val="clear" w:color="auto" w:fill="CCEEFF"/>
          </w:tcPr>
          <w:p>
            <w:pPr>
              <w:spacing w:after="0"/>
              <w:rPr>
                <w:sz w:val="12"/>
                <w:szCs w:val="12"/>
                <w:color w:val="auto"/>
              </w:rPr>
            </w:pPr>
          </w:p>
        </w:tc>
      </w:tr>
      <w:tr>
        <w:trPr>
          <w:trHeight w:val="148"/>
        </w:trPr>
        <w:tc>
          <w:tcPr>
            <w:tcW w:w="5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2"/>
                <w:szCs w:val="12"/>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(2,341)</w:t>
            </w:r>
          </w:p>
        </w:tc>
      </w:tr>
      <w:tr>
        <w:trPr>
          <w:trHeight w:val="142"/>
        </w:trPr>
        <w:tc>
          <w:tcPr>
            <w:tcW w:w="528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(5,405)</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(43,056)</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(48,461)</w:t>
            </w:r>
          </w:p>
        </w:tc>
        <w:tc>
          <w:tcPr>
            <w:tcW w:w="140" w:type="dxa"/>
            <w:vAlign w:val="bottom"/>
            <w:tcBorders>
              <w:bottom w:val="single" w:sz="8" w:color="CCEEFF"/>
            </w:tcBorders>
          </w:tcPr>
          <w:p>
            <w:pPr>
              <w:spacing w:after="0"/>
              <w:rPr>
                <w:sz w:val="12"/>
                <w:szCs w:val="12"/>
                <w:color w:val="auto"/>
              </w:rPr>
            </w:pPr>
          </w:p>
        </w:tc>
      </w:tr>
      <w:tr>
        <w:trPr>
          <w:trHeight w:val="142"/>
        </w:trPr>
        <w:tc>
          <w:tcPr>
            <w:tcW w:w="528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30,730</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38,023</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68,753</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304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64" w:lineRule="exact"/>
        <w:rPr>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tabs>
          <w:tab w:leader="none" w:pos="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spacing w:after="0" w:line="2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$295.7 million during the nine months ended September 30, 2025,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$68.8 million from the nine months ended September 30, 2024. Average interest-earning assets were $13.27 billion for the nine months ended September 30, 2025, an increase of $476.7 million from $12.79 billion for the nine months ended September 30, 2024. Net interest margin was 2.98% during the nine months ended September 30, 2025, up from 2.37% during the nine months ended September 30, 2024.</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$505.0 million during the nine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$484.7 million during the nine months ended September 30, 2024. During the nine months ended September 30, 2025, interest income increased $20.3 million from the nine months ended September 30, 2024, primarily reflecting increases in interest income of $16.4 million on other short-term investments, $13.1 million on business loans, $10.5 million on securities, and $4.0 million on one-to-four family residential and coop/condo apartment loans, partially offset by decreases in interest income of $11.1 million on multifamily loans, $10.7 million on non-owner-occupied loans, and $1.7 million on ADC loans.</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increased interest income on other short-term investments (comprised of cash and due from banks and restricted stock) was related to a $623.2 million increase in the average balances, partially offset by a 113-basis point decrease in the yield of such investments in the period. The increased interest income on business loans was due to a $394.6 million increase in the average balances, partially offset by a 36-basis point decrease in the yield of such loans in the period. The increased interest income on securities was related to a 130-basis point increase in the yield, partially offset by a decrease of $178.3 million in the average balances of such securities in the period. The increased interest income on one-to-four family residential and coop/condo apartment loans was related to a $90.3 million increase in the average balances and a 12-basis point increase in the yield of such loans in the period. The decreased interest income on multifamily residential and residential mixed-use loans was related to a $244.5 million decrease in the average balance and a 9-basis point decrease in the yield of such loans in the period. The decreased interest income on non-owner-occupied commercial real estate loans reflected a $189.8 million decrease in the average balance and a 13-basis point decrease in the yield of such loans in the period. The decreased interest income on ADC loan income reflected a $20.4 million decrease in the average balance and a 33-basis point decrease in the yield of such loans in the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$209.2 million during the nine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$257.7 million during the nine months ended September 30, 2024. During the nine months ended September 30, 2025, interest expense decreased $48.5 million, primarily reflecting decreases in interest expense of $38.8 million on deposits, $10.8 million on FHLBNY advances and $2.3 million in interest expense on derivative cash collateral, partially offset by a $3.4 million increase in interest expense on subordinated debt.</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decreased interest expense on deposits was primarily due to a 94-basis point decrease in rates paid on savings accounts and a $363.5 million decrease in average balances of such deposits. There was a $371.3 million decrease in the average balance of CDs and a 93-basis point decrease in the cost of such deposits in the period. There was a 65-basis point decrease in rates paid on money market accounts, partially offset by a $661.3 million increase in average balances of such deposits. There was a $305.1 million increase in the average balance of interest-bearing checking accounts and a 40-basis point increase in the rates paid on such deposits partially offset the overall decline. The decreased interest expense on FHLBNY advances was due to a $255.5 million decrease in the average balance and an 82-basis point decrease in the cost of FHLBNY advances in the period. The decreased interest expense on derivative cash collateral was due to a $40.0 million decrease in the average balance and a 101-basis point decrease in the cost of such derivatives in the period. The increased interest expense on subordinated debt was due to a $47.6 million increase in the average balance and a 71-basis point increase in the cost of such debt in the period.</w:t>
      </w:r>
    </w:p>
    <w:p>
      <w:pPr>
        <w:spacing w:after="0" w:line="19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$32.1 million during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compared to a credit loss provision of $22.4 million for the nine months ended September 30, 2024. The $32.1 million credit loss provision for the nine months ended September 30, 2025, was attributable to updates in the macroeconomic forecast, updated loss driver models, and charge-offs on loans in the owner occupied and non-owner occupied real estate segments. The $22.4 million credit loss provision for the nine months ended September 30, 2024 was primarily associated with increased provisioning for the Bank’s business and multifamily loan portfolios.</w:t>
      </w:r>
    </w:p>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was $33.4 million during the nine months ended September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$29.9 million during the nine months ended September 30, 2024. The increase was primarily driven by a $5.6 million increase in BOLI income, a $2.6 million increase in other non-interest income, a $1.7 million increase in service charges and other fees income and a $1.4 million increase in the fair value change in equity securities and loans held for sale, partially offset by a $7.8 million reduction in gains on sale of Bank’s premises.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was $188.0 million during the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$165.9 million during the nine months ended September 30, 2024. The increase in non-interest expense was primarily due to a $9.9 million increase in salaries and employee benefits and a $7.2 million increase due to the pension settlement loss recorded during the first quarter of 2025.</w:t>
      </w:r>
    </w:p>
    <w:p>
      <w:pPr>
        <w:spacing w:after="0" w:line="18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Non-interest expense was 1.78% and 1.63% of average assets during the nine months ended September 30, 2025 and 2024, respectively.</w:t>
      </w:r>
    </w:p>
    <w:p>
      <w:pPr>
        <w:spacing w:after="0" w:line="160"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$30.1 million during the nine months ended September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income tax expense of $19.0 million during the nine months ended September 30, 2024. The reported effective tax rate for the nine months ended September 30, 2025 and 2024 was 27.7%, and 27.8%,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were presented at December 31, 2024 in Item 7A of the Company’s Annual Report on Form 10-K, filed with the SEC on February 20, 2025. The following is an update of the discussion provided therein.</w:t>
      </w:r>
    </w:p>
    <w:p>
      <w:pPr>
        <w:spacing w:after="0" w:line="1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Company’s largest component of market risk remains interest rate risk. The Company is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exchange or commodity price risk. During the nine months ended September 30, 2025, we conducted zero transactions involving derivative instruments requiring bifurcation in order to hedge interest rate or market risk.</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 Exposure Analysis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Economic Value of Equity (“EVE”) Analysis</w:t>
      </w:r>
      <w:r>
        <w:rPr>
          <w:rFonts w:ascii="Times New Roman" w:cs="Times New Roman" w:eastAsia="Times New Roman" w:hAnsi="Times New Roman"/>
          <w:sz w:val="18"/>
          <w:szCs w:val="18"/>
          <w:color w:val="auto"/>
        </w:rPr>
        <w:t>. In accordance with agency regulatory guidelines, the Company simulates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interest rate volatility upon EVE using several interest rate scenarios. EVE is the difference between the present value of the expected future cash flows of the Company’s assets and liabilities and the value of any off-balance sheet items, such as derivatives, if applicable.</w:t>
      </w:r>
    </w:p>
    <w:p>
      <w:pPr>
        <w:spacing w:after="0" w:line="182"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spacing w:after="0" w:line="1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with this shift occurring equally across all points on the yield curve.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 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analysis that follows presents, as of September 30, 2025 and December 31, 2024, the estimated EVE at both the Pre-Shock Scenario and the -200 Basis Point, -100 Basis Point, +100 Basis Point, and +200 Basis Point Rate Shock Scenarios.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r>
      <w:tr>
        <w:trPr>
          <w:trHeight w:val="183"/>
        </w:trPr>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5"/>
                <w:szCs w:val="15"/>
                <w:color w:val="auto"/>
              </w:rPr>
            </w:pPr>
          </w:p>
        </w:tc>
      </w:tr>
      <w:tr>
        <w:trPr>
          <w:trHeight w:val="215"/>
        </w:trPr>
        <w:tc>
          <w:tcPr>
            <w:tcW w:w="2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EVE</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EVE</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8"/>
                <w:szCs w:val="18"/>
                <w:color w:val="auto"/>
              </w:rPr>
            </w:pPr>
          </w:p>
        </w:tc>
      </w:tr>
      <w:tr>
        <w:trPr>
          <w:trHeight w:val="19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Shock Scenarios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97"/>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$ 2,039,397</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217,821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12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color w:val="auto"/>
              </w:rPr>
              <w:t xml:space="preserve">  $ 1,862,712</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101,644</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1,967,993</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146,416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1,843,160</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82,092</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Pre-Shock Scenario</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1,821,577</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1,761,068</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1,633,493</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(188,083)</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4"/>
              <w:spacing w:after="0" w:line="297" w:lineRule="exact"/>
              <w:rPr>
                <w:sz w:val="20"/>
                <w:szCs w:val="20"/>
                <w:color w:val="auto"/>
              </w:rPr>
            </w:pPr>
            <w:r>
              <w:rPr>
                <w:rFonts w:ascii="Times New Roman" w:cs="Times New Roman" w:eastAsia="Times New Roman" w:hAnsi="Times New Roman"/>
                <w:sz w:val="16"/>
                <w:szCs w:val="16"/>
                <w:b w:val="1"/>
                <w:bCs w:val="1"/>
                <w:color w:val="auto"/>
              </w:rPr>
              <w:t xml:space="preserve">(10.3) </w:t>
            </w:r>
            <w:r>
              <w:rPr>
                <w:rFonts w:ascii="Times New Roman" w:cs="Times New Roman" w:eastAsia="Times New Roman" w:hAnsi="Times New Roman"/>
                <w:sz w:val="28"/>
                <w:szCs w:val="28"/>
                <w:b w:val="1"/>
                <w:bCs w:val="1"/>
                <w:color w:val="auto"/>
                <w:vertAlign w:val="subscript"/>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1,636,011</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(125,057)</w:t>
            </w:r>
          </w:p>
        </w:tc>
        <w:tc>
          <w:tcPr>
            <w:tcW w:w="1000" w:type="dxa"/>
            <w:vAlign w:val="bottom"/>
            <w:gridSpan w:val="2"/>
            <w:shd w:val="clear" w:color="auto" w:fill="CCEEFF"/>
          </w:tcPr>
          <w:p>
            <w:pPr>
              <w:jc w:val="right"/>
              <w:spacing w:after="0" w:line="297" w:lineRule="exact"/>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28"/>
                <w:szCs w:val="28"/>
                <w:color w:val="auto"/>
                <w:vertAlign w:val="subscript"/>
              </w:rPr>
              <w:t>%</w:t>
            </w:r>
          </w:p>
        </w:tc>
      </w:tr>
      <w:tr>
        <w:trPr>
          <w:trHeight w:val="38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1,366,700</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(454,877)</w:t>
            </w:r>
          </w:p>
        </w:tc>
        <w:tc>
          <w:tcPr>
            <w:tcW w:w="120" w:type="dxa"/>
            <w:vAlign w:val="bottom"/>
          </w:tcPr>
          <w:p>
            <w:pPr>
              <w:spacing w:after="0"/>
              <w:rPr>
                <w:sz w:val="24"/>
                <w:szCs w:val="24"/>
                <w:color w:val="auto"/>
              </w:rPr>
            </w:pPr>
          </w:p>
        </w:tc>
        <w:tc>
          <w:tcPr>
            <w:tcW w:w="9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 xml:space="preserve">(25.0) </w:t>
            </w:r>
            <w:r>
              <w:rPr>
                <w:rFonts w:ascii="Times New Roman" w:cs="Times New Roman" w:eastAsia="Times New Roman" w:hAnsi="Times New Roman"/>
                <w:sz w:val="28"/>
                <w:szCs w:val="28"/>
                <w:b w:val="1"/>
                <w:bCs w:val="1"/>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1,439,251</w:t>
            </w: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(321,817)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(18.3) </w:t>
            </w:r>
            <w:r>
              <w:rPr>
                <w:rFonts w:ascii="Times New Roman" w:cs="Times New Roman" w:eastAsia="Times New Roman" w:hAnsi="Times New Roman"/>
                <w:sz w:val="28"/>
                <w:szCs w:val="28"/>
                <w:color w:val="auto"/>
                <w:vertAlign w:val="subscript"/>
              </w:rPr>
              <w:t>%</w:t>
            </w:r>
          </w:p>
        </w:tc>
      </w:tr>
    </w:tbl>
    <w:p>
      <w:pPr>
        <w:spacing w:after="0" w:line="11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Pre-Shock Scenario EVE increased marginally from $1.76 billion at December 31, 2024 to $1.82 billion at September 30, 2025. The primary factors contributing to the increase in EVE is an increase in the value of the Bank’s loan and investment portfolios, partially offset by a decline in value of the Bank’s non-maturity deposit base.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EVE in the +100 Basis Point Rate and +200 Basis Point Rate Shock Scenarios increased from $1.84 billion and $1.86 billion, respectively, at December 31, 2024, to $1.97 billion and $2.04 billion, respectively, at September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30, 2025. In the -100 Basis Point Rate and -200 Basis Point Rate Shock Scenario the Company’s EVE decreased from $1.64 billion and $1.44 billion, respectively, at December 31, 2024, to $1.63 billion and $1.37 billion, respectively, at September 30, 2025.</w:t>
      </w:r>
    </w:p>
    <w:p>
      <w:pPr>
        <w:spacing w:after="0" w:line="174"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Income Simulation Analysis</w:t>
      </w:r>
      <w:r>
        <w:rPr>
          <w:rFonts w:ascii="Times New Roman" w:cs="Times New Roman" w:eastAsia="Times New Roman" w:hAnsi="Times New Roman"/>
          <w:sz w:val="18"/>
          <w:szCs w:val="18"/>
          <w:color w:val="auto"/>
        </w:rPr>
        <w:t>. As of the end of each quarterly period, the Company also monitors the impact of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through a net interest income simulation model. This model estimates the impact of interest rate changes on the Company’s net interest income over forward-looking periods typically not exceeding 36 months (a considerably shorter 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occurring equally across all points on the yield curve over a 12-month period beginning September 30, 2025, for the given rate scenarios: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Gradual Change in Interest rates of:</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38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2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780" w:type="dxa"/>
            <w:vAlign w:val="bottom"/>
            <w:gridSpan w:val="2"/>
            <w:shd w:val="clear" w:color="auto" w:fill="CCEEFF"/>
          </w:tcPr>
          <w:p>
            <w:pPr>
              <w:jc w:val="right"/>
              <w:ind w:right="188"/>
              <w:spacing w:after="0" w:line="202" w:lineRule="exact"/>
              <w:rPr>
                <w:sz w:val="20"/>
                <w:szCs w:val="20"/>
                <w:color w:val="auto"/>
              </w:rPr>
            </w:pPr>
            <w:r>
              <w:rPr>
                <w:rFonts w:ascii="Times New Roman" w:cs="Times New Roman" w:eastAsia="Times New Roman" w:hAnsi="Times New Roman"/>
                <w:sz w:val="14"/>
                <w:szCs w:val="14"/>
                <w:color w:val="auto"/>
              </w:rPr>
              <w:t xml:space="preserve">(0.2) </w:t>
            </w:r>
            <w:r>
              <w:rPr>
                <w:rFonts w:ascii="Times New Roman" w:cs="Times New Roman" w:eastAsia="Times New Roman" w:hAnsi="Times New Roman"/>
                <w:sz w:val="23"/>
                <w:szCs w:val="23"/>
                <w:color w:val="auto"/>
                <w:vertAlign w:val="subscript"/>
              </w:rPr>
              <w:t>%</w:t>
            </w:r>
          </w:p>
        </w:tc>
        <w:tc>
          <w:tcPr>
            <w:tcW w:w="16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23"/>
                <w:szCs w:val="23"/>
                <w:color w:val="auto"/>
                <w:vertAlign w:val="subscript"/>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78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 xml:space="preserve">(0.9) </w:t>
            </w:r>
            <w:r>
              <w:rPr>
                <w:rFonts w:ascii="Times New Roman" w:cs="Times New Roman" w:eastAsia="Times New Roman" w:hAnsi="Times New Roman"/>
                <w:sz w:val="28"/>
                <w:szCs w:val="28"/>
                <w:color w:val="auto"/>
                <w:vertAlign w:val="subscript"/>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28"/>
                <w:szCs w:val="28"/>
                <w:color w:val="auto"/>
                <w:vertAlign w:val="subscript"/>
              </w:rPr>
              <w:t>%</w:t>
            </w:r>
          </w:p>
        </w:tc>
      </w:tr>
    </w:tbl>
    <w:p>
      <w:pPr>
        <w:spacing w:after="0" w:line="2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also examines the potential impact to net interest income by simulating the impact of instantaneous changes to interest rates occurring equally across all points on the yield curve. The following table discloses the estimated changes to the Company’s net interest income in various time periods associated with the given interest rate shock scenarios.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Instantaneous Rate Shock Scenarios</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38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2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780" w:type="dxa"/>
            <w:vAlign w:val="bottom"/>
            <w:gridSpan w:val="2"/>
            <w:shd w:val="clear" w:color="auto" w:fill="CCEEFF"/>
          </w:tcPr>
          <w:p>
            <w:pPr>
              <w:jc w:val="right"/>
              <w:ind w:right="188"/>
              <w:spacing w:after="0" w:line="202" w:lineRule="exact"/>
              <w:rPr>
                <w:sz w:val="20"/>
                <w:szCs w:val="20"/>
                <w:color w:val="auto"/>
              </w:rPr>
            </w:pPr>
            <w:r>
              <w:rPr>
                <w:rFonts w:ascii="Times New Roman" w:cs="Times New Roman" w:eastAsia="Times New Roman" w:hAnsi="Times New Roman"/>
                <w:sz w:val="14"/>
                <w:szCs w:val="14"/>
                <w:color w:val="auto"/>
              </w:rPr>
              <w:t xml:space="preserve">(1.9) </w:t>
            </w:r>
            <w:r>
              <w:rPr>
                <w:rFonts w:ascii="Times New Roman" w:cs="Times New Roman" w:eastAsia="Times New Roman" w:hAnsi="Times New Roman"/>
                <w:sz w:val="23"/>
                <w:szCs w:val="23"/>
                <w:color w:val="auto"/>
                <w:vertAlign w:val="subscript"/>
              </w:rPr>
              <w:t>%</w:t>
            </w:r>
          </w:p>
        </w:tc>
        <w:tc>
          <w:tcPr>
            <w:tcW w:w="16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23"/>
                <w:szCs w:val="23"/>
                <w:color w:val="auto"/>
                <w:vertAlign w:val="subscript"/>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78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28"/>
                <w:szCs w:val="28"/>
                <w:color w:val="auto"/>
                <w:vertAlign w:val="subscript"/>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28"/>
                <w:szCs w:val="28"/>
                <w:color w:val="auto"/>
                <w:vertAlign w:val="subscript"/>
              </w:rPr>
              <w:t>%</w:t>
            </w:r>
          </w:p>
        </w:tc>
      </w:tr>
    </w:tbl>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of the Company, with the participation of its Principal Executive Officer and Principal Financial Officer, conducted an evaluation of the effectiveness, as of September 30, 2025, of the Company’s disclosure controls and procedures, as defined in Rules 13a-15(e) and 15(d)-15(e) under the Exchange Act. Based upon this evaluation, the Principal Executive Officer and Principal Financial Officer concluded that the Company’s disclosure controls and procedures were effective as of September 30, 2025 in ensuring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as appropriate to allow timely decisions regarding required disclosures.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September 30, 2025, that has materially affected, or is reasonably likely to materially affect, such controls.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routinely named as a defendant in, or party to, various pending or threatened legal actions or proceedings. Certain of these matters may seek substantial monetary damages. In the opinion of management, the Company was not involved in any actions or proceedings that were likely to have a material adverse impact on its financial condition and results of operations as of September 30,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risk factors, see Part 1, Item 1A “Risk Factors” in the Company’s Annual Report on Form 10-K for fiscal year ended December 31, 2024, and Part II, Item 1A “Risk Factors” in our subsequent Quarterly Reports on Form 10-Q, each as filed with the Securities and Exchange Commission.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left="380" w:right="59" w:hanging="330"/>
        <w:spacing w:after="0" w:line="258" w:lineRule="auto"/>
        <w:tabs>
          <w:tab w:leader="none" w:pos="39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announced the adoption of a new stock repurchase program of up to 1,948,314 shares, upon the completion of our existing authorized stock repurchase program. The stock repurchase program may be suspended, terminated, or modified at any time for any reason, and has no termination date. As of September 30, 2025, there were 1,566,947 shares remaining to be purchased in the program. There were no repurchases of common stock during the quarter ended September 30,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260" w:type="dxa"/>
            <w:vAlign w:val="bottom"/>
            <w:gridSpan w:val="1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7960" w:type="dxa"/>
            <w:vAlign w:val="bottom"/>
            <w:gridSpan w:val="16"/>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Restated Certificate of Incorporation of the Registrant (incorporated by reference to Exhibit 3.1 to the</w:t>
              </w:r>
            </w:hyperlink>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Registrant’s Current Report on Form 8-K, filed February 2, 2021 (File No. 001-34096))</w:t>
              </w:r>
            </w:hyperlink>
          </w:p>
        </w:tc>
        <w:tc>
          <w:tcPr>
            <w:tcW w:w="1000" w:type="dxa"/>
            <w:vAlign w:val="bottom"/>
            <w:tcBorders>
              <w:top w:val="single" w:sz="8" w:color="0000EE"/>
            </w:tcBorders>
            <w:gridSpan w:val="3"/>
          </w:tcPr>
          <w:p>
            <w:pPr>
              <w:spacing w:after="0"/>
              <w:rPr>
                <w:sz w:val="17"/>
                <w:szCs w:val="17"/>
                <w:color w:val="auto"/>
              </w:rPr>
            </w:pPr>
          </w:p>
        </w:tc>
        <w:tc>
          <w:tcPr>
            <w:tcW w:w="640" w:type="dxa"/>
            <w:vAlign w:val="bottom"/>
            <w:gridSpan w:val="6"/>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7"/>
                <w:szCs w:val="17"/>
                <w:color w:val="auto"/>
              </w:rPr>
            </w:pPr>
          </w:p>
        </w:tc>
        <w:tc>
          <w:tcPr>
            <w:tcW w:w="7960" w:type="dxa"/>
            <w:vAlign w:val="bottom"/>
            <w:gridSpan w:val="1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Amended and Restated Bylaws of Dime Community Bancshares, Inc. (incorporated by reference to Exhibit</w:t>
              </w:r>
            </w:hyperlink>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to the Registrant’s Current Report on Form 8-K, filed October 25, 2024 (File No. 001-34096))</w:t>
              </w:r>
            </w:hyperlink>
          </w:p>
        </w:tc>
        <w:tc>
          <w:tcPr>
            <w:tcW w:w="680" w:type="dxa"/>
            <w:vAlign w:val="bottom"/>
            <w:tcBorders>
              <w:top w:val="single" w:sz="8" w:color="0000EE"/>
            </w:tcBorders>
            <w:gridSpan w:val="6"/>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7"/>
                <w:szCs w:val="17"/>
                <w:color w:val="auto"/>
              </w:rPr>
            </w:pPr>
          </w:p>
        </w:tc>
        <w:tc>
          <w:tcPr>
            <w:tcW w:w="7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Indenture, dated May 6, 2022, between Dime Community Bancshares, Inc. and Wilmington Trust National</w:t>
              </w:r>
            </w:hyperlink>
          </w:p>
        </w:tc>
        <w:tc>
          <w:tcPr>
            <w:tcW w:w="26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6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Association, as trustee (incorporated by reference to Exhibit 4.1 to the Registrant’s Current Report on Form 8-</w:t>
              </w:r>
            </w:hyperlink>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K, filed May 6, 2022 (File No. 001-34096))</w:t>
              </w:r>
            </w:hyperlink>
          </w:p>
        </w:tc>
        <w:tc>
          <w:tcPr>
            <w:tcW w:w="478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7"/>
                <w:szCs w:val="17"/>
                <w:color w:val="auto"/>
              </w:rPr>
            </w:pPr>
          </w:p>
        </w:tc>
        <w:tc>
          <w:tcPr>
            <w:tcW w:w="7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First Supplemental Indenture, dated May 6, 2022, between Dime Community Bancshares, Inc. and</w:t>
              </w:r>
            </w:hyperlink>
          </w:p>
        </w:tc>
        <w:tc>
          <w:tcPr>
            <w:tcW w:w="840" w:type="dxa"/>
            <w:vAlign w:val="bottom"/>
            <w:gridSpan w:val="7"/>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6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Wilmington Trust National Association, as trustee (incorporated by reference to Exhibit 4.2 to the Registrant’s</w:t>
              </w:r>
            </w:hyperlink>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Current Report on Form 8-K, filed May 6, 2022 (File No. 001-34096))</w:t>
              </w:r>
            </w:hyperlink>
          </w:p>
        </w:tc>
        <w:tc>
          <w:tcPr>
            <w:tcW w:w="28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7"/>
                <w:szCs w:val="17"/>
                <w:color w:val="auto"/>
              </w:rPr>
            </w:pPr>
          </w:p>
        </w:tc>
        <w:tc>
          <w:tcPr>
            <w:tcW w:w="7960" w:type="dxa"/>
            <w:vAlign w:val="bottom"/>
            <w:gridSpan w:val="16"/>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Second Supplemental Indenture, dated June 28, 2024, between Dime Community Bancshares, Inc. and</w:t>
              </w:r>
            </w:hyperlink>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6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Wilmington Trust National Association, as trustee (incorporated by reference to Exhibit 4.2 to the Registrant’s</w:t>
              </w:r>
            </w:hyperlink>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Current Report on Form 8-K, filed June 28, 2024 (File No. 001-34096))</w:t>
              </w:r>
            </w:hyperlink>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7"/>
                <w:szCs w:val="17"/>
                <w:color w:val="auto"/>
              </w:rPr>
            </w:pPr>
          </w:p>
        </w:tc>
        <w:tc>
          <w:tcPr>
            <w:tcW w:w="76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Retirement, Consulting and Release Agreement, dated October 31, 2025, by and among Dime Community</w:t>
            </w:r>
          </w:p>
        </w:tc>
        <w:tc>
          <w:tcPr>
            <w:tcW w:w="280" w:type="dxa"/>
            <w:vAlign w:val="bottom"/>
            <w:gridSpan w:val="4"/>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Bancshares, Inc., Dime Community Bank and Conrad J. Gunther</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11"/>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7"/>
                <w:szCs w:val="17"/>
                <w:color w:val="auto"/>
              </w:rPr>
            </w:pPr>
          </w:p>
        </w:tc>
        <w:tc>
          <w:tcPr>
            <w:tcW w:w="7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w:t>
            </w:r>
          </w:p>
        </w:tc>
        <w:tc>
          <w:tcPr>
            <w:tcW w:w="40" w:type="dxa"/>
            <w:vAlign w:val="bottom"/>
            <w:tcBorders>
              <w:top w:val="single" w:sz="8" w:color="0000EE"/>
            </w:tcBorders>
          </w:tcPr>
          <w:p>
            <w:pPr>
              <w:spacing w:after="0"/>
              <w:rPr>
                <w:sz w:val="17"/>
                <w:szCs w:val="17"/>
                <w:color w:val="auto"/>
              </w:rPr>
            </w:pPr>
          </w:p>
        </w:tc>
        <w:tc>
          <w:tcPr>
            <w:tcW w:w="2860" w:type="dxa"/>
            <w:vAlign w:val="bottom"/>
            <w:gridSpan w:val="11"/>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17"/>
                <w:szCs w:val="17"/>
                <w:color w:val="auto"/>
              </w:rPr>
            </w:pPr>
          </w:p>
        </w:tc>
        <w:tc>
          <w:tcPr>
            <w:tcW w:w="79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Rule 13a-14(b) and 18 U.S.C.</w:t>
            </w: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w:t>
            </w:r>
          </w:p>
        </w:tc>
        <w:tc>
          <w:tcPr>
            <w:tcW w:w="7000" w:type="dxa"/>
            <w:vAlign w:val="bottom"/>
            <w:gridSpan w:val="15"/>
          </w:tcPr>
          <w:p>
            <w:pPr>
              <w:spacing w:after="0"/>
              <w:rPr>
                <w:sz w:val="17"/>
                <w:szCs w:val="17"/>
                <w:color w:val="auto"/>
              </w:rPr>
            </w:pPr>
          </w:p>
        </w:tc>
      </w:tr>
    </w:tbl>
    <w:p>
      <w:pPr>
        <w:spacing w:after="0" w:line="9" w:lineRule="exact"/>
        <w:rPr>
          <w:sz w:val="20"/>
          <w:szCs w:val="20"/>
          <w:color w:val="auto"/>
        </w:rPr>
      </w:pPr>
    </w:p>
    <w:p>
      <w:pPr>
        <w:ind w:left="940" w:right="159" w:hanging="884"/>
        <w:spacing w:after="0" w:line="255"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Dime Community Bancshares, Inc.'s Quarterly Report on Form 10-Q for the Quarter Ended September 30, 2025, filed on November 3, 2025, formatted in XBRL: (i) Consolidated Statements of Financial Condition as of September 30, 2025 and December 31, 2024, (ii) Consolidated Statements of Operations for the Three and Nine Months Ended September 30, 2025 and 2024,</w:t>
      </w:r>
    </w:p>
    <w:p>
      <w:pPr>
        <w:spacing w:after="0" w:line="2" w:lineRule="exact"/>
        <w:rPr>
          <w:rFonts w:ascii="Times New Roman" w:cs="Times New Roman" w:eastAsia="Times New Roman" w:hAnsi="Times New Roman"/>
          <w:sz w:val="18"/>
          <w:szCs w:val="18"/>
          <w:color w:val="auto"/>
        </w:rPr>
      </w:pPr>
    </w:p>
    <w:p>
      <w:pPr>
        <w:ind w:left="940" w:right="1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Consolidated Statements of Comprehensive Income for the Three and Nine Months Ended September 30, 2025 and 2024, (iv) Consolidated Statements of Stockholders' Equity for the Three and Nine Months Ended September 30, 2025 and 2024, (v) Consolidated Statements of Cash Flows for the Nine Months Ended</w:t>
      </w:r>
    </w:p>
    <w:tbl>
      <w:tblPr>
        <w:tblLayout w:type="fixed"/>
        <w:tblInd w:w="60" w:type="dxa"/>
        <w:tblCellMar>
          <w:top w:w="0" w:type="dxa"/>
          <w:left w:w="0" w:type="dxa"/>
          <w:bottom w:w="0" w:type="dxa"/>
          <w:right w:w="0" w:type="dxa"/>
        </w:tblCellMar>
      </w:tblPr>
      <w:tr>
        <w:trPr>
          <w:trHeight w:val="199"/>
        </w:trPr>
        <w:tc>
          <w:tcPr>
            <w:tcW w:w="780" w:type="dxa"/>
            <w:vAlign w:val="bottom"/>
          </w:tcPr>
          <w:p>
            <w:pPr>
              <w:spacing w:after="0"/>
              <w:rPr>
                <w:sz w:val="17"/>
                <w:szCs w:val="17"/>
                <w:color w:val="auto"/>
              </w:rPr>
            </w:pPr>
          </w:p>
        </w:tc>
        <w:tc>
          <w:tcPr>
            <w:tcW w:w="726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w w:val="99"/>
              </w:rPr>
              <w:t>September 30, 2025 and 2024, and (vi) the Condensed Notes to Consolidated Financial Statements.</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7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Definitions Linkbase Document</w:t>
            </w:r>
          </w:p>
        </w:tc>
      </w:tr>
    </w:tbl>
    <w:p>
      <w:pPr>
        <w:ind w:left="940" w:hanging="88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to this Quarterly Report on Form 10-Q,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Dime Community Bancshares, Inc.</w:t>
            </w:r>
          </w:p>
        </w:tc>
      </w:tr>
      <w:tr>
        <w:trPr>
          <w:trHeight w:val="41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3, 2025</w:t>
            </w:r>
          </w:p>
        </w:tc>
        <w:tc>
          <w:tcPr>
            <w:tcW w:w="33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/s/ Stuart H. Lubow</w:t>
            </w:r>
          </w:p>
        </w:tc>
      </w:tr>
      <w:tr>
        <w:trPr>
          <w:trHeight w:val="191"/>
        </w:trPr>
        <w:tc>
          <w:tcPr>
            <w:tcW w:w="2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Stuart H. Lubow</w:t>
            </w:r>
          </w:p>
        </w:tc>
        <w:tc>
          <w:tcPr>
            <w:tcW w:w="40" w:type="dxa"/>
            <w:vAlign w:val="bottom"/>
          </w:tcPr>
          <w:p>
            <w:pPr>
              <w:spacing w:after="0"/>
              <w:rPr>
                <w:sz w:val="16"/>
                <w:szCs w:val="16"/>
                <w:color w:val="auto"/>
              </w:rPr>
            </w:pPr>
          </w:p>
        </w:tc>
      </w:tr>
      <w:tr>
        <w:trPr>
          <w:trHeight w:val="216"/>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w:t>
            </w:r>
          </w:p>
        </w:tc>
      </w:tr>
      <w:tr>
        <w:trPr>
          <w:trHeight w:val="234"/>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64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3, 2025</w:t>
            </w:r>
          </w:p>
        </w:tc>
        <w:tc>
          <w:tcPr>
            <w:tcW w:w="33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/s/ Avinash Reddy</w:t>
            </w:r>
          </w:p>
        </w:tc>
      </w:tr>
      <w:tr>
        <w:trPr>
          <w:trHeight w:val="191"/>
        </w:trPr>
        <w:tc>
          <w:tcPr>
            <w:tcW w:w="2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Avinash Reddy</w:t>
            </w:r>
          </w:p>
        </w:tc>
        <w:tc>
          <w:tcPr>
            <w:tcW w:w="40" w:type="dxa"/>
            <w:vAlign w:val="bottom"/>
          </w:tcPr>
          <w:p>
            <w:pPr>
              <w:spacing w:after="0"/>
              <w:rPr>
                <w:sz w:val="16"/>
                <w:szCs w:val="16"/>
                <w:color w:val="auto"/>
              </w:rPr>
            </w:pPr>
          </w:p>
        </w:tc>
      </w:tr>
      <w:tr>
        <w:trPr>
          <w:trHeight w:val="216"/>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w:t>
            </w:r>
          </w:p>
        </w:tc>
      </w:tr>
      <w:tr>
        <w:trPr>
          <w:trHeight w:val="216"/>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w:t>
            </w:r>
          </w:p>
        </w:tc>
      </w:tr>
      <w:tr>
        <w:trPr>
          <w:trHeight w:val="234"/>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76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RETIREMENT, CONSULTING AND RELEASE AGREEMENT</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This Retirement, Consulting and Release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November 3, 2025, is entered into by and between Dime Community Bancshares, Inc., Dime Community Bank, 898 Veterans Memorial Highway, Suite 560, Hauppauge, New York 11788 (together, “</w:t>
      </w:r>
      <w:r>
        <w:rPr>
          <w:rFonts w:ascii="Times New Roman" w:cs="Times New Roman" w:eastAsia="Times New Roman" w:hAnsi="Times New Roman"/>
          <w:sz w:val="22"/>
          <w:szCs w:val="22"/>
          <w:u w:val="single" w:color="auto"/>
          <w:color w:val="auto"/>
        </w:rPr>
        <w:t>Dime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Conrad J. Gunther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collectively referred to herein as the “Parties”.</w:t>
      </w:r>
    </w:p>
    <w:p>
      <w:pPr>
        <w:spacing w:after="0" w:line="173"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and the Company are parties to that certain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as of October 14, 2020, as further amended on June 28, 2021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wishes to encourage its executives to: (i) provide ample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notification of retirement so that the Company can plan appropriately, and (ii) be available to consult with the Company as needed for a twelve month period after retirement;</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will retire as Senior Executive Vice President and Chief Lending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the Company effective December 30, 2025 on which date his employment with the Company will end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mutually desire to provide certain terms following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and Executive is willing to provide certain consulting services for the period set forth herein; and</w:t>
      </w:r>
    </w:p>
    <w:p>
      <w:pPr>
        <w:spacing w:after="0" w:line="167"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except as otherwise expressly set forth herein, the Parties intend that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effect a full satisfaction and release of all of the obligations owed to Executive by the Company.</w:t>
      </w:r>
    </w:p>
    <w:p>
      <w:pPr>
        <w:spacing w:after="0" w:line="16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hereto hereby covenant and agree as follows:</w:t>
      </w:r>
    </w:p>
    <w:p>
      <w:pPr>
        <w:spacing w:after="0" w:line="171" w:lineRule="exact"/>
        <w:rPr>
          <w:sz w:val="20"/>
          <w:szCs w:val="20"/>
          <w:color w:val="auto"/>
        </w:rPr>
      </w:pPr>
    </w:p>
    <w:p>
      <w:pPr>
        <w:jc w:val="both"/>
        <w:ind w:left="200" w:right="219" w:firstLine="657"/>
        <w:spacing w:after="0" w:line="235" w:lineRule="auto"/>
        <w:tabs>
          <w:tab w:leader="none" w:pos="14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Unless otherwise agreed upon in writing, Executive’s last day of employment shall be the Separation Date. Executive also agrees to resign automatically, and without the need for further notice, from any and all officer positions that Executive held with the Company or its affiliated entities as of the Separation Date. During the period between execution of this Agreement and the Separation Date, Executive shall continue to serve as Senior Executive Vice President and Chief Lending Officer of the Company, consistent with past practice, and subject to reasonable steps taken to transition the duties of Senior Executive Vice President and Chief Lending Officer to a successor.</w:t>
      </w:r>
    </w:p>
    <w:p>
      <w:pPr>
        <w:spacing w:after="0" w:line="178"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Consideration</w:t>
      </w:r>
      <w:r>
        <w:rPr>
          <w:rFonts w:ascii="Times New Roman" w:cs="Times New Roman" w:eastAsia="Times New Roman" w:hAnsi="Times New Roman"/>
          <w:sz w:val="22"/>
          <w:szCs w:val="22"/>
          <w:color w:val="auto"/>
        </w:rPr>
        <w:t>. In consideration for Executive: (i) signing this Agreement and a supplemental release agreement to be provided by the Company (“</w:t>
      </w:r>
      <w:r>
        <w:rPr>
          <w:rFonts w:ascii="Times New Roman" w:cs="Times New Roman" w:eastAsia="Times New Roman" w:hAnsi="Times New Roman"/>
          <w:sz w:val="22"/>
          <w:szCs w:val="22"/>
          <w:u w:val="single" w:color="auto"/>
          <w:color w:val="auto"/>
        </w:rPr>
        <w:t>Supplemental Release</w:t>
      </w:r>
      <w:r>
        <w:rPr>
          <w:rFonts w:ascii="Times New Roman" w:cs="Times New Roman" w:eastAsia="Times New Roman" w:hAnsi="Times New Roman"/>
          <w:sz w:val="22"/>
          <w:szCs w:val="22"/>
          <w:color w:val="auto"/>
        </w:rPr>
        <w:t>”) upon his Separation Date reaffirming the obligations and general release in this Agreement, (ii) complying with all of the terms and conditions in this Agreement and the Supplemental Release that apply to Executive, (iii) the non-competition and non-solicitation restrictions in favor of the Company, and (iv) the consulting terms provided in this Agreement, the Company agrees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339725</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5" w:name="page66"/>
    <w:bookmarkEnd w:id="6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2" w:lineRule="exact"/>
        <w:rPr>
          <w:sz w:val="20"/>
          <w:szCs w:val="20"/>
          <w:color w:val="auto"/>
        </w:rPr>
      </w:pPr>
    </w:p>
    <w:p>
      <w:pPr>
        <w:jc w:val="both"/>
        <w:ind w:left="280" w:right="219" w:firstLine="1306"/>
        <w:spacing w:after="0" w:line="250" w:lineRule="auto"/>
        <w:tabs>
          <w:tab w:leader="none" w:pos="2143"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Base Salary through Separation Date</w:t>
      </w:r>
      <w:r>
        <w:rPr>
          <w:rFonts w:ascii="Times New Roman" w:cs="Times New Roman" w:eastAsia="Times New Roman" w:hAnsi="Times New Roman"/>
          <w:sz w:val="21"/>
          <w:szCs w:val="21"/>
          <w:color w:val="auto"/>
        </w:rPr>
        <w:t>. Executive shall continue to earn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receive Executive’s current base salary in full, less applicable withholdings and deductions, through the Separation Date, payable pursuant to the Company’s standard payroll schedule. Through the Separation Date, Executive shall also continue to be eligible for all health, disability, life, and retirement benefits plans (including tax-qualified and non-qualified retirement plans in which Executive currently participates), in accordance with the Company’s customary practices.</w:t>
      </w:r>
    </w:p>
    <w:p>
      <w:pPr>
        <w:spacing w:after="0" w:line="164" w:lineRule="exact"/>
        <w:rPr>
          <w:rFonts w:ascii="Times New Roman" w:cs="Times New Roman" w:eastAsia="Times New Roman" w:hAnsi="Times New Roman"/>
          <w:sz w:val="21"/>
          <w:szCs w:val="21"/>
          <w:color w:val="auto"/>
        </w:rPr>
      </w:pPr>
    </w:p>
    <w:p>
      <w:pPr>
        <w:jc w:val="both"/>
        <w:ind w:left="280" w:right="219" w:firstLine="1306"/>
        <w:spacing w:after="0" w:line="236" w:lineRule="auto"/>
        <w:tabs>
          <w:tab w:leader="none" w:pos="214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2025 Bonus</w:t>
      </w:r>
      <w:r>
        <w:rPr>
          <w:rFonts w:ascii="Times New Roman" w:cs="Times New Roman" w:eastAsia="Times New Roman" w:hAnsi="Times New Roman"/>
          <w:sz w:val="22"/>
          <w:szCs w:val="22"/>
          <w:color w:val="auto"/>
        </w:rPr>
        <w:t>. Executive shall receive a bonus of $252,070, payable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December 30, 2025, which reflects the Executive’s annual incentive award under the 2025 Annual Incentive Plan at the target level. In addition, if the Executive would be entitled to a 2025 cash bonus at an amount greater than the target level if the Executive had continued to be employed through March 2026 (the “</w:t>
      </w:r>
      <w:r>
        <w:rPr>
          <w:rFonts w:ascii="Times New Roman" w:cs="Times New Roman" w:eastAsia="Times New Roman" w:hAnsi="Times New Roman"/>
          <w:sz w:val="22"/>
          <w:szCs w:val="22"/>
          <w:u w:val="single" w:color="auto"/>
          <w:color w:val="auto"/>
        </w:rPr>
        <w:t>Actual Bonus</w:t>
      </w:r>
      <w:r>
        <w:rPr>
          <w:rFonts w:ascii="Times New Roman" w:cs="Times New Roman" w:eastAsia="Times New Roman" w:hAnsi="Times New Roman"/>
          <w:sz w:val="22"/>
          <w:szCs w:val="22"/>
          <w:color w:val="auto"/>
        </w:rPr>
        <w:t>”), the Executive will receive an additional payment, in an amount equal to the Actual Bonus less $252,070, after the Separation Date and no later than March 31, 2026.</w:t>
      </w:r>
    </w:p>
    <w:p>
      <w:pPr>
        <w:spacing w:after="0" w:line="175" w:lineRule="exact"/>
        <w:rPr>
          <w:rFonts w:ascii="Times New Roman" w:cs="Times New Roman" w:eastAsia="Times New Roman" w:hAnsi="Times New Roman"/>
          <w:sz w:val="22"/>
          <w:szCs w:val="22"/>
          <w:color w:val="auto"/>
        </w:rPr>
      </w:pPr>
    </w:p>
    <w:p>
      <w:pPr>
        <w:jc w:val="both"/>
        <w:ind w:left="280" w:right="219" w:firstLine="1306"/>
        <w:spacing w:after="0" w:line="246" w:lineRule="auto"/>
        <w:tabs>
          <w:tab w:leader="none" w:pos="214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Awards</w:t>
      </w:r>
      <w:r>
        <w:rPr>
          <w:rFonts w:ascii="Times New Roman" w:cs="Times New Roman" w:eastAsia="Times New Roman" w:hAnsi="Times New Roman"/>
          <w:sz w:val="22"/>
          <w:szCs w:val="22"/>
          <w:color w:val="auto"/>
        </w:rPr>
        <w:t>. Executive’s time-vested restricted stock awards (“</w:t>
      </w:r>
      <w:r>
        <w:rPr>
          <w:rFonts w:ascii="Times New Roman" w:cs="Times New Roman" w:eastAsia="Times New Roman" w:hAnsi="Times New Roman"/>
          <w:sz w:val="22"/>
          <w:szCs w:val="22"/>
          <w:u w:val="single" w:color="auto"/>
          <w:color w:val="auto"/>
        </w:rPr>
        <w:t>RSAs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performance-vested restricted stock awards (“</w:t>
      </w:r>
      <w:r>
        <w:rPr>
          <w:rFonts w:ascii="Times New Roman" w:cs="Times New Roman" w:eastAsia="Times New Roman" w:hAnsi="Times New Roman"/>
          <w:sz w:val="22"/>
          <w:szCs w:val="22"/>
          <w:u w:val="single" w:color="auto"/>
          <w:color w:val="auto"/>
        </w:rPr>
        <w:t>PRSAs</w:t>
      </w:r>
      <w:r>
        <w:rPr>
          <w:rFonts w:ascii="Times New Roman" w:cs="Times New Roman" w:eastAsia="Times New Roman" w:hAnsi="Times New Roman"/>
          <w:sz w:val="22"/>
          <w:szCs w:val="22"/>
          <w:color w:val="auto"/>
        </w:rPr>
        <w:t>”) which are not vested as of the Separation Date shall be subject to the treatment specified in Appendix A to this Agreement.</w:t>
      </w:r>
    </w:p>
    <w:p>
      <w:pPr>
        <w:spacing w:after="0" w:line="167" w:lineRule="exact"/>
        <w:rPr>
          <w:rFonts w:ascii="Times New Roman" w:cs="Times New Roman" w:eastAsia="Times New Roman" w:hAnsi="Times New Roman"/>
          <w:sz w:val="22"/>
          <w:szCs w:val="22"/>
          <w:color w:val="auto"/>
        </w:rPr>
      </w:pPr>
    </w:p>
    <w:p>
      <w:pPr>
        <w:jc w:val="both"/>
        <w:ind w:left="280" w:right="219" w:firstLine="1306"/>
        <w:spacing w:after="0" w:line="237" w:lineRule="auto"/>
        <w:tabs>
          <w:tab w:leader="none" w:pos="214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COBRA</w:t>
      </w:r>
      <w:r>
        <w:rPr>
          <w:rFonts w:ascii="Times New Roman" w:cs="Times New Roman" w:eastAsia="Times New Roman" w:hAnsi="Times New Roman"/>
          <w:sz w:val="22"/>
          <w:szCs w:val="22"/>
          <w:color w:val="auto"/>
        </w:rPr>
        <w:t>. Executive shall remain eligible to participate in Company’s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 and life insurance plans until the Separation Date. After Executive’s coverage ends, Executive will receive a separate notice explaining Executive’s right to continuation and conversion of Executive’s health benefits under the Consolidated Omnibus Reconciliation Act of 1985 (“COBRA”) and/or any applicable state law. Executive is responsible for electing and paying for COBRA coverage.</w:t>
      </w:r>
    </w:p>
    <w:p>
      <w:pPr>
        <w:spacing w:after="0" w:line="175" w:lineRule="exact"/>
        <w:rPr>
          <w:rFonts w:ascii="Times New Roman" w:cs="Times New Roman" w:eastAsia="Times New Roman" w:hAnsi="Times New Roman"/>
          <w:sz w:val="22"/>
          <w:szCs w:val="22"/>
          <w:color w:val="auto"/>
        </w:rPr>
      </w:pPr>
    </w:p>
    <w:p>
      <w:pPr>
        <w:jc w:val="both"/>
        <w:ind w:left="280" w:right="219" w:firstLine="1306"/>
        <w:spacing w:after="0" w:line="241" w:lineRule="auto"/>
        <w:tabs>
          <w:tab w:leader="none" w:pos="214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SERP</w:t>
      </w:r>
      <w:r>
        <w:rPr>
          <w:rFonts w:ascii="Times New Roman" w:cs="Times New Roman" w:eastAsia="Times New Roman" w:hAnsi="Times New Roman"/>
          <w:sz w:val="22"/>
          <w:szCs w:val="22"/>
          <w:color w:val="auto"/>
        </w:rPr>
        <w:t>. Executive shall be paid his account balance under the Dime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Community Bank Supplemental Executive Retirement Plan, effective as of October 1, 2021 (the “</w:t>
      </w:r>
      <w:r>
        <w:rPr>
          <w:rFonts w:ascii="Times New Roman" w:cs="Times New Roman" w:eastAsia="Times New Roman" w:hAnsi="Times New Roman"/>
          <w:sz w:val="22"/>
          <w:szCs w:val="22"/>
          <w:u w:val="single" w:color="auto"/>
          <w:color w:val="auto"/>
        </w:rPr>
        <w:t>SERP</w:t>
      </w:r>
      <w:r>
        <w:rPr>
          <w:rFonts w:ascii="Times New Roman" w:cs="Times New Roman" w:eastAsia="Times New Roman" w:hAnsi="Times New Roman"/>
          <w:sz w:val="22"/>
          <w:szCs w:val="22"/>
          <w:color w:val="auto"/>
        </w:rPr>
        <w:t>”), in accordance with the terms and conditions of the SERP, with such payment to be made on August 1, 2026.</w:t>
      </w:r>
    </w:p>
    <w:p>
      <w:pPr>
        <w:spacing w:after="0" w:line="171" w:lineRule="exact"/>
        <w:rPr>
          <w:rFonts w:ascii="Times New Roman" w:cs="Times New Roman" w:eastAsia="Times New Roman" w:hAnsi="Times New Roman"/>
          <w:sz w:val="22"/>
          <w:szCs w:val="22"/>
          <w:color w:val="auto"/>
        </w:rPr>
      </w:pPr>
    </w:p>
    <w:p>
      <w:pPr>
        <w:jc w:val="both"/>
        <w:ind w:left="200" w:right="219" w:firstLine="657"/>
        <w:spacing w:after="0" w:line="246" w:lineRule="auto"/>
        <w:tabs>
          <w:tab w:leader="none" w:pos="14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Agreement after Separation Date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Executive timely signs, dates, and returns this fully signed Agreement to the Company and does not revoke it, the Company will engage Executive as a consultant on the terms specified below:</w:t>
      </w:r>
    </w:p>
    <w:p>
      <w:pPr>
        <w:spacing w:after="0" w:line="167" w:lineRule="exact"/>
        <w:rPr>
          <w:rFonts w:ascii="Times New Roman" w:cs="Times New Roman" w:eastAsia="Times New Roman" w:hAnsi="Times New Roman"/>
          <w:sz w:val="22"/>
          <w:szCs w:val="22"/>
          <w:color w:val="auto"/>
        </w:rPr>
      </w:pPr>
    </w:p>
    <w:p>
      <w:pPr>
        <w:jc w:val="both"/>
        <w:ind w:left="280" w:right="219" w:firstLine="1306"/>
        <w:spacing w:after="0" w:line="238" w:lineRule="auto"/>
        <w:tabs>
          <w:tab w:leader="none" w:pos="2143"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Consulting Period</w:t>
      </w:r>
      <w:r>
        <w:rPr>
          <w:rFonts w:ascii="Times New Roman" w:cs="Times New Roman" w:eastAsia="Times New Roman" w:hAnsi="Times New Roman"/>
          <w:sz w:val="22"/>
          <w:szCs w:val="22"/>
          <w:color w:val="auto"/>
        </w:rPr>
        <w:t>. The term of Executive’s engagement as a consultant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Company (the “</w:t>
      </w:r>
      <w:r>
        <w:rPr>
          <w:rFonts w:ascii="Times New Roman" w:cs="Times New Roman" w:eastAsia="Times New Roman" w:hAnsi="Times New Roman"/>
          <w:sz w:val="22"/>
          <w:szCs w:val="22"/>
          <w:u w:val="single" w:color="auto"/>
          <w:color w:val="auto"/>
        </w:rPr>
        <w:t>Consulting Period</w:t>
      </w:r>
      <w:r>
        <w:rPr>
          <w:rFonts w:ascii="Times New Roman" w:cs="Times New Roman" w:eastAsia="Times New Roman" w:hAnsi="Times New Roman"/>
          <w:sz w:val="22"/>
          <w:szCs w:val="22"/>
          <w:color w:val="auto"/>
        </w:rPr>
        <w:t>”) set forth herein shall be for the period commencing on the Separation Date and ending on the twelve-month anniversary of the Separation Date, unless terminated earlier (i) by the Company at any time for any reason (without penalty) or (ii) by Executive upon 30 days’ written notice to the Company for any reason.</w:t>
      </w:r>
    </w:p>
    <w:p>
      <w:pPr>
        <w:spacing w:after="0" w:line="176" w:lineRule="exact"/>
        <w:rPr>
          <w:rFonts w:ascii="Times New Roman" w:cs="Times New Roman" w:eastAsia="Times New Roman" w:hAnsi="Times New Roman"/>
          <w:sz w:val="22"/>
          <w:szCs w:val="22"/>
          <w:color w:val="auto"/>
        </w:rPr>
      </w:pPr>
    </w:p>
    <w:p>
      <w:pPr>
        <w:jc w:val="both"/>
        <w:ind w:left="280" w:right="219" w:firstLine="1306"/>
        <w:spacing w:after="0" w:line="250" w:lineRule="auto"/>
        <w:tabs>
          <w:tab w:leader="none" w:pos="2143"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Consulting Services</w:t>
      </w:r>
      <w:r>
        <w:rPr>
          <w:rFonts w:ascii="Times New Roman" w:cs="Times New Roman" w:eastAsia="Times New Roman" w:hAnsi="Times New Roman"/>
          <w:sz w:val="21"/>
          <w:szCs w:val="21"/>
          <w:color w:val="auto"/>
        </w:rPr>
        <w:t>. During the Consulting Period, the Executive shall,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 as-needed basis, provide consultation to the President and Chief Executive Officer of the Company, the transition of duties of Executive to other officers or employees of the Company, and such other matters as the President and Chief Executive Officer of the Company may request (such services, the “</w:t>
      </w:r>
      <w:r>
        <w:rPr>
          <w:rFonts w:ascii="Times New Roman" w:cs="Times New Roman" w:eastAsia="Times New Roman" w:hAnsi="Times New Roman"/>
          <w:sz w:val="21"/>
          <w:szCs w:val="21"/>
          <w:u w:val="single" w:color="auto"/>
          <w:color w:val="auto"/>
        </w:rPr>
        <w:t>Consulting Services</w:t>
      </w:r>
      <w:r>
        <w:rPr>
          <w:rFonts w:ascii="Times New Roman" w:cs="Times New Roman" w:eastAsia="Times New Roman" w:hAnsi="Times New Roman"/>
          <w:sz w:val="21"/>
          <w:szCs w:val="21"/>
          <w:color w:val="auto"/>
        </w:rPr>
        <w:t>”). Executive agrees to exercise the highest degree of professionalism and utilize the Executive’s expertise and creative talents in performing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6" w:name="page67"/>
    <w:bookmarkEnd w:id="6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both"/>
        <w:ind w:left="280" w:right="219"/>
        <w:spacing w:after="0" w:line="233" w:lineRule="auto"/>
        <w:rPr>
          <w:sz w:val="20"/>
          <w:szCs w:val="20"/>
          <w:color w:val="auto"/>
        </w:rPr>
      </w:pPr>
      <w:r>
        <w:rPr>
          <w:rFonts w:ascii="Times New Roman" w:cs="Times New Roman" w:eastAsia="Times New Roman" w:hAnsi="Times New Roman"/>
          <w:sz w:val="22"/>
          <w:szCs w:val="22"/>
          <w:color w:val="auto"/>
        </w:rPr>
        <w:t>Consulting Services. Executive agrees to devote up to thirty-two (32) hours per month to carry out the Consulting Services hereunder and to make himself available to perform Consulting Services throughout the Consulting Period, on an as-needed basis. Executive shall keep the President and Chief Executive Officer of the Company informed of the Consulting Services performed hereunder on a weekly basis. When providing the Consulting Services, Executive shall strictly abide by the Company’s and the Company’s policies and procedures. Executive’s services during the Consulting Period will be reduced to twenty-percent (20%) or less of the level of services that Executive provided to the Company prior to the Separation Date, and therefore, for purposes of Section 409A of the Internal Revenue Code, Executive has “separated from service” on the Separation Date, notwithstanding Executive’s continued services during the Consulting Period.</w:t>
      </w:r>
    </w:p>
    <w:p>
      <w:pPr>
        <w:spacing w:after="0" w:line="187" w:lineRule="exact"/>
        <w:rPr>
          <w:sz w:val="20"/>
          <w:szCs w:val="20"/>
          <w:color w:val="auto"/>
        </w:rPr>
      </w:pPr>
    </w:p>
    <w:p>
      <w:pPr>
        <w:jc w:val="both"/>
        <w:ind w:left="280" w:right="219" w:firstLine="1306"/>
        <w:spacing w:after="0" w:line="245" w:lineRule="auto"/>
        <w:tabs>
          <w:tab w:leader="none" w:pos="214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Consulting Fee</w:t>
      </w:r>
      <w:r>
        <w:rPr>
          <w:rFonts w:ascii="Times New Roman" w:cs="Times New Roman" w:eastAsia="Times New Roman" w:hAnsi="Times New Roman"/>
          <w:sz w:val="21"/>
          <w:szCs w:val="21"/>
          <w:color w:val="auto"/>
        </w:rPr>
        <w:t>. On January 2, 2026 (and subject to the occurrence of the Release Effective Date), the Company shall pay Executive a consulting fee equal to $579,554 in exchange for the Consulting Services (the “</w:t>
      </w:r>
      <w:r>
        <w:rPr>
          <w:rFonts w:ascii="Times New Roman" w:cs="Times New Roman" w:eastAsia="Times New Roman" w:hAnsi="Times New Roman"/>
          <w:sz w:val="21"/>
          <w:szCs w:val="21"/>
          <w:u w:val="single" w:color="auto"/>
          <w:color w:val="auto"/>
        </w:rPr>
        <w:t>Consulting Fee</w:t>
      </w:r>
      <w:r>
        <w:rPr>
          <w:rFonts w:ascii="Times New Roman" w:cs="Times New Roman" w:eastAsia="Times New Roman" w:hAnsi="Times New Roman"/>
          <w:sz w:val="21"/>
          <w:szCs w:val="21"/>
          <w:color w:val="auto"/>
        </w:rPr>
        <w:t>”). In the event that, at any time during the Consulting Period, Executive or the Company terminates the Consulting Period for any reason, Executive shall be required to immediately return a pro-rated portion of the Consulting Fee to the Company, based on the remaining period of time in the Consulting Period at the time of such termination. In the event that the Board determines that Executive has failed to comply with Executive’s contractual obligations to the Company at any time (including, without limitation, the obligations set forth herein), then Executive shall be required to immediately return the full amount of the Consulting Fee to the Company. The Consulting Fee shall be the sole compensation or payment provided by the Company to Executive for the Consulting Services.</w:t>
      </w:r>
    </w:p>
    <w:p>
      <w:pPr>
        <w:spacing w:after="0" w:line="177" w:lineRule="exact"/>
        <w:rPr>
          <w:rFonts w:ascii="Times New Roman" w:cs="Times New Roman" w:eastAsia="Times New Roman" w:hAnsi="Times New Roman"/>
          <w:sz w:val="21"/>
          <w:szCs w:val="21"/>
          <w:color w:val="auto"/>
        </w:rPr>
      </w:pPr>
    </w:p>
    <w:p>
      <w:pPr>
        <w:jc w:val="both"/>
        <w:ind w:left="280" w:right="219" w:firstLine="1306"/>
        <w:spacing w:after="0" w:line="236" w:lineRule="auto"/>
        <w:tabs>
          <w:tab w:leader="none" w:pos="214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Consultant Status</w:t>
      </w:r>
      <w:r>
        <w:rPr>
          <w:rFonts w:ascii="Times New Roman" w:cs="Times New Roman" w:eastAsia="Times New Roman" w:hAnsi="Times New Roman"/>
          <w:sz w:val="22"/>
          <w:szCs w:val="22"/>
          <w:color w:val="auto"/>
        </w:rPr>
        <w:t>. During the Consulting Period, Executive shall not be an employee of the Company. Executive shall have no authority to act as an agent of the Company, except on authority specifically so designated by the President and Chief Executive Officer, and Executive shall not represent to the contrary to any person. Executive shall not direct the work of any employee of the Company, or make any management decisions, or undertake to commit the Company to any course of action in relation to third persons.</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Upon execution and non-revocation of this Agreement, the Employment Agreement entered into by and between Executive and the Company, shall terminate in all respects except the confidentiality obligations, the one-year non-solicitation restriction, one-year non-competition restriction, post-termination cooperation and non-disparagement obligations contained in Sections 10 and 11 of the Employment Agreement will continue to be in full force and effect. Executive agrees and acknowledges that because of his termination of employment with Company, Executive shall not be entitled, and hereby waives any claim, to any payment or benefit under the Employment Agreement except as provided in Paragraph “2” of this Agreement. Notwithstanding anything to the contrary, the one-year post-employment non-solicitation and one-year non-compete provisions contained in Section 11 of the Employment Agreement will take effect beginning upon the Separation Date, and expire one year thereafter, unless otherwise agreed upon in writing by the Company and Executive.</w:t>
      </w:r>
    </w:p>
    <w:p>
      <w:pPr>
        <w:spacing w:after="0" w:line="184"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Consideration Absent Execution of this Agreement</w:t>
      </w:r>
      <w:r>
        <w:rPr>
          <w:rFonts w:ascii="Times New Roman" w:cs="Times New Roman" w:eastAsia="Times New Roman" w:hAnsi="Times New Roman"/>
          <w:sz w:val="22"/>
          <w:szCs w:val="22"/>
          <w:color w:val="auto"/>
        </w:rPr>
        <w:t>. Executive understands and agrees that Executive would not receive certain of the monies and/or benefits specified in Paragraph “2” above, except for Executive’s signing and non-revocation of this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7" w:name="page68"/>
    <w:bookmarkEnd w:id="6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Supplemental Release, the Consulting Services and Executive’s fulfillment of all the promises contained in this Agreement that pertain to Executive.</w:t>
      </w:r>
    </w:p>
    <w:p>
      <w:pPr>
        <w:spacing w:after="0" w:line="158" w:lineRule="exact"/>
        <w:rPr>
          <w:sz w:val="20"/>
          <w:szCs w:val="20"/>
          <w:color w:val="auto"/>
        </w:rPr>
      </w:pPr>
    </w:p>
    <w:p>
      <w:pPr>
        <w:ind w:left="1500" w:hanging="643"/>
        <w:spacing w:after="0"/>
        <w:tabs>
          <w:tab w:leader="none" w:pos="15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Claims Not Released and Related Provisions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280" w:right="219" w:firstLine="1306"/>
        <w:spacing w:after="0" w:line="243" w:lineRule="auto"/>
        <w:tabs>
          <w:tab w:leader="none" w:pos="2143" w:val="left"/>
        </w:tabs>
        <w:numPr>
          <w:ilvl w:val="2"/>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 Release of All Claims by Executive</w:t>
      </w:r>
      <w:r>
        <w:rPr>
          <w:rFonts w:ascii="Times New Roman" w:cs="Times New Roman" w:eastAsia="Times New Roman" w:hAnsi="Times New Roman"/>
          <w:sz w:val="21"/>
          <w:szCs w:val="21"/>
          <w:color w:val="auto"/>
        </w:rPr>
        <w:t>. Executive, Executive’s heirs,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executors, administrators, successors and assigns, each acting on behalf of Executive in their capacities as such (collectively referred to throughout this Agreement as “</w:t>
      </w:r>
      <w:r>
        <w:rPr>
          <w:rFonts w:ascii="Times New Roman" w:cs="Times New Roman" w:eastAsia="Times New Roman" w:hAnsi="Times New Roman"/>
          <w:sz w:val="21"/>
          <w:szCs w:val="21"/>
          <w:u w:val="single" w:color="auto"/>
          <w:color w:val="auto"/>
        </w:rPr>
        <w:t>Releasors</w:t>
      </w:r>
      <w:r>
        <w:rPr>
          <w:rFonts w:ascii="Times New Roman" w:cs="Times New Roman" w:eastAsia="Times New Roman" w:hAnsi="Times New Roman"/>
          <w:sz w:val="21"/>
          <w:szCs w:val="21"/>
          <w:color w:val="auto"/>
        </w:rPr>
        <w:t>”), knowingly and voluntarily release and forever discharge, to the fullest extent permitted by law, Company, its parent corporation, affiliates, subsidiaries, divisions, insurers, predecessors, successors and assigns, and the current and former executives, attorneys, officers, directors, agents and shareholders of Company and each of the foregoing entities affiliated with Company, each in their capacities as such, and the executive benefit plans and programs, administrators and fiduciaries of Company and each of the entities affiliated with Company identified above, each in their capacities as such (all collectively referred to throughout this Agreement as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of and from any and all claims, debts, obligations, promises, covenants, agreements, contracts, endorsements, bonds, controversies, suits, actions, causes of action, judgments, damages, expenses, or demands, in law or in equity, which Executive ever had, now has, or which may arise in the future, regarding any matter arising on or before the date of Executive’s execution of this Agreement, including but not limited to all claims by Executive or on Executive’s behalf regarding Executive’s employment at or termination of employment from Dime, any contract (express or implied), any claim for equitable relief or recovery of punitive, compensatory, or other damages or monies (including claims as to taxes), attorneys’ fees, any tort, and all claims for alleged discrimination based upon age, race, color, sex, sexual orientation, marital status, religion, national origin, handicap, disability, genetic information or retaliation, including any claim, known and unknown, asserted or unasserted, which Releasors have or may have against Releasees up to and including the date Executive signs this Agreement, including, but not limited to, any alleged violation of the following laws and other sources of legal rights, as amended:</w:t>
      </w:r>
    </w:p>
    <w:p>
      <w:pPr>
        <w:spacing w:after="0" w:line="185"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VII of the Civil Rights Act of 1964;</w:t>
      </w:r>
    </w:p>
    <w:p>
      <w:pPr>
        <w:spacing w:after="0" w:line="14" w:lineRule="exact"/>
        <w:rPr>
          <w:rFonts w:ascii="Times New Roman" w:cs="Times New Roman" w:eastAsia="Times New Roman" w:hAnsi="Times New Roman"/>
          <w:sz w:val="22"/>
          <w:szCs w:val="22"/>
          <w:color w:val="auto"/>
        </w:rPr>
      </w:pP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1981 through 1988 of Title 42 of the United States Code;</w:t>
      </w:r>
    </w:p>
    <w:p>
      <w:pPr>
        <w:ind w:left="2160" w:right="239"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Retirement Income Security Act of 1974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(as modified below);</w:t>
      </w:r>
    </w:p>
    <w:p>
      <w:pPr>
        <w:spacing w:after="0" w:line="1" w:lineRule="exact"/>
        <w:rPr>
          <w:rFonts w:ascii="Times New Roman" w:cs="Times New Roman" w:eastAsia="Times New Roman" w:hAnsi="Times New Roman"/>
          <w:sz w:val="22"/>
          <w:szCs w:val="22"/>
          <w:color w:val="auto"/>
        </w:rPr>
      </w:pP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Immigration Reform and Control Act of 1986;</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Americans with Disabilities Act of 1990;</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Rehabilitation Act of 1973;</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Discrimination in Employment Act of 1967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Worker Adjustment and Retraining Notification Act;</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Occupational Safety and Health Act;</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Credit Reporting Act;</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Family and Medical Leave Act of 1993;</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Equal Pay Act of 1963;</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Genetic Information Nondiscrimination Act of 2008;</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Human Rights Law;</w:t>
      </w:r>
    </w:p>
    <w:p>
      <w:pPr>
        <w:ind w:left="2160" w:hanging="655"/>
        <w:spacing w:after="0" w:line="230" w:lineRule="auto"/>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Executive Law;</w:t>
      </w:r>
    </w:p>
    <w:p>
      <w:pPr>
        <w:ind w:left="2160" w:hanging="655"/>
        <w:spacing w:after="0"/>
        <w:tabs>
          <w:tab w:leader="none" w:pos="21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Labor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8" w:name="page69"/>
    <w:bookmarkEnd w:id="6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ind w:left="2160" w:hanging="655"/>
        <w:spacing w:after="0"/>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Civil Rights Law;</w:t>
      </w:r>
    </w:p>
    <w:p>
      <w:pPr>
        <w:spacing w:after="0" w:line="14" w:lineRule="exact"/>
        <w:rPr>
          <w:rFonts w:ascii="Times New Roman" w:cs="Times New Roman" w:eastAsia="Times New Roman" w:hAnsi="Times New Roman"/>
          <w:sz w:val="22"/>
          <w:szCs w:val="22"/>
          <w:color w:val="auto"/>
        </w:rPr>
      </w:pP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Equal Pay Law;</w:t>
      </w: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Whistleblower Law;</w:t>
      </w: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Legal Activities Law;</w:t>
      </w: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Wage-Hour and Wage Payment Laws and Regulations;</w:t>
      </w: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Minimum Wage Law;</w:t>
      </w: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Occupational Safety and Health Laws;</w:t>
      </w:r>
    </w:p>
    <w:p>
      <w:pPr>
        <w:ind w:left="2160" w:right="219"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Non-discrimination and Anti-retaliation Provisions of the New York Workers’ Compensation Law and the New York Disabilities Law;</w:t>
      </w:r>
    </w:p>
    <w:p>
      <w:pPr>
        <w:spacing w:after="0" w:line="1" w:lineRule="exact"/>
        <w:rPr>
          <w:rFonts w:ascii="Times New Roman" w:cs="Times New Roman" w:eastAsia="Times New Roman" w:hAnsi="Times New Roman"/>
          <w:sz w:val="22"/>
          <w:szCs w:val="22"/>
          <w:color w:val="auto"/>
        </w:rPr>
      </w:pP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Worker Adjustment and Retraining Notification Act;</w:t>
      </w: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City Human Rights Law;</w:t>
      </w: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City Charter and Administrative Code;</w:t>
      </w:r>
    </w:p>
    <w:p>
      <w:pPr>
        <w:ind w:left="2160"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York City Earned Safe and Sick Time Act;</w:t>
      </w:r>
    </w:p>
    <w:p>
      <w:pPr>
        <w:ind w:left="2160" w:right="239"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federal, state, local or other law, rule, regulation, constitution, code, guideline or ordinance;</w:t>
      </w:r>
    </w:p>
    <w:p>
      <w:pPr>
        <w:spacing w:after="0" w:line="1" w:lineRule="exact"/>
        <w:rPr>
          <w:rFonts w:ascii="Times New Roman" w:cs="Times New Roman" w:eastAsia="Times New Roman" w:hAnsi="Times New Roman"/>
          <w:sz w:val="22"/>
          <w:szCs w:val="22"/>
          <w:color w:val="auto"/>
        </w:rPr>
      </w:pPr>
    </w:p>
    <w:p>
      <w:pPr>
        <w:ind w:left="2160" w:right="239" w:hanging="655"/>
        <w:spacing w:after="0" w:line="230"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public policy, contract (oral or written, express or implied), tort or common law; or</w:t>
      </w:r>
    </w:p>
    <w:p>
      <w:pPr>
        <w:spacing w:after="0" w:line="1" w:lineRule="exact"/>
        <w:rPr>
          <w:rFonts w:ascii="Times New Roman" w:cs="Times New Roman" w:eastAsia="Times New Roman" w:hAnsi="Times New Roman"/>
          <w:sz w:val="22"/>
          <w:szCs w:val="22"/>
          <w:color w:val="auto"/>
        </w:rPr>
      </w:pPr>
    </w:p>
    <w:p>
      <w:pPr>
        <w:jc w:val="both"/>
        <w:ind w:left="2160" w:right="219" w:hanging="655"/>
        <w:spacing w:after="0" w:line="235" w:lineRule="auto"/>
        <w:tabs>
          <w:tab w:leader="none" w:pos="2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statute, common law, agreement or other basis for seeking or recovering any costs, fees or other expenses, including but not limited to attorneys’ fees and/or costs.</w:t>
      </w:r>
    </w:p>
    <w:p>
      <w:pPr>
        <w:spacing w:after="0" w:line="173" w:lineRule="exact"/>
        <w:rPr>
          <w:rFonts w:ascii="Times New Roman" w:cs="Times New Roman" w:eastAsia="Times New Roman" w:hAnsi="Times New Roman"/>
          <w:sz w:val="22"/>
          <w:szCs w:val="22"/>
          <w:color w:val="auto"/>
        </w:rPr>
      </w:pPr>
    </w:p>
    <w:p>
      <w:pPr>
        <w:jc w:val="both"/>
        <w:ind w:left="280" w:right="219" w:firstLine="1306"/>
        <w:spacing w:after="0" w:line="233" w:lineRule="auto"/>
        <w:tabs>
          <w:tab w:leader="none" w:pos="214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Claims Not Released</w:t>
      </w:r>
      <w:r>
        <w:rPr>
          <w:rFonts w:ascii="Times New Roman" w:cs="Times New Roman" w:eastAsia="Times New Roman" w:hAnsi="Times New Roman"/>
          <w:sz w:val="22"/>
          <w:szCs w:val="22"/>
          <w:color w:val="auto"/>
        </w:rPr>
        <w:t>. Notwithstanding anything to the contrary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Releasors are not waiving any rights they may have : (1) to Executive’s vested accrued Executive benefits under any health, welfare or retirement benefit plans of Company (including tax-qualified and non-qualified retirement plans) as of Executive’s Separation Date; (2) to Executive’s benefits and/or Executive’s right to seek benefits under applicable workers’ compensation, COBRA, and/or unemployment compensation statutes (the application for which shall not be contested by the Company); (3) to claims which by law cannot be waived by signing this Agreement; (4) that may arise after the date on which Executive signs this Agreement, including the right to enforce this Agreement; (5) to enforce any agreements or portions of agreements not superseded by this Agreement; and/or (6) to indemnification, contribution, advancement or defense as provided by, and in accordance with the terms of the Company by-laws, articles of incorporation, liability insurance coverage or applicable law.</w:t>
      </w:r>
    </w:p>
    <w:p>
      <w:pPr>
        <w:spacing w:after="0" w:line="184" w:lineRule="exact"/>
        <w:rPr>
          <w:rFonts w:ascii="Times New Roman" w:cs="Times New Roman" w:eastAsia="Times New Roman" w:hAnsi="Times New Roman"/>
          <w:sz w:val="22"/>
          <w:szCs w:val="22"/>
          <w:color w:val="auto"/>
        </w:rPr>
      </w:pPr>
    </w:p>
    <w:p>
      <w:pPr>
        <w:jc w:val="both"/>
        <w:ind w:left="280" w:right="219" w:firstLine="1306"/>
        <w:spacing w:after="0" w:line="233" w:lineRule="auto"/>
        <w:tabs>
          <w:tab w:leader="none" w:pos="214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Governmental Agencies</w:t>
      </w:r>
      <w:r>
        <w:rPr>
          <w:rFonts w:ascii="Times New Roman" w:cs="Times New Roman" w:eastAsia="Times New Roman" w:hAnsi="Times New Roman"/>
          <w:sz w:val="22"/>
          <w:szCs w:val="22"/>
          <w:color w:val="auto"/>
        </w:rPr>
        <w:t>. Nothing in this Agreement prohibits or prevents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from filing a charge with or participating, testifying or assisting in any investigation, hearing or other proceeding before the U.S. Equal Employment Opportunity Commission, the National Labor Relations Board or a similar agency enforcing federal, state or local anti-discrimination laws. However, to the maximum extent permitted by law, Executive agrees that if such an administrative claim is made to such an anti-discrimination agency, Executive shall not be entitled to recover any individual monetary relief or other individual remedies for claims released herein. In addition, nothing in this Agreement, including but not limited to the release of claims and the confidentiality clauses, prohibits Executive from: (1) reporting possible violations of federal law or regulations, including any possible securities laws violations, to any governmental agency or entity, including but not limited to the U.S. Department of Justice, the U.S. Securities and Exchange Commission, the Federal Deposit Insurance Corporation,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9" w:name="page70"/>
    <w:bookmarkEnd w:id="6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both"/>
        <w:ind w:left="280" w:right="239"/>
        <w:spacing w:after="0" w:line="253" w:lineRule="auto"/>
        <w:rPr>
          <w:sz w:val="20"/>
          <w:szCs w:val="20"/>
          <w:color w:val="auto"/>
        </w:rPr>
      </w:pPr>
      <w:r>
        <w:rPr>
          <w:rFonts w:ascii="Times New Roman" w:cs="Times New Roman" w:eastAsia="Times New Roman" w:hAnsi="Times New Roman"/>
          <w:sz w:val="21"/>
          <w:szCs w:val="21"/>
          <w:color w:val="auto"/>
        </w:rPr>
        <w:t>Congress, any agency Inspector General, or any other applicable agency; (2) making any other disclosures that are protected under the whistleblower provisions of federal law or regulations; or</w:t>
      </w:r>
    </w:p>
    <w:p>
      <w:pPr>
        <w:spacing w:after="0" w:line="1" w:lineRule="exact"/>
        <w:rPr>
          <w:sz w:val="20"/>
          <w:szCs w:val="20"/>
          <w:color w:val="auto"/>
        </w:rPr>
      </w:pPr>
    </w:p>
    <w:p>
      <w:pPr>
        <w:jc w:val="both"/>
        <w:ind w:left="280" w:right="219" w:firstLine="10"/>
        <w:spacing w:after="0" w:line="232" w:lineRule="auto"/>
        <w:tabs>
          <w:tab w:leader="none" w:pos="59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fully participating in any federal whistleblower programs, including but not limited to any such programs managed by the U.S. Securities and Exchange Commission, the Federal Deposit Insurance Corporation and/or the Occupational Safety and Health Administration. Moreover, nothing in this Agreement prohibits or prevents Executive from receiving individual monetary awards or other individual relief by virtue of participating in such federal whistleblower programs.</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Defend Trade Secrets Act</w:t>
      </w:r>
      <w:r>
        <w:rPr>
          <w:rFonts w:ascii="Times New Roman" w:cs="Times New Roman" w:eastAsia="Times New Roman" w:hAnsi="Times New Roman"/>
          <w:sz w:val="22"/>
          <w:szCs w:val="22"/>
          <w:color w:val="auto"/>
        </w:rPr>
        <w:t>. Executive hereby confirms that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Collective/Class Action Waiver</w:t>
      </w:r>
      <w:r>
        <w:rPr>
          <w:rFonts w:ascii="Times New Roman" w:cs="Times New Roman" w:eastAsia="Times New Roman" w:hAnsi="Times New Roman"/>
          <w:sz w:val="22"/>
          <w:szCs w:val="22"/>
          <w:color w:val="auto"/>
        </w:rPr>
        <w:t>. If any claim is not subject to release,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extent permitted by law, Releasors waive any right or ability to be class or collective action representatives or to otherwise participate in any putative or certified class, collective or multi-party action or proceeding based on such a claim in which Company or any other Releasee identified in this Agreement is a party.</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Release of Claims by Company</w:t>
      </w:r>
      <w:r>
        <w:rPr>
          <w:rFonts w:ascii="Times New Roman" w:cs="Times New Roman" w:eastAsia="Times New Roman" w:hAnsi="Times New Roman"/>
          <w:sz w:val="21"/>
          <w:szCs w:val="21"/>
          <w:color w:val="auto"/>
        </w:rPr>
        <w:t>. In exchange for the Releasors' waiver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release of claims against the Releasees, Company, on behalf of itself and its affiliates and its executives, officers and directors in their capacity as such, expressly waives and releases any and all claims against Executive that may be waived and released by law, with the exception of claims arising out of or attributable to: (i) events, acts, or omissions taking place after Company’s execution of this Agreement; (ii) Executive’s breach of any terms and conditions of the Agreement; (iii) Executive’s criminal activities or intentional misconduct in the course of Executive’s employment with Company; (iv) Executive’s breach of any other agreement that is not superseded by this Agreement; and (iv) any clawback policy that may be adopted by the board of directors of the Company and any clawback requirements, regulations or rules of the U.S. Securities and Exchange Commission, or any national securities exchange on which the Company has a class of securities listed, or any federal bank, or bank or financial holding company, regulatory authority having jurisdiction thereof; provided that, absent any formal clawback policy, Executive also agrees that Executive shall be required to forfeit and pay back to the Company any bonus or other incentive compensation paid to or received by Executive if (a) a court makes a final determination that Executive directly or indirectly engaged in fraud or willful or intentional misconduct that caused or partially caused the need for a material financial restatement by the Company, or (b) the Company is required to do so under the regulations, rules, orders, or enforcement actions of the U.S. Securities and Exchange Commission, the Federal Reserve Board or regional bank thereof, the Federal Deposit Insurance Corporation, the New York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54521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0" w:name="page71"/>
    <w:bookmarkEnd w:id="7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Department of Financial Services or the national securities exchange on which the Company has a class of securities listed.</w:t>
      </w:r>
    </w:p>
    <w:p>
      <w:pPr>
        <w:spacing w:after="0" w:line="158" w:lineRule="exact"/>
        <w:rPr>
          <w:sz w:val="20"/>
          <w:szCs w:val="20"/>
          <w:color w:val="auto"/>
        </w:rPr>
      </w:pPr>
    </w:p>
    <w:p>
      <w:pPr>
        <w:ind w:left="860" w:right="4299" w:hanging="3"/>
        <w:spacing w:after="0" w:line="435" w:lineRule="auto"/>
        <w:tabs>
          <w:tab w:leader="none" w:pos="150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 and Affirmations</w:t>
      </w:r>
      <w:r>
        <w:rPr>
          <w:rFonts w:ascii="Times New Roman" w:cs="Times New Roman" w:eastAsia="Times New Roman" w:hAnsi="Times New Roman"/>
          <w:sz w:val="22"/>
          <w:szCs w:val="22"/>
          <w:color w:val="auto"/>
        </w:rPr>
        <w:t>. Executive affirms that:</w:t>
      </w:r>
    </w:p>
    <w:p>
      <w:pPr>
        <w:ind w:left="280" w:right="219" w:firstLine="1306"/>
        <w:spacing w:after="0" w:line="258" w:lineRule="auto"/>
        <w:tabs>
          <w:tab w:leader="none" w:pos="21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Releasors have not filed, caused to be filed, or presently are parties to any claim against Releasees on behalf of Executive;</w:t>
      </w:r>
    </w:p>
    <w:p>
      <w:pPr>
        <w:spacing w:after="0" w:line="158" w:lineRule="exact"/>
        <w:rPr>
          <w:rFonts w:ascii="Times New Roman" w:cs="Times New Roman" w:eastAsia="Times New Roman" w:hAnsi="Times New Roman"/>
          <w:sz w:val="22"/>
          <w:szCs w:val="22"/>
          <w:color w:val="auto"/>
        </w:rPr>
      </w:pPr>
    </w:p>
    <w:p>
      <w:pPr>
        <w:jc w:val="both"/>
        <w:ind w:left="280" w:right="219" w:firstLine="1306"/>
        <w:spacing w:after="0" w:line="239" w:lineRule="auto"/>
        <w:tabs>
          <w:tab w:leader="none" w:pos="21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paid and/or has received all compensation, wages, bonuses, commissions and/or benefits which are due and payable as of the date Executive signs this Agreement, and, if applicable, Executive has reported all of the hours Executive worked while Executive was employed by Company as of the date Executive signs this Agreement;</w:t>
      </w:r>
    </w:p>
    <w:p>
      <w:pPr>
        <w:spacing w:after="0" w:line="180" w:lineRule="exact"/>
        <w:rPr>
          <w:rFonts w:ascii="Times New Roman" w:cs="Times New Roman" w:eastAsia="Times New Roman" w:hAnsi="Times New Roman"/>
          <w:sz w:val="22"/>
          <w:szCs w:val="22"/>
          <w:color w:val="auto"/>
        </w:rPr>
      </w:pPr>
    </w:p>
    <w:p>
      <w:pPr>
        <w:jc w:val="both"/>
        <w:ind w:left="280" w:right="219" w:firstLine="1306"/>
        <w:spacing w:after="0" w:line="244" w:lineRule="auto"/>
        <w:tabs>
          <w:tab w:leader="none" w:pos="21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has granted Executive any leave to which Executive was entitled from Company under the Family and Medical Leave Act or related state or local leave or disability accommodation laws;</w:t>
      </w:r>
    </w:p>
    <w:p>
      <w:pPr>
        <w:spacing w:after="0" w:line="173" w:lineRule="exact"/>
        <w:rPr>
          <w:rFonts w:ascii="Times New Roman" w:cs="Times New Roman" w:eastAsia="Times New Roman" w:hAnsi="Times New Roman"/>
          <w:sz w:val="22"/>
          <w:szCs w:val="22"/>
          <w:color w:val="auto"/>
        </w:rPr>
      </w:pPr>
    </w:p>
    <w:p>
      <w:pPr>
        <w:ind w:left="2160" w:hanging="574"/>
        <w:spacing w:after="0"/>
        <w:tabs>
          <w:tab w:leader="none" w:pos="21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 known workplace injuries or occupational diseases;</w:t>
      </w:r>
    </w:p>
    <w:p>
      <w:pPr>
        <w:spacing w:after="0" w:line="206" w:lineRule="exact"/>
        <w:rPr>
          <w:rFonts w:ascii="Times New Roman" w:cs="Times New Roman" w:eastAsia="Times New Roman" w:hAnsi="Times New Roman"/>
          <w:sz w:val="22"/>
          <w:szCs w:val="22"/>
          <w:color w:val="auto"/>
        </w:rPr>
      </w:pPr>
    </w:p>
    <w:p>
      <w:pPr>
        <w:jc w:val="both"/>
        <w:ind w:left="280" w:right="219" w:firstLine="1306"/>
        <w:spacing w:after="0" w:line="236" w:lineRule="auto"/>
        <w:tabs>
          <w:tab w:leader="none" w:pos="21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divulged any financial, proprietary or confidential information of Company and will continue to maintain the confidentiality of such information consistent with Company’s policies, Executive’s agreement(s) with Company and/or any applicable common law. As noted above, this Agreement does not limit Executive from providing any documents to the U.S. Securities and Exchange Commission as part of a whistleblower action and/or a report of possible violations of any federal securities law;</w:t>
      </w:r>
    </w:p>
    <w:p>
      <w:pPr>
        <w:spacing w:after="0" w:line="181" w:lineRule="exact"/>
        <w:rPr>
          <w:rFonts w:ascii="Times New Roman" w:cs="Times New Roman" w:eastAsia="Times New Roman" w:hAnsi="Times New Roman"/>
          <w:sz w:val="22"/>
          <w:szCs w:val="22"/>
          <w:color w:val="auto"/>
        </w:rPr>
      </w:pPr>
    </w:p>
    <w:p>
      <w:pPr>
        <w:jc w:val="both"/>
        <w:ind w:left="280" w:right="219" w:firstLine="1306"/>
        <w:spacing w:after="0" w:line="244" w:lineRule="auto"/>
        <w:tabs>
          <w:tab w:leader="none" w:pos="21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been retaliated against for reporting any allegations of wrongdoing by Company, its officers or any other Releasees described in this Agreement, including any allegations of corporate fraud;</w:t>
      </w:r>
    </w:p>
    <w:p>
      <w:pPr>
        <w:spacing w:after="0" w:line="173" w:lineRule="exact"/>
        <w:rPr>
          <w:rFonts w:ascii="Times New Roman" w:cs="Times New Roman" w:eastAsia="Times New Roman" w:hAnsi="Times New Roman"/>
          <w:sz w:val="22"/>
          <w:szCs w:val="22"/>
          <w:color w:val="auto"/>
        </w:rPr>
      </w:pPr>
    </w:p>
    <w:p>
      <w:pPr>
        <w:jc w:val="both"/>
        <w:ind w:left="280" w:right="219" w:firstLine="1306"/>
        <w:spacing w:after="0" w:line="236" w:lineRule="auto"/>
        <w:tabs>
          <w:tab w:leader="none" w:pos="21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Executive understands that this Agreement does not prohibit Executive from disclosing the factual foundation of any sexual harassment claim, Executive acknowledges by signing this Agreement that Executive has never raised or reported claims, despite having the opportunity to do so, regarding sexual harassment to anyone at the Company and does not have any basis for any sexual harassment claim against Releasees, and therefore a non-disclosure provision related to sexual harassment claims is not necessary; and</w:t>
      </w:r>
    </w:p>
    <w:p>
      <w:pPr>
        <w:spacing w:after="0" w:line="181" w:lineRule="exact"/>
        <w:rPr>
          <w:rFonts w:ascii="Times New Roman" w:cs="Times New Roman" w:eastAsia="Times New Roman" w:hAnsi="Times New Roman"/>
          <w:sz w:val="22"/>
          <w:szCs w:val="22"/>
          <w:color w:val="auto"/>
        </w:rPr>
      </w:pPr>
    </w:p>
    <w:p>
      <w:pPr>
        <w:jc w:val="both"/>
        <w:ind w:left="280" w:right="239" w:firstLine="1306"/>
        <w:spacing w:after="0" w:line="261" w:lineRule="auto"/>
        <w:tabs>
          <w:tab w:leader="none" w:pos="2143"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is not aware of any decisions by Company regarding Executive’s pay and benefits through Executive’s Separation Date being discriminatory based on age, disability, race, color, sex, religion, national origin or any other classification protected by law.</w:t>
      </w:r>
    </w:p>
    <w:p>
      <w:pPr>
        <w:spacing w:after="0" w:line="157" w:lineRule="exact"/>
        <w:rPr>
          <w:rFonts w:ascii="Times New Roman" w:cs="Times New Roman" w:eastAsia="Times New Roman" w:hAnsi="Times New Roman"/>
          <w:sz w:val="21"/>
          <w:szCs w:val="21"/>
          <w:color w:val="auto"/>
        </w:rPr>
      </w:pPr>
    </w:p>
    <w:p>
      <w:pPr>
        <w:jc w:val="both"/>
        <w:ind w:left="200" w:right="219" w:firstLine="657"/>
        <w:spacing w:after="0" w:line="251" w:lineRule="auto"/>
        <w:tabs>
          <w:tab w:leader="none" w:pos="149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Limited Disclosure and Return of Property</w:t>
      </w:r>
      <w:r>
        <w:rPr>
          <w:rFonts w:ascii="Times New Roman" w:cs="Times New Roman" w:eastAsia="Times New Roman" w:hAnsi="Times New Roman"/>
          <w:sz w:val="21"/>
          <w:szCs w:val="21"/>
          <w:color w:val="auto"/>
        </w:rPr>
        <w:t>. Except as otherwise required by law, permitted by Paragraph “5(c)” above or specified in this Paragraph “7,” Executive agrees to refrain from disclosing to any person or entity any confidential discussions concerning his separation from the Company. No later than Executive’s Separation Date, Executive will deliver to Company, without copying or reproducing: (i) all documents, files, notes, memoranda, manuals, 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1" w:name="page72"/>
    <w:bookmarkEnd w:id="7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computer disks, computer databases, computer programs and/or other storage media within Executive’s possession or control that reflect any trade secrets, proprietary information, financial information, personnel information, privileged information or other confidential information pertaining to Company, any other Releasees described in this Agreement, and/or any current, former or prospective customers or vendors of Company or of any other Releasees described in this Agreement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and (ii) all items or other forms of property and/or equipment belonging to Company or to any other Releasees described in this Agreement within Executive’s possession or control, including but not limited to keys, credit cards, electronic equipment, business equipment and lists of current, former or prospective customers or vendors of Company and/or of any other Releasees described in this Agreement. Promptly upon or following the Separation Date or at any other time requested by Company, Executive also agrees to delete any Confidential Information from any computer hard drive or computer system within Executive’s possession or control that is not located on Company’s premises. However, nothing in this paragraph will prevent Executive from retaining his contacts and personal documents/files, whether electronic or physical form (Outlook, rolodex, etc.), which the Company will assist in transferring to him on or before the Separation Date, and any documents in Executive’s possession or control concerning Executive’s Executive benefits and/or Executive’s compensation. Notwithstanding anything in this Paragraph, Executive agrees that personal contact information gained through his employment with the Company may constitute confidential, trade secret or proprietary information and that such information may not be used, directly or indirectly, to violate his post-employment non-solicit and non-compete obligations. Company will cooperate with Executive’s collection of his personal property from the premises at a time convenient for both parties and will further take all necessary steps to transfer Executive’s phone number and phone to his personal account.</w:t>
      </w:r>
    </w:p>
    <w:p>
      <w:pPr>
        <w:spacing w:after="0" w:line="179" w:lineRule="exact"/>
        <w:rPr>
          <w:sz w:val="20"/>
          <w:szCs w:val="20"/>
          <w:color w:val="auto"/>
        </w:rPr>
      </w:pPr>
    </w:p>
    <w:p>
      <w:pPr>
        <w:jc w:val="both"/>
        <w:ind w:left="200" w:right="219" w:firstLine="657"/>
        <w:spacing w:after="0" w:line="233" w:lineRule="auto"/>
        <w:tabs>
          <w:tab w:leader="none" w:pos="149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Non-Solicitation, Non-Competition, Non-Disparagement</w:t>
      </w:r>
      <w:r>
        <w:rPr>
          <w:rFonts w:ascii="Times New Roman" w:cs="Times New Roman" w:eastAsia="Times New Roman" w:hAnsi="Times New Roman"/>
          <w:sz w:val="22"/>
          <w:szCs w:val="22"/>
          <w:color w:val="auto"/>
        </w:rPr>
        <w:t>. Executive acknowledges and agrees to comply with the non-solicitation, non-competition, post-termination cooperation and non-disparagement obligations contained in Section 11 of the Employment Agreement. Executive acknowledges and agrees with Section 11(e) of the Employment Agreement, which provides, among other things, that in the event of a breach of the post-termination restrictions in Section 11 of the Employment Agreement, the Company may seek to recover damages from the Executive. The Company’s executive officers and directors will not make any statements that are disparaging of Executive and the Company will not issue any public statements or filings that reference Executive without Executive’s prior review and approval, which shall not be unreasonably withheld or delayed, and shall not make any statements, private or public, that are disparaging of Executive. Executive specifically affirms that he has not and will not make any statements, verbal or written or via social media, that are defamatory or disparaging of the Company and its former or current affiliates, owners, officers, directors, employees, services, products, either directly or indirectly.</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47" w:lineRule="auto"/>
        <w:tabs>
          <w:tab w:leader="none" w:pos="1496"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Jury Waiver</w:t>
      </w:r>
      <w:r>
        <w:rPr>
          <w:rFonts w:ascii="Times New Roman" w:cs="Times New Roman" w:eastAsia="Times New Roman" w:hAnsi="Times New Roman"/>
          <w:sz w:val="21"/>
          <w:szCs w:val="21"/>
          <w:color w:val="auto"/>
        </w:rPr>
        <w:t>. This Agreement shall be governed and conformed in accordance with the laws of the State of New York without regard to the State of New York’s conflict of laws provisions. If Executive or any other Releasor breaches any provision of this Agreement, Executive and Company affirm that Company may institute an action or proceeding:</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5" w:lineRule="auto"/>
        <w:tabs>
          <w:tab w:leader="none" w:pos="51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specifically enforce any term or terms of this Agreement; (b) to recover damages resulting from such breach in an amount to be determined by a court of competent jurisdiction; (c) to terminate Company’s obligations to provide future monetary payments and benefits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2" w:name="page73"/>
    <w:bookmarkEnd w:id="7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Agreement; and/or (d) to seek any other legal or equitable relief permitted by law, including but not limited to injunctive relief. Company and Executive agree that any action or proceeding relating to this Agreement or to the enforcement of this Agreement will only be brought in a court located in Suffolk County in the State of New York, and that any such action or proceeding will be heard without a jury or an advisory jury. Executive and Company waive their respective rights to bring any such action or proceeding in any other jurisdiction, or to have any such action or proceeding heard before a jury or an advisory jury.</w:t>
      </w:r>
    </w:p>
    <w:p>
      <w:pPr>
        <w:spacing w:after="0" w:line="183" w:lineRule="exact"/>
        <w:rPr>
          <w:sz w:val="20"/>
          <w:szCs w:val="20"/>
          <w:color w:val="auto"/>
        </w:rPr>
      </w:pPr>
    </w:p>
    <w:p>
      <w:pPr>
        <w:jc w:val="both"/>
        <w:ind w:left="200" w:right="219" w:firstLine="657"/>
        <w:spacing w:after="0" w:line="238" w:lineRule="auto"/>
        <w:tabs>
          <w:tab w:leader="none" w:pos="14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any provision of this Agreement be declared illegal or unenforceable by any court of competent jurisdiction and cannot be modified to be enforceable, excluding the general release language, such provision shall immediately become null and void, leaving the remainder of this Agreement in full force and effect. If the general release language is found to be illegal or unenforceable, Executive agrees to execute a binding replacement release.</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 of Wrongdoing</w:t>
      </w:r>
      <w:r>
        <w:rPr>
          <w:rFonts w:ascii="Times New Roman" w:cs="Times New Roman" w:eastAsia="Times New Roman" w:hAnsi="Times New Roman"/>
          <w:sz w:val="22"/>
          <w:szCs w:val="22"/>
          <w:color w:val="auto"/>
        </w:rPr>
        <w:t>. Executive agrees that neither this Agreement nor the furnishing of the consideration for this Agreement shall be deemed or construed at any time for any purpose as an admission by Releasees of any wrongdoing or evidence of any liability or unlawful conduct of any kind.</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In the event that Executive is made a party or threatened to be made a party to any claim, action, suit, or proceeding, whether civil, criminal, administrative, or investigative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by reason of the fact that Executive is or was acting in the course and scope of his role as a director or officer of Company (including but not limited to any claim resulting from the separation of Executive from Company, and excluding any Proceeding initiated by Executive or Company related to any contest or dispute solely between Executive and Company with respect to a breach of or enforcement of this Agreement or a claim by Executive with respect to Executive’s employment with Company), Executive shall be indemnified and held harmless by Company to the maximum extent permitted under applicable law and the Company’s bylaws from and against any liabilities, costs, claims, and expenses, including all costs and expenses incurred in defense of any Proceeding (including reasonable attorneys’ fees). Reasonable costs and expenses incurred by the Executive in defense of such Proceeding (including attorneys’ fees) shall be paid by Company in advance of the final disposition of such litigation upon receipt by Company of: (i) a written request for payment; (ii) appropriate documentation evidencing the incurrence, amount, and nature of the costs and expenses for which payment is being sought; and (iii) an undertaking adequate under applicable law made by or on behalf of Executive to repay the amounts so paid if it shall ultimately be determined that Executive is not entitled to be indemnified by Company.</w:t>
      </w:r>
    </w:p>
    <w:p>
      <w:pPr>
        <w:spacing w:after="0" w:line="177" w:lineRule="exact"/>
        <w:rPr>
          <w:rFonts w:ascii="Times New Roman" w:cs="Times New Roman" w:eastAsia="Times New Roman" w:hAnsi="Times New Roman"/>
          <w:sz w:val="21"/>
          <w:szCs w:val="21"/>
          <w:color w:val="auto"/>
        </w:rPr>
      </w:pPr>
    </w:p>
    <w:p>
      <w:pPr>
        <w:ind w:left="200" w:right="219" w:firstLine="657"/>
        <w:spacing w:after="0" w:line="258" w:lineRule="auto"/>
        <w:tabs>
          <w:tab w:leader="none" w:pos="14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not be modified, altered or changed except in a writing signed by both Company and Executive that specifically refers to this Agreement.</w:t>
      </w:r>
    </w:p>
    <w:p>
      <w:pPr>
        <w:spacing w:after="0" w:line="158" w:lineRule="exact"/>
        <w:rPr>
          <w:rFonts w:ascii="Times New Roman" w:cs="Times New Roman" w:eastAsia="Times New Roman" w:hAnsi="Times New Roman"/>
          <w:sz w:val="22"/>
          <w:szCs w:val="22"/>
          <w:color w:val="auto"/>
        </w:rPr>
      </w:pPr>
    </w:p>
    <w:p>
      <w:pPr>
        <w:jc w:val="both"/>
        <w:ind w:left="200" w:right="219" w:firstLine="657"/>
        <w:spacing w:after="0" w:line="236" w:lineRule="auto"/>
        <w:tabs>
          <w:tab w:leader="none" w:pos="14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Rights</w:t>
      </w:r>
      <w:r>
        <w:rPr>
          <w:rFonts w:ascii="Times New Roman" w:cs="Times New Roman" w:eastAsia="Times New Roman" w:hAnsi="Times New Roman"/>
          <w:sz w:val="22"/>
          <w:szCs w:val="22"/>
          <w:color w:val="auto"/>
        </w:rPr>
        <w:t>. Executive understands that this Agreement is a legally binding document under which Releasors are giving up certain rights, including any rights Executive may have under the ADEA. As a result, Company advises Executive to consult with an attorney of Executive’s choosing before Executive signs this Agreement. Executive understands that Executive has been given twenty-one (21) calendar days from the day Executive receives this Agreement to review and consider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3" w:name="page74"/>
    <w:bookmarkEnd w:id="73"/>
    <w:p>
      <w:pPr>
        <w:ind w:left="76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both"/>
        <w:ind w:left="200" w:right="219" w:firstLine="657"/>
        <w:spacing w:after="0" w:line="247" w:lineRule="auto"/>
        <w:tabs>
          <w:tab w:leader="none" w:pos="149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Executive understands that, by entering into this Agreement, Executive does not waive rights or claims that may arise after the date of Executive’s execution of this Agreement, including without limitation, Executive’s rights or claims to secure enforcement of the terms and conditions of this Agreement. Nothing in this Agreement shall prevent Executive from</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5" w:lineRule="auto"/>
        <w:tabs>
          <w:tab w:leader="none" w:pos="4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an action or proceeding to enforce this Agreement or (ii) exercising Executive’s rights under the Older Workers’ Benefit Protection Act to challenge the validity of Executive’s waiver of ADEA claims.</w:t>
      </w:r>
    </w:p>
    <w:p>
      <w:pPr>
        <w:spacing w:after="0" w:line="177" w:lineRule="exact"/>
        <w:rPr>
          <w:rFonts w:ascii="Times New Roman" w:cs="Times New Roman" w:eastAsia="Times New Roman" w:hAnsi="Times New Roman"/>
          <w:sz w:val="22"/>
          <w:szCs w:val="22"/>
          <w:color w:val="auto"/>
        </w:rPr>
      </w:pPr>
    </w:p>
    <w:p>
      <w:pPr>
        <w:jc w:val="both"/>
        <w:ind w:left="200" w:right="219" w:firstLine="657"/>
        <w:spacing w:after="0" w:line="232" w:lineRule="auto"/>
        <w:tabs>
          <w:tab w:leader="none" w:pos="14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w:t>
      </w:r>
      <w:r>
        <w:rPr>
          <w:rFonts w:ascii="Times New Roman" w:cs="Times New Roman" w:eastAsia="Times New Roman" w:hAnsi="Times New Roman"/>
          <w:sz w:val="22"/>
          <w:szCs w:val="22"/>
          <w:color w:val="auto"/>
        </w:rPr>
        <w:t>. Executive may revoke this Agreement during the period of seven (7) calendar days following the day on which Executive signs this Agreement. Any revocation within this period must be submitted, in writing, to Judy Wu, General Counsel, Dime Community Bank, 898 Veterans Memorial Highway, Suite 560, Hauppauge, New York 11788, and must state: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hereby revoke my acceptance of our Retirement, Consulting and Release Agreement.</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revocation must be either: (a) personally delivered to Judy Wu, General Counsel within 7 calendar days after the day Executive signs the Agreement; (b) mailed to Judy Wu, General Counsel at the address specified above by First Class United States mail and postmarked within 7 calendar days after the day Executive signs the Agreement; or (c) delivered to Judy Wu, General Counsel at the address specified above through a reputable overnight delivery service with documented evidence that it was sent within 7 calendar days after the day Executive signed the Agreement. This Agreement shall not become effective or enforceable until the eight (8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after the return of an executed copy of this Agreement by Executive to Company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If the last day of the revocation period is a Saturday, Sunday or legal holiday recognized by the State of New York, then the revocation period shall not expire until the next following day which is not a Saturday, Sunday or legal holiday.</w:t>
      </w:r>
    </w:p>
    <w:p>
      <w:pPr>
        <w:spacing w:after="0" w:line="191" w:lineRule="exact"/>
        <w:rPr>
          <w:rFonts w:ascii="Times New Roman" w:cs="Times New Roman" w:eastAsia="Times New Roman" w:hAnsi="Times New Roman"/>
          <w:sz w:val="22"/>
          <w:szCs w:val="22"/>
          <w:color w:val="auto"/>
        </w:rPr>
      </w:pPr>
    </w:p>
    <w:p>
      <w:pPr>
        <w:jc w:val="both"/>
        <w:ind w:left="200" w:right="219" w:firstLine="657"/>
        <w:spacing w:after="0" w:line="243" w:lineRule="auto"/>
        <w:tabs>
          <w:tab w:leader="none" w:pos="149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Treatment</w:t>
      </w:r>
      <w:r>
        <w:rPr>
          <w:rFonts w:ascii="Times New Roman" w:cs="Times New Roman" w:eastAsia="Times New Roman" w:hAnsi="Times New Roman"/>
          <w:sz w:val="21"/>
          <w:szCs w:val="21"/>
          <w:color w:val="auto"/>
        </w:rPr>
        <w:t>. The Company may deduct or withhold from any compensation or benefits any applicable federal, state or local tax or employment withholdings or deductions resulting from any payments or benefits provided under this Agreement. In addition, it is the Company’s intention that all payments or benefits provided under this Agreement comply with Section 409A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or an exception thereto, including without limitation the six month delay for payments of deferred compensation to “key employees” upon separation from service pursuant to Section 409A(a)(2)(B)(i) of the Code (if applicable), and this Agreement shall be interpreted, administered and operated accordingly. If under this Agreement an amount is to be paid in installments, each installment shall be treated as a separate payment for purposes of Treasury Regulation Section 1.409A-2(b)(2)(iii). If any provision of this Agreement (or of any award of compensation due to Executive under this Agreement) would cause Executive to incur any additional tax or interest under Section 409A of the Code or any regulations or Treasury guidance promulgated thereunder, the Company shall modify this Agreement to make it compliant with Section 409A and maintain the value of the payments and benefits under this Agreement. Notwithstanding anything to the contrary herein, the Company does not guarantee the tax treatment of any payments or benefits under this Agreement, including without limitation under the Code, federal, state, local or foreign tax laws and regulations. In no event may Executive, directly or indirectly, designate the calendar year of any payment under this Agreement. In the event the period of notice and payment referenced in Paragraph “2” of this Agreement ends in the taxable year following Executive’s termination of employment, any severance payment or deferred compensation payment shall be paid or commence in such subsequent taxable year if required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4" w:name="page75"/>
    <w:bookmarkEnd w:id="7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both"/>
        <w:ind w:left="200" w:right="219" w:firstLine="657"/>
        <w:spacing w:after="0" w:line="244"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Beneficiaries</w:t>
      </w:r>
      <w:r>
        <w:rPr>
          <w:rFonts w:ascii="Times New Roman" w:cs="Times New Roman" w:eastAsia="Times New Roman" w:hAnsi="Times New Roman"/>
          <w:sz w:val="22"/>
          <w:szCs w:val="22"/>
          <w:color w:val="auto"/>
        </w:rPr>
        <w:t>. In the event of Executive’s death prior to the full satisfaction of all obligations of the Company pursuant to this Agreement, all remaining payments and benefits otherwise due to Executive shall be paid to Executive’s estate and/or beneficiaries.</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If any party brings any legal action for enforcement of any of the provisions of this Agreement, the prevailing party in such action will be entitled to recover their reasonable attorneys’ fees incurred in prosecuting or defending such legal action.</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6"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sets forth the entire agreement between Executive and Company, and fully supersedes any prior agreements, understandings or obligations between Releasors and Releasees pertaining to the subjects addressed herein. Executive acknowledges that he has not relied on any representations, promises, agreements or offers of any kind made to Executive in connection with his decision to enter into this Agreement, except for those set forth in this Agreement.</w:t>
      </w:r>
    </w:p>
    <w:p>
      <w:pPr>
        <w:spacing w:after="0" w:line="177"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b w:val="1"/>
          <w:bCs w:val="1"/>
          <w:color w:val="auto"/>
        </w:rPr>
        <w:t>EXECUTIVE FREELY AND KNOWINGLY, AND AFTER DUE CONSIDERATION, ENTERS INTO THIS AGREEMENT INTENDING TO WAIVE, SETTLE AND RELEASE ALL CLAIMS RELEASORS HAVE OR MIGHT HAVE AGAINST RELEASEES AS OF THE DATE EMPLOYEE SIGNS THIS AGREEMENT.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Parties knowingly and voluntarily sign this Agreement as of the date first written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86"/>
        </w:trPr>
        <w:tc>
          <w:tcPr>
            <w:tcW w:w="294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960" w:type="dxa"/>
            <w:vAlign w:val="bottom"/>
          </w:tcPr>
          <w:p>
            <w:pPr>
              <w:spacing w:after="0"/>
              <w:rPr>
                <w:sz w:val="24"/>
                <w:szCs w:val="24"/>
                <w:color w:val="auto"/>
              </w:rPr>
            </w:pPr>
          </w:p>
        </w:tc>
        <w:tc>
          <w:tcPr>
            <w:tcW w:w="362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w w:val="97"/>
              </w:rPr>
              <w:t>Dime Community Bancshares, Inc.</w:t>
            </w:r>
          </w:p>
        </w:tc>
        <w:tc>
          <w:tcPr>
            <w:tcW w:w="660" w:type="dxa"/>
            <w:vAlign w:val="bottom"/>
          </w:tcPr>
          <w:p>
            <w:pPr>
              <w:spacing w:after="0"/>
              <w:rPr>
                <w:sz w:val="24"/>
                <w:szCs w:val="24"/>
                <w:color w:val="auto"/>
              </w:rPr>
            </w:pPr>
          </w:p>
        </w:tc>
      </w:tr>
      <w:tr>
        <w:trPr>
          <w:trHeight w:val="676"/>
        </w:trPr>
        <w:tc>
          <w:tcPr>
            <w:tcW w:w="29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/s/ Conrad J. Gunther ​</w:t>
            </w:r>
          </w:p>
        </w:tc>
        <w:tc>
          <w:tcPr>
            <w:tcW w:w="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t>
            </w:r>
          </w:p>
        </w:tc>
        <w:tc>
          <w:tcPr>
            <w:tcW w:w="3620" w:type="dxa"/>
            <w:vAlign w:val="bottom"/>
            <w:gridSpan w:val="4"/>
          </w:tcPr>
          <w:p>
            <w:pPr>
              <w:ind w:left="400"/>
              <w:spacing w:after="0"/>
              <w:rPr>
                <w:sz w:val="20"/>
                <w:szCs w:val="20"/>
                <w:color w:val="auto"/>
              </w:rPr>
            </w:pPr>
            <w:r>
              <w:rPr>
                <w:rFonts w:ascii="Times New Roman" w:cs="Times New Roman" w:eastAsia="Times New Roman" w:hAnsi="Times New Roman"/>
                <w:sz w:val="22"/>
                <w:szCs w:val="22"/>
                <w:color w:val="auto"/>
              </w:rPr>
              <w:t>By:   /s/ Stuart H. Lubow​  ​</w:t>
            </w:r>
          </w:p>
        </w:tc>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36"/>
        </w:trPr>
        <w:tc>
          <w:tcPr>
            <w:tcW w:w="660" w:type="dxa"/>
            <w:vAlign w:val="bottom"/>
          </w:tcPr>
          <w:p>
            <w:pPr>
              <w:spacing w:after="0"/>
              <w:rPr>
                <w:sz w:val="20"/>
                <w:szCs w:val="20"/>
                <w:color w:val="auto"/>
              </w:rPr>
            </w:pPr>
          </w:p>
        </w:tc>
        <w:tc>
          <w:tcPr>
            <w:tcW w:w="184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Conrad J. Gunther</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94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w w:val="90"/>
              </w:rPr>
              <w:t>Name: Stuart H. Lubow</w:t>
            </w:r>
          </w:p>
        </w:tc>
        <w:tc>
          <w:tcPr>
            <w:tcW w:w="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82"/>
        </w:trPr>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President &amp; CEO</w:t>
            </w:r>
          </w:p>
        </w:tc>
        <w:tc>
          <w:tcPr>
            <w:tcW w:w="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33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November 3, 2025</w:t>
            </w:r>
          </w:p>
        </w:tc>
        <w:tc>
          <w:tcPr>
            <w:tcW w:w="4060" w:type="dxa"/>
            <w:vAlign w:val="bottom"/>
            <w:gridSpan w:val="4"/>
          </w:tcPr>
          <w:p>
            <w:pPr>
              <w:ind w:left="1080"/>
              <w:spacing w:after="0"/>
              <w:rPr>
                <w:sz w:val="20"/>
                <w:szCs w:val="20"/>
                <w:color w:val="auto"/>
              </w:rPr>
            </w:pPr>
            <w:r>
              <w:rPr>
                <w:rFonts w:ascii="Times New Roman" w:cs="Times New Roman" w:eastAsia="Times New Roman" w:hAnsi="Times New Roman"/>
                <w:sz w:val="22"/>
                <w:szCs w:val="22"/>
                <w:b w:val="1"/>
                <w:bCs w:val="1"/>
                <w:color w:val="auto"/>
              </w:rPr>
              <w:t>Dime Community Bank</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77"/>
        </w:trPr>
        <w:tc>
          <w:tcPr>
            <w:tcW w:w="3300" w:type="dxa"/>
            <w:vAlign w:val="bottom"/>
          </w:tcPr>
          <w:p>
            <w:pPr>
              <w:spacing w:after="0"/>
              <w:rPr>
                <w:sz w:val="24"/>
                <w:szCs w:val="24"/>
                <w:color w:val="auto"/>
              </w:rPr>
            </w:pPr>
          </w:p>
        </w:tc>
        <w:tc>
          <w:tcPr>
            <w:tcW w:w="4060" w:type="dxa"/>
            <w:vAlign w:val="bottom"/>
            <w:gridSpan w:val="4"/>
          </w:tcPr>
          <w:p>
            <w:pPr>
              <w:ind w:left="1080"/>
              <w:spacing w:after="0"/>
              <w:rPr>
                <w:sz w:val="20"/>
                <w:szCs w:val="20"/>
                <w:color w:val="auto"/>
              </w:rPr>
            </w:pPr>
            <w:r>
              <w:rPr>
                <w:rFonts w:ascii="Times New Roman" w:cs="Times New Roman" w:eastAsia="Times New Roman" w:hAnsi="Times New Roman"/>
                <w:sz w:val="22"/>
                <w:szCs w:val="22"/>
                <w:color w:val="auto"/>
              </w:rPr>
              <w:t>By:   /s/ Stuart H. Lubow​  ​</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w:t>
            </w:r>
          </w:p>
        </w:tc>
      </w:tr>
      <w:tr>
        <w:trPr>
          <w:trHeight w:val="236"/>
        </w:trPr>
        <w:tc>
          <w:tcPr>
            <w:tcW w:w="3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94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w w:val="90"/>
              </w:rPr>
              <w:t>Name: Stuart H. Lubow</w:t>
            </w:r>
          </w:p>
        </w:tc>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82"/>
        </w:trPr>
        <w:tc>
          <w:tcPr>
            <w:tcW w:w="3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President &amp; CEO</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278"/>
        </w:trPr>
        <w:tc>
          <w:tcPr>
            <w:tcW w:w="3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57" w:right="1440" w:bottom="1440" w:gutter="0" w:footer="0" w:header="0"/>
        </w:sectPr>
      </w:pPr>
    </w:p>
    <w:bookmarkStart w:id="75" w:name="page76"/>
    <w:bookmarkEnd w:id="75"/>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6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EXHIBIT 10.1</w:t>
            </w:r>
          </w:p>
        </w:tc>
        <w:tc>
          <w:tcPr>
            <w:tcW w:w="0" w:type="dxa"/>
            <w:vAlign w:val="bottom"/>
          </w:tcPr>
          <w:p>
            <w:pPr>
              <w:spacing w:after="0"/>
              <w:rPr>
                <w:sz w:val="1"/>
                <w:szCs w:val="1"/>
                <w:color w:val="auto"/>
              </w:rPr>
            </w:pPr>
          </w:p>
        </w:tc>
      </w:tr>
      <w:tr>
        <w:trPr>
          <w:trHeight w:val="648"/>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APPENDIX A</w:t>
            </w: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480" w:type="dxa"/>
            <w:vAlign w:val="bottom"/>
            <w:tcBorders>
              <w:bottom w:val="single" w:sz="8" w:color="auto"/>
            </w:tcBorders>
            <w:gridSpan w:val="2"/>
          </w:tcPr>
          <w:p>
            <w:pPr>
              <w:spacing w:after="0"/>
              <w:rPr>
                <w:sz w:val="18"/>
                <w:szCs w:val="18"/>
                <w:color w:val="auto"/>
              </w:rPr>
            </w:pPr>
          </w:p>
        </w:tc>
        <w:tc>
          <w:tcPr>
            <w:tcW w:w="1780" w:type="dxa"/>
            <w:vAlign w:val="bottom"/>
            <w:tcBorders>
              <w:bottom w:val="single" w:sz="8" w:color="auto"/>
            </w:tcBorders>
            <w:gridSpan w:val="2"/>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gridSpan w:val="2"/>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780" w:type="dxa"/>
            <w:vAlign w:val="bottom"/>
            <w:tcBorders>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Non-Vested Awards</w:t>
            </w:r>
          </w:p>
        </w:tc>
        <w:tc>
          <w:tcPr>
            <w:tcW w:w="1500" w:type="dxa"/>
            <w:vAlign w:val="bottom"/>
            <w:tcBorders>
              <w:right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Original</w:t>
            </w:r>
          </w:p>
        </w:tc>
        <w:tc>
          <w:tcPr>
            <w:tcW w:w="3660" w:type="dxa"/>
            <w:vAlign w:val="bottom"/>
            <w:tcBorders>
              <w:right w:val="single" w:sz="8" w:color="auto"/>
            </w:tcBorders>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Revised Vesting/Payment Date Per This</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Vesting/Payment</w:t>
            </w:r>
          </w:p>
        </w:tc>
        <w:tc>
          <w:tcPr>
            <w:tcW w:w="36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0" w:type="dxa"/>
            <w:vAlign w:val="bottom"/>
          </w:tcPr>
          <w:p>
            <w:pPr>
              <w:spacing w:after="0"/>
              <w:rPr>
                <w:sz w:val="1"/>
                <w:szCs w:val="1"/>
                <w:color w:val="auto"/>
              </w:rPr>
            </w:pPr>
          </w:p>
        </w:tc>
      </w:tr>
      <w:tr>
        <w:trPr>
          <w:trHeight w:val="238"/>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gridSpan w:val="2"/>
          </w:tcPr>
          <w:p>
            <w:pPr>
              <w:spacing w:after="0"/>
              <w:rPr>
                <w:sz w:val="18"/>
                <w:szCs w:val="18"/>
                <w:color w:val="auto"/>
              </w:rPr>
            </w:pPr>
          </w:p>
        </w:tc>
        <w:tc>
          <w:tcPr>
            <w:tcW w:w="1780" w:type="dxa"/>
            <w:vAlign w:val="bottom"/>
            <w:tcBorders>
              <w:bottom w:val="single" w:sz="8" w:color="auto"/>
              <w:right w:val="single" w:sz="8" w:color="auto"/>
            </w:tcBorders>
            <w:gridSpan w:val="2"/>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2023 PRSA</w:t>
            </w:r>
          </w:p>
        </w:tc>
        <w:tc>
          <w:tcPr>
            <w:tcW w:w="178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4,802 PRSAs</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2026</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No change. May be vested based on</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Grant</w:t>
            </w:r>
          </w:p>
        </w:tc>
        <w:tc>
          <w:tcPr>
            <w:tcW w:w="5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satisfaction of performance metrics and</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pursuant to current vesting schedule/terms in</w:t>
            </w: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March 2026.</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gridSpan w:val="2"/>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vMerge w:val="continue"/>
          </w:tcPr>
          <w:p>
            <w:pPr>
              <w:spacing w:after="0"/>
              <w:rPr>
                <w:sz w:val="16"/>
                <w:szCs w:val="16"/>
                <w:color w:val="auto"/>
              </w:rPr>
            </w:pPr>
          </w:p>
        </w:tc>
        <w:tc>
          <w:tcPr>
            <w:tcW w:w="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2024</w:t>
            </w:r>
          </w:p>
        </w:tc>
        <w:tc>
          <w:tcPr>
            <w:tcW w:w="10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PRSA</w:t>
            </w:r>
          </w:p>
        </w:tc>
        <w:tc>
          <w:tcPr>
            <w:tcW w:w="178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6,311 PRSAs (at</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2027</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Accelerated vesting of all PRSAs (at target) on</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Grant</w:t>
            </w:r>
          </w:p>
        </w:tc>
        <w:tc>
          <w:tcPr>
            <w:tcW w:w="17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target, performance</w:t>
            </w:r>
          </w:p>
        </w:tc>
        <w:tc>
          <w:tcPr>
            <w:tcW w:w="150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measurement period</w:t>
            </w:r>
          </w:p>
        </w:tc>
        <w:tc>
          <w:tcPr>
            <w:tcW w:w="150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ends 12/31/26)</w:t>
            </w:r>
          </w:p>
        </w:tc>
        <w:tc>
          <w:tcPr>
            <w:tcW w:w="1500" w:type="dxa"/>
            <w:vAlign w:val="bottom"/>
            <w:tcBorders>
              <w:right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vMerge w:val="continue"/>
          </w:tcPr>
          <w:p>
            <w:pPr>
              <w:spacing w:after="0"/>
              <w:rPr>
                <w:sz w:val="16"/>
                <w:szCs w:val="16"/>
                <w:color w:val="auto"/>
              </w:rPr>
            </w:pPr>
          </w:p>
        </w:tc>
        <w:tc>
          <w:tcPr>
            <w:tcW w:w="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10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PRSA</w:t>
            </w:r>
          </w:p>
        </w:tc>
        <w:tc>
          <w:tcPr>
            <w:tcW w:w="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6,438</w:t>
            </w:r>
          </w:p>
        </w:tc>
        <w:tc>
          <w:tcPr>
            <w:tcW w:w="12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PRSAs (at</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2028</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Accelerated vesting of all PRSAs (at target) on</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Grant</w:t>
            </w:r>
          </w:p>
        </w:tc>
        <w:tc>
          <w:tcPr>
            <w:tcW w:w="17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target, performance</w:t>
            </w:r>
          </w:p>
        </w:tc>
        <w:tc>
          <w:tcPr>
            <w:tcW w:w="150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measurement period</w:t>
            </w:r>
          </w:p>
        </w:tc>
        <w:tc>
          <w:tcPr>
            <w:tcW w:w="150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ends 12/31/27)</w:t>
            </w:r>
          </w:p>
        </w:tc>
        <w:tc>
          <w:tcPr>
            <w:tcW w:w="1500" w:type="dxa"/>
            <w:vAlign w:val="bottom"/>
            <w:tcBorders>
              <w:right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vMerge w:val="continue"/>
          </w:tcPr>
          <w:p>
            <w:pPr>
              <w:spacing w:after="0"/>
              <w:rPr>
                <w:sz w:val="16"/>
                <w:szCs w:val="16"/>
                <w:color w:val="auto"/>
              </w:rPr>
            </w:pPr>
          </w:p>
        </w:tc>
        <w:tc>
          <w:tcPr>
            <w:tcW w:w="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2023</w:t>
            </w:r>
          </w:p>
        </w:tc>
        <w:tc>
          <w:tcPr>
            <w:tcW w:w="10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 Grant</w:t>
            </w:r>
          </w:p>
        </w:tc>
        <w:tc>
          <w:tcPr>
            <w:tcW w:w="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1,067</w:t>
            </w:r>
          </w:p>
        </w:tc>
        <w:tc>
          <w:tcPr>
            <w:tcW w:w="12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RSAs</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31, 2026</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No change. To be vested pursuant to current</w:t>
            </w: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vesting schedule/terms on March 31, 2026.</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vMerge w:val="continue"/>
          </w:tcPr>
          <w:p>
            <w:pPr>
              <w:spacing w:after="0"/>
              <w:rPr>
                <w:sz w:val="16"/>
                <w:szCs w:val="16"/>
                <w:color w:val="auto"/>
              </w:rPr>
            </w:pPr>
          </w:p>
        </w:tc>
        <w:tc>
          <w:tcPr>
            <w:tcW w:w="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2024</w:t>
            </w:r>
          </w:p>
        </w:tc>
        <w:tc>
          <w:tcPr>
            <w:tcW w:w="10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 Grant</w:t>
            </w:r>
          </w:p>
        </w:tc>
        <w:tc>
          <w:tcPr>
            <w:tcW w:w="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1,402</w:t>
            </w:r>
          </w:p>
        </w:tc>
        <w:tc>
          <w:tcPr>
            <w:tcW w:w="12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RSAs</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31, 2026</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No change. To be vested pursuant to current</w:t>
            </w: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vesting schedule/terms on March 31, 2026.</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vMerge w:val="continue"/>
          </w:tcPr>
          <w:p>
            <w:pPr>
              <w:spacing w:after="0"/>
              <w:rPr>
                <w:sz w:val="16"/>
                <w:szCs w:val="16"/>
                <w:color w:val="auto"/>
              </w:rPr>
            </w:pPr>
          </w:p>
        </w:tc>
        <w:tc>
          <w:tcPr>
            <w:tcW w:w="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2024</w:t>
            </w:r>
          </w:p>
        </w:tc>
        <w:tc>
          <w:tcPr>
            <w:tcW w:w="10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 Grant</w:t>
            </w:r>
          </w:p>
        </w:tc>
        <w:tc>
          <w:tcPr>
            <w:tcW w:w="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1,403</w:t>
            </w:r>
          </w:p>
        </w:tc>
        <w:tc>
          <w:tcPr>
            <w:tcW w:w="12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RSAs</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31, 2027</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Accelerated vesting of all RSAs on December</w:t>
            </w: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31, 2025.</w:t>
            </w: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vMerge w:val="continue"/>
          </w:tcPr>
          <w:p>
            <w:pPr>
              <w:spacing w:after="0"/>
              <w:rPr>
                <w:sz w:val="16"/>
                <w:szCs w:val="16"/>
                <w:color w:val="auto"/>
              </w:rPr>
            </w:pPr>
          </w:p>
        </w:tc>
        <w:tc>
          <w:tcPr>
            <w:tcW w:w="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10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 Grant</w:t>
            </w:r>
          </w:p>
        </w:tc>
        <w:tc>
          <w:tcPr>
            <w:tcW w:w="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1,430</w:t>
            </w:r>
          </w:p>
        </w:tc>
        <w:tc>
          <w:tcPr>
            <w:tcW w:w="12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RSAs</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31, 2026</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No change. To be vested pursuant to current</w:t>
            </w: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vesting schedule/terms on March 31, 2026.</w:t>
            </w: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vMerge w:val="continue"/>
          </w:tcPr>
          <w:p>
            <w:pPr>
              <w:spacing w:after="0"/>
              <w:rPr>
                <w:sz w:val="16"/>
                <w:szCs w:val="16"/>
                <w:color w:val="auto"/>
              </w:rPr>
            </w:pPr>
          </w:p>
        </w:tc>
        <w:tc>
          <w:tcPr>
            <w:tcW w:w="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10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 Grant</w:t>
            </w:r>
          </w:p>
        </w:tc>
        <w:tc>
          <w:tcPr>
            <w:tcW w:w="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1,431</w:t>
            </w:r>
          </w:p>
        </w:tc>
        <w:tc>
          <w:tcPr>
            <w:tcW w:w="12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RSAs</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31, 2027</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Accelerated vesting of all RSAs on December</w:t>
            </w: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31, 2025.</w:t>
            </w: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vMerge w:val="restart"/>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right w:val="single" w:sz="8" w:color="auto"/>
            </w:tcBorders>
            <w:vMerge w:val="continue"/>
          </w:tcPr>
          <w:p>
            <w:pPr>
              <w:spacing w:after="0"/>
              <w:rPr>
                <w:sz w:val="16"/>
                <w:szCs w:val="16"/>
                <w:color w:val="auto"/>
              </w:rPr>
            </w:pPr>
          </w:p>
        </w:tc>
        <w:tc>
          <w:tcPr>
            <w:tcW w:w="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10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 Grant</w:t>
            </w:r>
          </w:p>
        </w:tc>
        <w:tc>
          <w:tcPr>
            <w:tcW w:w="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1,431</w:t>
            </w:r>
          </w:p>
        </w:tc>
        <w:tc>
          <w:tcPr>
            <w:tcW w:w="12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RSAs</w:t>
            </w:r>
          </w:p>
        </w:tc>
        <w:tc>
          <w:tcPr>
            <w:tcW w:w="15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31, 2028</w:t>
            </w:r>
          </w:p>
        </w:tc>
        <w:tc>
          <w:tcPr>
            <w:tcW w:w="366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Accelerated vesting of all RSAs on March 31,</w:t>
            </w:r>
          </w:p>
        </w:tc>
        <w:tc>
          <w:tcPr>
            <w:tcW w:w="0" w:type="dxa"/>
            <w:vAlign w:val="bottom"/>
          </w:tcPr>
          <w:p>
            <w:pPr>
              <w:spacing w:after="0"/>
              <w:rPr>
                <w:sz w:val="1"/>
                <w:szCs w:val="1"/>
                <w:color w:val="auto"/>
              </w:rPr>
            </w:pPr>
          </w:p>
        </w:tc>
      </w:tr>
      <w:tr>
        <w:trPr>
          <w:trHeight w:val="234"/>
        </w:trPr>
        <w:tc>
          <w:tcPr>
            <w:tcW w:w="4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657" w:right="1439" w:bottom="1440" w:gutter="0" w:footer="0" w:header="0"/>
        </w:sectPr>
      </w:pPr>
    </w:p>
    <w:bookmarkStart w:id="76" w:name="page77"/>
    <w:bookmarkEnd w:id="76"/>
    <w:p>
      <w:pPr>
        <w:ind w:left="76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EXECUTIVE OFFICER PURSUANT TO RULE 13a-14(a)</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Stuart H. Lubow, certify that:</w:t>
      </w:r>
    </w:p>
    <w:p>
      <w:pPr>
        <w:spacing w:after="0" w:line="225" w:lineRule="exact"/>
        <w:rPr>
          <w:sz w:val="20"/>
          <w:szCs w:val="20"/>
          <w:color w:val="auto"/>
        </w:rPr>
      </w:pPr>
    </w:p>
    <w:p>
      <w:pPr>
        <w:ind w:left="540" w:hanging="331"/>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Community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November 3, 2025</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Stuart H. Lubow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8632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Stuart H. Lubow</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7" w:name="page78"/>
    <w:bookmarkEnd w:id="77"/>
    <w:p>
      <w:pPr>
        <w:ind w:left="76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FINANCIAL OFFICER PURSUANT TO RULE 13a-14(a)</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Avinash Reddy, certify that:</w:t>
      </w:r>
    </w:p>
    <w:p>
      <w:pPr>
        <w:spacing w:after="0" w:line="185" w:lineRule="exact"/>
        <w:rPr>
          <w:sz w:val="20"/>
          <w:szCs w:val="20"/>
          <w:color w:val="auto"/>
        </w:rPr>
      </w:pPr>
    </w:p>
    <w:p>
      <w:pPr>
        <w:ind w:left="540" w:hanging="331"/>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Community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November 3, 2025</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Avinash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Avinash Reddy</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Senior Executive Vice President, Chief Operating Officer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8" w:name="page79"/>
    <w:bookmarkEnd w:id="78"/>
    <w:p>
      <w:pPr>
        <w:ind w:left="768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 RULE 13a-14(b) 18 U.S.C. SECTION 1350,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 adopted pursuant to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OF THE SARBANES-OXLEY ACT OF 2002</w:t>
      </w:r>
    </w:p>
    <w:p>
      <w:pPr>
        <w:spacing w:after="0" w:line="20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Dime Community Bancshares, Inc. (the “Company”) on Form 10-Q for the period ended September 30, 2025 as filed with the Securities and Exchange Commission, (the “Report”), we, Stuart H. Lubow, President and Chief Executive Officer of the Company and, Avinash Reddy, Senior Executive Vice President, Chief Operating Officer and Chief Financial Officer of the Company, hereby certify, pursuant to 18 U.S.C. Section 1350, as adopted pursuant to Section 906 of the Sarbanes-Oxley Act of 2002, that:</w:t>
      </w:r>
    </w:p>
    <w:p>
      <w:pPr>
        <w:spacing w:after="0" w:line="143" w:lineRule="exact"/>
        <w:rPr>
          <w:sz w:val="20"/>
          <w:szCs w:val="20"/>
          <w:color w:val="auto"/>
        </w:rPr>
      </w:pPr>
    </w:p>
    <w:p>
      <w:pPr>
        <w:ind w:left="860" w:right="239" w:hanging="327"/>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860" w:right="239" w:hanging="327"/>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H. Lubow</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Stuart H. Lubow</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Avinash Reddy</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Avinash Reddy</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Chief Operating Officer and</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63"/>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4"/>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decimal"/>
      <w:start w:val="101"/>
    </w:lvl>
  </w:abstractNum>
  <w:abstractNum w:abstractNumId="24">
    <w:nsid w:val="614FD4A1"/>
    <w:multiLevelType w:val="hybridMultilevel"/>
    <w:lvl w:ilvl="0">
      <w:lvlJc w:val="left"/>
      <w:lvlText w:val="%1"/>
      <w:numFmt w:val="decimal"/>
      <w:start w:val="104"/>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lvl w:ilvl="1">
      <w:lvlJc w:val="left"/>
      <w:lvlText w:val="(%2)"/>
      <w:numFmt w:val="lowerLetter"/>
      <w:start w:val="1"/>
    </w:lvl>
  </w:abstractNum>
  <w:abstractNum w:abstractNumId="27">
    <w:nsid w:val="440BADFC"/>
    <w:multiLevelType w:val="hybridMultilevel"/>
    <w:lvl w:ilvl="0">
      <w:lvlJc w:val="left"/>
      <w:lvlText w:val="%1."/>
      <w:numFmt w:val="decimal"/>
      <w:start w:val="3"/>
    </w:lvl>
    <w:lvl w:ilvl="1">
      <w:lvlJc w:val="left"/>
      <w:lvlText w:val="(%2)"/>
      <w:numFmt w:val="lowerLetter"/>
      <w:start w:val="1"/>
    </w:lvl>
  </w:abstractNum>
  <w:abstractNum w:abstractNumId="28">
    <w:nsid w:val="5072367"/>
    <w:multiLevelType w:val="hybridMultilevel"/>
    <w:lvl w:ilvl="0">
      <w:lvlJc w:val="left"/>
      <w:lvlText w:val="%1"/>
      <w:numFmt w:val="decimal"/>
      <w:start w:val="1"/>
    </w:lvl>
    <w:lvl w:ilvl="1">
      <w:lvlJc w:val="left"/>
      <w:lvlText w:val="(%2)"/>
      <w:numFmt w:val="lowerLetter"/>
      <w:start w:val="3"/>
    </w:lvl>
  </w:abstractNum>
  <w:abstractNum w:abstractNumId="29">
    <w:nsid w:val="3804823E"/>
    <w:multiLevelType w:val="hybridMultilevel"/>
    <w:lvl w:ilvl="0">
      <w:lvlJc w:val="left"/>
      <w:lvlText w:val="%1."/>
      <w:numFmt w:val="decimal"/>
      <w:start w:val="4"/>
    </w:lvl>
    <w:lvl w:ilvl="1">
      <w:lvlJc w:val="left"/>
      <w:lvlText w:val="%2"/>
      <w:numFmt w:val="lowerLetter"/>
      <w:start w:val="1"/>
    </w:lvl>
  </w:abstractNum>
  <w:abstractNum w:abstractNumId="30">
    <w:nsid w:val="77465F01"/>
    <w:multiLevelType w:val="hybridMultilevel"/>
    <w:lvl w:ilvl="0">
      <w:lvlJc w:val="left"/>
      <w:lvlText w:val="%1."/>
      <w:numFmt w:val="decimal"/>
      <w:start w:val="6"/>
    </w:lvl>
    <w:lvl w:ilvl="1">
      <w:lvlJc w:val="left"/>
      <w:lvlText w:val="●"/>
      <w:numFmt w:val="bullet"/>
      <w:start w:val="1"/>
    </w:lvl>
    <w:lvl w:ilvl="2">
      <w:lvlJc w:val="left"/>
      <w:lvlText w:val="(%3)"/>
      <w:numFmt w:val="lowerLetter"/>
      <w:start w:val="1"/>
    </w:lvl>
  </w:abstractNum>
  <w:abstractNum w:abstractNumId="31">
    <w:nsid w:val="7724C67E"/>
    <w:multiLevelType w:val="hybridMultilevel"/>
    <w:lvl w:ilvl="0">
      <w:lvlJc w:val="left"/>
      <w:lvlText w:val="●"/>
      <w:numFmt w:val="bullet"/>
      <w:start w:val="1"/>
    </w:lvl>
    <w:lvl w:ilvl="1">
      <w:lvlJc w:val="left"/>
      <w:lvlText w:val="(%2)"/>
      <w:numFmt w:val="lowerLetter"/>
      <w:start w:val="2"/>
    </w:lvl>
  </w:abstractNum>
  <w:abstractNum w:abstractNumId="32">
    <w:nsid w:val="5C482A97"/>
    <w:multiLevelType w:val="hybridMultilevel"/>
    <w:lvl w:ilvl="0">
      <w:lvlJc w:val="left"/>
      <w:lvlText w:val="(%1)"/>
      <w:numFmt w:val="decimal"/>
      <w:start w:val="3"/>
    </w:lvl>
    <w:lvl w:ilvl="1">
      <w:lvlJc w:val="left"/>
      <w:lvlText w:val="(%2)"/>
      <w:numFmt w:val="lowerLetter"/>
      <w:start w:val="4"/>
    </w:lvl>
  </w:abstractNum>
  <w:abstractNum w:abstractNumId="33">
    <w:nsid w:val="2463B9EA"/>
    <w:multiLevelType w:val="hybridMultilevel"/>
    <w:lvl w:ilvl="0">
      <w:lvlJc w:val="left"/>
      <w:lvlText w:val="%1."/>
      <w:numFmt w:val="decimal"/>
      <w:start w:val="7"/>
    </w:lvl>
    <w:lvl w:ilvl="1">
      <w:lvlJc w:val="left"/>
      <w:lvlText w:val="(%2)"/>
      <w:numFmt w:val="lowerLetter"/>
      <w:start w:val="1"/>
    </w:lvl>
  </w:abstractNum>
  <w:abstractNum w:abstractNumId="34">
    <w:nsid w:val="5E884ADC"/>
    <w:multiLevelType w:val="hybridMultilevel"/>
    <w:lvl w:ilvl="0">
      <w:lvlJc w:val="left"/>
      <w:lvlText w:val="%1"/>
      <w:numFmt w:val="lowerLetter"/>
      <w:start w:val="1"/>
    </w:lvl>
    <w:lvl w:ilvl="1">
      <w:lvlJc w:val="left"/>
      <w:lvlText w:val="%2."/>
      <w:numFmt w:val="decimal"/>
      <w:start w:val="9"/>
    </w:lvl>
  </w:abstractNum>
  <w:abstractNum w:abstractNumId="35">
    <w:nsid w:val="51EAD36B"/>
    <w:multiLevelType w:val="hybridMultilevel"/>
    <w:lvl w:ilvl="0">
      <w:lvlJc w:val="left"/>
      <w:lvlText w:val="(%1)"/>
      <w:numFmt w:val="lowerLetter"/>
      <w:start w:val="1"/>
    </w:lvl>
    <w:lvl w:ilvl="1">
      <w:lvlJc w:val="left"/>
      <w:lvlText w:val="%2"/>
      <w:numFmt w:val="decimal"/>
      <w:start w:val="1"/>
    </w:lvl>
  </w:abstractNum>
  <w:abstractNum w:abstractNumId="36">
    <w:nsid w:val="2D517796"/>
    <w:multiLevelType w:val="hybridMultilevel"/>
    <w:lvl w:ilvl="0">
      <w:lvlJc w:val="left"/>
      <w:lvlText w:val="%1."/>
      <w:numFmt w:val="decimal"/>
      <w:start w:val="11"/>
    </w:lvl>
  </w:abstractNum>
  <w:abstractNum w:abstractNumId="37">
    <w:nsid w:val="580BD78F"/>
    <w:multiLevelType w:val="hybridMultilevel"/>
    <w:lvl w:ilvl="0">
      <w:lvlJc w:val="left"/>
      <w:lvlText w:val="%1"/>
      <w:numFmt w:val="lowerRoman"/>
      <w:start w:val="1"/>
    </w:lvl>
    <w:lvl w:ilvl="1">
      <w:lvlJc w:val="left"/>
      <w:lvlText w:val="%2."/>
      <w:numFmt w:val="decimal"/>
      <w:start w:val="16"/>
    </w:lvl>
  </w:abstractNum>
  <w:abstractNum w:abstractNumId="38">
    <w:nsid w:val="153EA438"/>
    <w:multiLevelType w:val="hybridMultilevel"/>
    <w:lvl w:ilvl="0">
      <w:lvlJc w:val="left"/>
      <w:lvlText w:val="(%1)"/>
      <w:numFmt w:val="lowerRoman"/>
      <w:start w:val="1"/>
    </w:lvl>
    <w:lvl w:ilvl="1">
      <w:lvlJc w:val="left"/>
      <w:lvlText w:val="%2."/>
      <w:numFmt w:val="decimal"/>
      <w:start w:val="17"/>
    </w:lvl>
  </w:abstractNum>
  <w:abstractNum w:abstractNumId="39">
    <w:nsid w:val="3855585C"/>
    <w:multiLevelType w:val="hybridMultilevel"/>
    <w:lvl w:ilvl="0">
      <w:lvlJc w:val="left"/>
      <w:lvlText w:val="%1."/>
      <w:numFmt w:val="decimal"/>
      <w:start w:val="19"/>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83" Type="http://schemas.openxmlformats.org/officeDocument/2006/relationships/hyperlink" Target="https://www.sec.gov/Archives/edgar/data/846617/000110465921010989/tm214955d1_ex3-1.htm" TargetMode="External"/><Relationship Id="rId84" Type="http://schemas.openxmlformats.org/officeDocument/2006/relationships/hyperlink" Target="https://www.sec.gov/Archives/edgar/data/846617/000094337424000436/ex3-2_8k102424.htm" TargetMode="External"/><Relationship Id="rId85" Type="http://schemas.openxmlformats.org/officeDocument/2006/relationships/hyperlink" Target="https://www.sec.gov/Archives/edgar/data/0000846617/000110465922056846/tm2214585d1_ex4-1.htm" TargetMode="External"/><Relationship Id="rId86" Type="http://schemas.openxmlformats.org/officeDocument/2006/relationships/hyperlink" Target="https://www.sec.gov/Archives/edgar/data/846617/000110465922056846/tm2214585d1_ex4-2.htm" TargetMode="External"/><Relationship Id="rId87" Type="http://schemas.openxmlformats.org/officeDocument/2006/relationships/hyperlink" Target="https://www.sec.gov/Archives/edgar/data/846617/000110465924076292/tm2417725d4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2025-11-03T12:20:45Z</dcterms:created>
  <dcterms:modified xsi:type="dcterms:W3CDTF">2025-11-03T12:20:45Z</dcterms:modified>
</cp:coreProperties>
</file>