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8" w:lineRule="exact"/>
        <w:rPr>
          <w:sz w:val="24"/>
          <w:szCs w:val="24"/>
          <w:color w:val="auto"/>
        </w:rPr>
      </w:pPr>
    </w:p>
    <w:p>
      <w:pPr>
        <w:ind w:left="1740" w:hanging="169"/>
        <w:spacing w:after="0"/>
        <w:tabs>
          <w:tab w:leader="none" w:pos="17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93" w:lineRule="exact"/>
        <w:rPr>
          <w:sz w:val="24"/>
          <w:szCs w:val="24"/>
          <w:color w:val="auto"/>
        </w:rPr>
      </w:pPr>
    </w:p>
    <w:p>
      <w:pPr>
        <w:ind w:left="1760" w:hanging="215"/>
        <w:spacing w:after="0"/>
        <w:tabs>
          <w:tab w:leader="none" w:pos="17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09" w:lineRule="exact"/>
        <w:rPr>
          <w:sz w:val="24"/>
          <w:szCs w:val="24"/>
          <w:color w:val="auto"/>
        </w:rPr>
      </w:pPr>
    </w:p>
    <w:p>
      <w:pPr>
        <w:ind w:left="4000"/>
        <w:spacing w:after="0"/>
        <w:tabs>
          <w:tab w:leader="none" w:pos="612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4"/>
          <w:szCs w:val="14"/>
          <w:color w:val="auto"/>
        </w:rPr>
        <w:t>to</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 001-34096</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DIME COMMUNITY BANCSHARES, INC.</w:t>
      </w:r>
    </w:p>
    <w:p>
      <w:pPr>
        <w:spacing w:after="0" w:line="5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jc w:val="center"/>
              <w:ind w:left="1664"/>
              <w:spacing w:after="0"/>
              <w:rPr>
                <w:sz w:val="20"/>
                <w:szCs w:val="20"/>
                <w:color w:val="auto"/>
              </w:rPr>
            </w:pPr>
            <w:r>
              <w:rPr>
                <w:rFonts w:ascii="Times New Roman" w:cs="Times New Roman" w:eastAsia="Times New Roman" w:hAnsi="Times New Roman"/>
                <w:sz w:val="16"/>
                <w:szCs w:val="16"/>
                <w:b w:val="1"/>
                <w:bCs w:val="1"/>
                <w:color w:val="auto"/>
                <w:w w:val="97"/>
              </w:rPr>
              <w:t>New York</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20" w:type="dxa"/>
            <w:vAlign w:val="bottom"/>
          </w:tcPr>
          <w:p>
            <w:pPr>
              <w:jc w:val="right"/>
              <w:ind w:right="2024"/>
              <w:spacing w:after="0"/>
              <w:rPr>
                <w:sz w:val="20"/>
                <w:szCs w:val="20"/>
                <w:color w:val="auto"/>
              </w:rPr>
            </w:pPr>
            <w:r>
              <w:rPr>
                <w:rFonts w:ascii="Times New Roman" w:cs="Times New Roman" w:eastAsia="Times New Roman" w:hAnsi="Times New Roman"/>
                <w:sz w:val="16"/>
                <w:szCs w:val="16"/>
                <w:b w:val="1"/>
                <w:bCs w:val="1"/>
                <w:color w:val="auto"/>
              </w:rPr>
              <w:t>11-2934195</w:t>
            </w:r>
          </w:p>
        </w:tc>
        <w:tc>
          <w:tcPr>
            <w:tcW w:w="0" w:type="dxa"/>
            <w:vAlign w:val="bottom"/>
          </w:tcPr>
          <w:p>
            <w:pPr>
              <w:spacing w:after="0"/>
              <w:rPr>
                <w:sz w:val="1"/>
                <w:szCs w:val="1"/>
                <w:color w:val="auto"/>
              </w:rPr>
            </w:pPr>
          </w:p>
        </w:tc>
      </w:tr>
      <w:tr>
        <w:trPr>
          <w:trHeight w:val="212"/>
        </w:trPr>
        <w:tc>
          <w:tcPr>
            <w:tcW w:w="600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220" w:type="dxa"/>
            <w:vAlign w:val="bottom"/>
          </w:tcPr>
          <w:p>
            <w:pPr>
              <w:jc w:val="center"/>
              <w:ind w:right="684"/>
              <w:spacing w:after="0"/>
              <w:rPr>
                <w:sz w:val="20"/>
                <w:szCs w:val="20"/>
                <w:color w:val="auto"/>
              </w:rPr>
            </w:pPr>
            <w:r>
              <w:rPr>
                <w:rFonts w:ascii="Times New Roman" w:cs="Times New Roman" w:eastAsia="Times New Roman" w:hAnsi="Times New Roman"/>
                <w:sz w:val="16"/>
                <w:szCs w:val="16"/>
                <w:b w:val="1"/>
                <w:bCs w:val="1"/>
                <w:color w:val="auto"/>
              </w:rPr>
              <w:t>(I.R.S. employer identification number)</w:t>
            </w:r>
          </w:p>
        </w:tc>
        <w:tc>
          <w:tcPr>
            <w:tcW w:w="0" w:type="dxa"/>
            <w:vAlign w:val="bottom"/>
          </w:tcPr>
          <w:p>
            <w:pPr>
              <w:spacing w:after="0"/>
              <w:rPr>
                <w:sz w:val="1"/>
                <w:szCs w:val="1"/>
                <w:color w:val="auto"/>
              </w:rPr>
            </w:pPr>
          </w:p>
        </w:tc>
      </w:tr>
      <w:tr>
        <w:trPr>
          <w:trHeight w:val="393"/>
        </w:trPr>
        <w:tc>
          <w:tcPr>
            <w:tcW w:w="600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898 Veterans Memorial Highway, Suite 560, Hauppauge, NY</w:t>
            </w:r>
          </w:p>
        </w:tc>
        <w:tc>
          <w:tcPr>
            <w:tcW w:w="422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11788</w:t>
            </w:r>
          </w:p>
        </w:tc>
        <w:tc>
          <w:tcPr>
            <w:tcW w:w="0" w:type="dxa"/>
            <w:vAlign w:val="bottom"/>
          </w:tcPr>
          <w:p>
            <w:pPr>
              <w:spacing w:after="0"/>
              <w:rPr>
                <w:sz w:val="1"/>
                <w:szCs w:val="1"/>
                <w:color w:val="auto"/>
              </w:rPr>
            </w:pPr>
          </w:p>
        </w:tc>
      </w:tr>
      <w:tr>
        <w:trPr>
          <w:trHeight w:val="214"/>
        </w:trPr>
        <w:tc>
          <w:tcPr>
            <w:tcW w:w="6000" w:type="dxa"/>
            <w:vAlign w:val="bottom"/>
            <w:gridSpan w:val="6"/>
          </w:tcPr>
          <w:p>
            <w:pPr>
              <w:jc w:val="center"/>
              <w:ind w:right="92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Address of principal executive offices)</w:t>
            </w:r>
          </w:p>
        </w:tc>
        <w:tc>
          <w:tcPr>
            <w:tcW w:w="4220" w:type="dxa"/>
            <w:vAlign w:val="bottom"/>
          </w:tcPr>
          <w:p>
            <w:pPr>
              <w:jc w:val="center"/>
              <w:ind w:right="704"/>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3"/>
                <w:szCs w:val="23"/>
                <w:color w:val="auto"/>
              </w:rPr>
            </w:pPr>
          </w:p>
        </w:tc>
        <w:tc>
          <w:tcPr>
            <w:tcW w:w="27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(631) 537-1000</w:t>
            </w:r>
          </w:p>
        </w:tc>
        <w:tc>
          <w:tcPr>
            <w:tcW w:w="4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6920" w:type="dxa"/>
            <w:vAlign w:val="bottom"/>
            <w:gridSpan w:val="6"/>
          </w:tcPr>
          <w:p>
            <w:pPr>
              <w:jc w:val="center"/>
              <w:ind w:right="318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251"/>
        </w:trPr>
        <w:tc>
          <w:tcPr>
            <w:tcW w:w="3300" w:type="dxa"/>
            <w:vAlign w:val="bottom"/>
            <w:vMerge w:val="restart"/>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220" w:type="dxa"/>
            <w:vAlign w:val="bottom"/>
            <w:vMerge w:val="restart"/>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00" w:type="dxa"/>
            <w:vAlign w:val="bottom"/>
            <w:tcBorders>
              <w:top w:val="single" w:sz="8" w:color="auto"/>
            </w:tcBorders>
          </w:tcPr>
          <w:p>
            <w:pPr>
              <w:jc w:val="center"/>
              <w:ind w:left="544"/>
              <w:spacing w:after="0" w:line="119" w:lineRule="exact"/>
              <w:rPr>
                <w:sz w:val="20"/>
                <w:szCs w:val="20"/>
                <w:color w:val="auto"/>
              </w:rPr>
            </w:pPr>
            <w:r>
              <w:rPr>
                <w:rFonts w:ascii="Times New Roman" w:cs="Times New Roman" w:eastAsia="Times New Roman" w:hAnsi="Times New Roman"/>
                <w:sz w:val="13"/>
                <w:szCs w:val="13"/>
                <w:color w:val="auto"/>
              </w:rPr>
              <w:t>Common Stock, $0.01 Par Value</w:t>
            </w: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DCOM</w:t>
            </w: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20" w:type="dxa"/>
            <w:vAlign w:val="bottom"/>
            <w:tcBorders>
              <w:top w:val="single" w:sz="8" w:color="auto"/>
            </w:tcBorders>
          </w:tcPr>
          <w:p>
            <w:pPr>
              <w:jc w:val="center"/>
              <w:ind w:right="304"/>
              <w:spacing w:after="0" w:line="119" w:lineRule="exact"/>
              <w:rPr>
                <w:sz w:val="20"/>
                <w:szCs w:val="20"/>
                <w:color w:val="auto"/>
              </w:rPr>
            </w:pPr>
            <w:r>
              <w:rPr>
                <w:rFonts w:ascii="Times New Roman" w:cs="Times New Roman" w:eastAsia="Times New Roman" w:hAnsi="Times New Roman"/>
                <w:sz w:val="13"/>
                <w:szCs w:val="13"/>
                <w:color w:val="auto"/>
              </w:rPr>
              <w:t>The NASDAQ Stock Market</w:t>
            </w:r>
          </w:p>
        </w:tc>
        <w:tc>
          <w:tcPr>
            <w:tcW w:w="0" w:type="dxa"/>
            <w:vAlign w:val="bottom"/>
          </w:tcPr>
          <w:p>
            <w:pPr>
              <w:spacing w:after="0"/>
              <w:rPr>
                <w:sz w:val="1"/>
                <w:szCs w:val="1"/>
                <w:color w:val="auto"/>
              </w:rPr>
            </w:pPr>
          </w:p>
        </w:tc>
      </w:tr>
      <w:tr>
        <w:trPr>
          <w:trHeight w:val="148"/>
        </w:trPr>
        <w:tc>
          <w:tcPr>
            <w:tcW w:w="3300" w:type="dxa"/>
            <w:vAlign w:val="bottom"/>
          </w:tcPr>
          <w:p>
            <w:pPr>
              <w:jc w:val="center"/>
              <w:ind w:left="524"/>
              <w:spacing w:after="0" w:line="149" w:lineRule="exact"/>
              <w:rPr>
                <w:sz w:val="20"/>
                <w:szCs w:val="20"/>
                <w:color w:val="auto"/>
              </w:rPr>
            </w:pPr>
            <w:r>
              <w:rPr>
                <w:rFonts w:ascii="Times New Roman" w:cs="Times New Roman" w:eastAsia="Times New Roman" w:hAnsi="Times New Roman"/>
                <w:sz w:val="14"/>
                <w:szCs w:val="14"/>
                <w:color w:val="auto"/>
              </w:rPr>
              <w:t>Preferred Stock, Series A, $0.01 Par Value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DCOMP</w:t>
            </w:r>
          </w:p>
        </w:tc>
        <w:tc>
          <w:tcPr>
            <w:tcW w:w="4220" w:type="dxa"/>
            <w:vAlign w:val="bottom"/>
          </w:tcPr>
          <w:p>
            <w:pPr>
              <w:jc w:val="center"/>
              <w:ind w:right="304"/>
              <w:spacing w:after="0" w:line="149" w:lineRule="exact"/>
              <w:rPr>
                <w:sz w:val="20"/>
                <w:szCs w:val="20"/>
                <w:color w:val="auto"/>
              </w:rPr>
            </w:pPr>
            <w:r>
              <w:rPr>
                <w:rFonts w:ascii="Times New Roman" w:cs="Times New Roman" w:eastAsia="Times New Roman" w:hAnsi="Times New Roman"/>
                <w:sz w:val="14"/>
                <w:szCs w:val="14"/>
                <w:color w:val="auto"/>
              </w:rPr>
              <w:t>The NASDAQ Stock Market</w:t>
            </w:r>
          </w:p>
        </w:tc>
        <w:tc>
          <w:tcPr>
            <w:tcW w:w="0" w:type="dxa"/>
            <w:vAlign w:val="bottom"/>
          </w:tcPr>
          <w:p>
            <w:pPr>
              <w:spacing w:after="0"/>
              <w:rPr>
                <w:sz w:val="1"/>
                <w:szCs w:val="1"/>
                <w:color w:val="auto"/>
              </w:rPr>
            </w:pPr>
          </w:p>
        </w:tc>
      </w:tr>
      <w:tr>
        <w:trPr>
          <w:trHeight w:val="188"/>
        </w:trPr>
        <w:tc>
          <w:tcPr>
            <w:tcW w:w="3300" w:type="dxa"/>
            <w:vAlign w:val="bottom"/>
          </w:tcPr>
          <w:p>
            <w:pPr>
              <w:jc w:val="center"/>
              <w:ind w:left="544"/>
              <w:spacing w:after="0"/>
              <w:rPr>
                <w:sz w:val="20"/>
                <w:szCs w:val="20"/>
                <w:color w:val="auto"/>
              </w:rPr>
            </w:pPr>
            <w:r>
              <w:rPr>
                <w:rFonts w:ascii="Times New Roman" w:cs="Times New Roman" w:eastAsia="Times New Roman" w:hAnsi="Times New Roman"/>
                <w:sz w:val="14"/>
                <w:szCs w:val="14"/>
                <w:color w:val="auto"/>
              </w:rPr>
              <w:t>9.000% Subordinated Notes, $25.00 Par Value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DCOMG</w:t>
            </w:r>
          </w:p>
        </w:tc>
        <w:tc>
          <w:tcPr>
            <w:tcW w:w="4220" w:type="dxa"/>
            <w:vAlign w:val="bottom"/>
          </w:tcPr>
          <w:p>
            <w:pPr>
              <w:jc w:val="center"/>
              <w:ind w:right="304"/>
              <w:spacing w:after="0"/>
              <w:rPr>
                <w:sz w:val="20"/>
                <w:szCs w:val="20"/>
                <w:color w:val="auto"/>
              </w:rPr>
            </w:pPr>
            <w:r>
              <w:rPr>
                <w:rFonts w:ascii="Times New Roman" w:cs="Times New Roman" w:eastAsia="Times New Roman" w:hAnsi="Times New Roman"/>
                <w:sz w:val="14"/>
                <w:szCs w:val="14"/>
                <w:color w:val="auto"/>
              </w:rPr>
              <w:t>The NASDAQ Stock Market</w:t>
            </w:r>
          </w:p>
        </w:tc>
        <w:tc>
          <w:tcPr>
            <w:tcW w:w="0" w:type="dxa"/>
            <w:vAlign w:val="bottom"/>
          </w:tcPr>
          <w:p>
            <w:pPr>
              <w:spacing w:after="0"/>
              <w:rPr>
                <w:sz w:val="1"/>
                <w:szCs w:val="1"/>
                <w:color w:val="auto"/>
              </w:rPr>
            </w:pPr>
          </w:p>
        </w:tc>
      </w:tr>
    </w:tbl>
    <w:p>
      <w:pPr>
        <w:spacing w:after="0" w:line="50" w:lineRule="exact"/>
        <w:rPr>
          <w:sz w:val="24"/>
          <w:szCs w:val="24"/>
          <w:color w:val="auto"/>
        </w:rPr>
      </w:pPr>
    </w:p>
    <w:p>
      <w:pPr>
        <w:jc w:val="both"/>
        <w:ind w:lef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the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47"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4400" w:space="720"/>
            <w:col w:w="1860" w:space="60"/>
            <w:col w:w="3200"/>
          </w:cols>
          <w:pgMar w:left="820" w:top="661" w:right="839" w:bottom="1440" w:gutter="0" w:footer="0" w:header="0"/>
          <w:type w:val="continuous"/>
        </w:sectPr>
      </w:pPr>
    </w:p>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20" w:right="18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4460" w:type="dxa"/>
            <w:vAlign w:val="bottom"/>
            <w:gridSpan w:val="2"/>
          </w:tcPr>
          <w:p>
            <w:pPr>
              <w:jc w:val="center"/>
              <w:ind w:right="2680"/>
              <w:spacing w:after="0"/>
              <w:rPr>
                <w:sz w:val="20"/>
                <w:szCs w:val="20"/>
                <w:color w:val="auto"/>
              </w:rPr>
            </w:pPr>
            <w:r>
              <w:rPr>
                <w:rFonts w:ascii="Times New Roman" w:cs="Times New Roman" w:eastAsia="Times New Roman" w:hAnsi="Times New Roman"/>
                <w:sz w:val="16"/>
                <w:szCs w:val="16"/>
                <w:b w:val="1"/>
                <w:bCs w:val="1"/>
                <w:color w:val="auto"/>
              </w:rPr>
              <w:t>Classes of Common Stock</w:t>
            </w:r>
          </w:p>
        </w:tc>
        <w:tc>
          <w:tcPr>
            <w:tcW w:w="416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Number of shares outstanding at April 30, 2025</w:t>
            </w:r>
          </w:p>
        </w:tc>
      </w:tr>
      <w:tr>
        <w:trPr>
          <w:trHeight w:val="217"/>
        </w:trPr>
        <w:tc>
          <w:tcPr>
            <w:tcW w:w="162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$0.01 Par Value</w:t>
            </w:r>
          </w:p>
        </w:tc>
        <w:tc>
          <w:tcPr>
            <w:tcW w:w="2680" w:type="dxa"/>
            <w:vAlign w:val="bottom"/>
          </w:tcPr>
          <w:p>
            <w:pPr>
              <w:spacing w:after="0"/>
              <w:rPr>
                <w:sz w:val="18"/>
                <w:szCs w:val="18"/>
                <w:color w:val="auto"/>
              </w:rPr>
            </w:pPr>
          </w:p>
        </w:tc>
        <w:tc>
          <w:tcPr>
            <w:tcW w:w="328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rPr>
              <w:t>43,818,562</w:t>
            </w:r>
          </w:p>
        </w:tc>
        <w:tc>
          <w:tcPr>
            <w:tcW w:w="880" w:type="dxa"/>
            <w:vAlign w:val="bottom"/>
          </w:tcPr>
          <w:p>
            <w:pPr>
              <w:spacing w:after="0"/>
              <w:rPr>
                <w:sz w:val="18"/>
                <w:szCs w:val="18"/>
                <w:color w:val="auto"/>
              </w:rPr>
            </w:pPr>
          </w:p>
        </w:tc>
      </w:tr>
      <w:tr>
        <w:trPr>
          <w:trHeight w:val="101"/>
        </w:trPr>
        <w:tc>
          <w:tcPr>
            <w:tcW w:w="16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68"/>
        </w:trPr>
        <w:tc>
          <w:tcPr>
            <w:tcW w:w="16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574"/>
        </w:trPr>
        <w:tc>
          <w:tcPr>
            <w:tcW w:w="1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6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42"/>
        </w:trPr>
        <w:tc>
          <w:tcPr>
            <w:tcW w:w="8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Item 1.</w:t>
            </w:r>
          </w:p>
        </w:tc>
        <w:tc>
          <w:tcPr>
            <w:tcW w:w="7640" w:type="dxa"/>
            <w:vAlign w:val="bottom"/>
            <w:gridSpan w:val="11"/>
          </w:tcPr>
          <w:p>
            <w:pPr>
              <w:spacing w:after="0" w:line="142" w:lineRule="exact"/>
              <w:rPr>
                <w:sz w:val="20"/>
                <w:szCs w:val="20"/>
                <w:color w:val="auto"/>
              </w:rPr>
            </w:pPr>
            <w:r>
              <w:rPr>
                <w:rFonts w:ascii="Times New Roman" w:cs="Times New Roman" w:eastAsia="Times New Roman" w:hAnsi="Times New Roman"/>
                <w:sz w:val="16"/>
                <w:szCs w:val="16"/>
                <w:color w:val="0000EE"/>
              </w:rPr>
              <w:t>Unaudited Condensed Consolidated Financial Statements</w:t>
            </w:r>
          </w:p>
        </w:tc>
        <w:tc>
          <w:tcPr>
            <w:tcW w:w="380" w:type="dxa"/>
            <w:vAlign w:val="bottom"/>
          </w:tcPr>
          <w:p>
            <w:pPr>
              <w:spacing w:after="0"/>
              <w:rPr>
                <w:sz w:val="12"/>
                <w:szCs w:val="12"/>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4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Consolidated Statements of Financial Condition at March 31, 2025 and December 31, 2024</w:t>
            </w: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2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Operations for the Three Months Ended March 31, 2025 and 2024</w:t>
            </w:r>
          </w:p>
        </w:tc>
        <w:tc>
          <w:tcPr>
            <w:tcW w:w="1520" w:type="dxa"/>
            <w:vAlign w:val="bottom"/>
            <w:gridSpan w:val="4"/>
          </w:tcPr>
          <w:p>
            <w:pPr>
              <w:spacing w:after="0"/>
              <w:rPr>
                <w:sz w:val="15"/>
                <w:szCs w:val="15"/>
                <w:color w:val="auto"/>
              </w:rPr>
            </w:pP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Three Months Ended March 31, 2025 and 2024</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Changes in Stockholders’ Equity for the Three Months Ended March 31, 2025 and 2024</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7</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540" w:type="dxa"/>
            <w:vAlign w:val="bottom"/>
            <w:tcBorders>
              <w:top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Cash Flows for the Three Months Ended March 31, 2025 and 2024</w:t>
            </w:r>
          </w:p>
        </w:tc>
        <w:tc>
          <w:tcPr>
            <w:tcW w:w="100" w:type="dxa"/>
            <w:vAlign w:val="bottom"/>
          </w:tcPr>
          <w:p>
            <w:pPr>
              <w:spacing w:after="0"/>
              <w:rPr>
                <w:sz w:val="15"/>
                <w:szCs w:val="15"/>
                <w:color w:val="auto"/>
              </w:rPr>
            </w:pP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8</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60" w:type="dxa"/>
            <w:vAlign w:val="bottom"/>
            <w:tcBorders>
              <w:top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Notes to Unaudited Condensed Consolidated Financial Statements</w:t>
            </w:r>
          </w:p>
        </w:tc>
        <w:tc>
          <w:tcPr>
            <w:tcW w:w="1480" w:type="dxa"/>
            <w:vAlign w:val="bottom"/>
            <w:gridSpan w:val="3"/>
          </w:tcPr>
          <w:p>
            <w:pPr>
              <w:spacing w:after="0"/>
              <w:rPr>
                <w:sz w:val="15"/>
                <w:szCs w:val="15"/>
                <w:color w:val="auto"/>
              </w:rPr>
            </w:pP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9</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764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37</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64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52</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64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Controls and Procedures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54</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Item 1.</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1A.</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Risk Factors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54</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5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300" w:type="dxa"/>
            <w:vAlign w:val="bottom"/>
          </w:tcPr>
          <w:p>
            <w:pPr>
              <w:spacing w:after="0"/>
              <w:rPr>
                <w:sz w:val="15"/>
                <w:szCs w:val="15"/>
                <w:color w:val="auto"/>
              </w:rPr>
            </w:pP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Unregistered Sales of Equity Securities, Use of Proceeds and Issuer Purchases of Equity Securities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55</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Defaults Upon Senior Securities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55</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Mine Safety Disclosures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55</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5.</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Other Information</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55</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6.</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Exhibits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56</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w w:val="97"/>
              </w:rPr>
              <w:t>Signatures</w:t>
            </w:r>
          </w:p>
        </w:tc>
        <w:tc>
          <w:tcPr>
            <w:tcW w:w="6400" w:type="dxa"/>
            <w:vAlign w:val="bottom"/>
            <w:gridSpan w:val="6"/>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a number of forward-looking statements within the meaning of Section 27A of the Securities Act of 1933, as amended and Section 21E of the Securities Exchange Act of 1934, as amended (the “Exchange Act”). These statements may be identified by use of words such as “annualized,” “anticipate,” “believe,” “continue,” “could,” “estimate,” “expect,” “intend,” “seek,” “may,” “outlook,” “plan,” “potential,” “predict,” “project,” “should,” “will,” “would” and similar terms and phrases, including references to assumptions. Examples of forward-looking statements include, but are not limited to, the proposed use of proceeds from any offering, possible or assumed estimates with respect to the financial condition, expected or anticipated revenue, and results of operations and our business, including earnings growth; revenue growth in retail banking, lending and other areas; origination volume in the consumer, commercial and other lending businesses; current and future capital management programs; non-interest income levels, including fees from the title insurance subsidiary and banking services as well as product sales; tangible capital generation; market share; expense levels; and other business operations and strategies.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upon various assumptions and analyses made by Dime Community Bancshares, Inc. (together with its direct and indirect subsidiaries, the “Company”), in light of management’s experience and its perception of historical trends, current conditions and expected future developments, as well as other factors it believes appropriate under the circumstances. These statements are not guarantees of future performance and are subject to risks, uncertainties and other factors (many of which are beyond the Company’s control) that could cause actual conditions or results to differ materially from those expressed or implied by such forward-looking statements. Such factors include, without limitation, the following:</w:t>
      </w:r>
    </w:p>
    <w:p>
      <w:pPr>
        <w:spacing w:after="0" w:line="189"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competitive pressure among financial institutions or from non-financial institutions;</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fluctuation in market interest rates, which may affect demand for our products, interest margins and the fair value of financial instruments;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interest margin is subject to material short-term fluctuation based upon market rates;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 flows or composition, loan demand or real estate values;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quality and composition of our loan or investment portfolios or unanticipated or significant increases in loan losses;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and/or individual income tax laws or policies;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conditions, including conditions caused by public health emergencies, international conflict, inflation and recessionary pressures, either nationally or locally in some or all areas in which the Company conducts business, or conditions in the securities markets or the banking industry;</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 including any changes in the monetary policies of the U.S. Treasury and the Board of Governors of the Federal Reserve System;</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and the responses of third parties thereto, which may increase inflationary pressures;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distribution of federal funds or freezing of federal funding or grants, which could have an adverse effect on the ability of consumers and businesses to pay debts or affect the demand for loans and deposits;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the Company’s information technology security systems;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business initiatives or the integration of any acquired entities;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unanticipated expenses incurred in the consummation of new business initiatives or the integration of any acquired entities;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matters before regulatory agencies;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referred to in the section entitled “Risk Factors” in our Annual Report on Form 10-K for the year ended December 31, 2024, as updated by our subsequent Quarterly Reports on Form 10-Q and Current Reports on Form 8-K; and/or</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unexpected material adverse changes in our financial condition, operations or earnings.</w:t>
      </w:r>
    </w:p>
    <w:p>
      <w:pPr>
        <w:spacing w:after="0" w:line="9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Accordingly, you should not place undue reliance on forward-looking statements. The Company has no obligation to update any forward-looking statements to reflect events or circumstances after the date of this document.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left="1520" w:right="1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FINANCIAL CONDITION (UNAUDITED) </w:t>
      </w:r>
      <w:r>
        <w:rPr>
          <w:rFonts w:ascii="Times New Roman" w:cs="Times New Roman" w:eastAsia="Times New Roman" w:hAnsi="Times New Roman"/>
          <w:sz w:val="18"/>
          <w:szCs w:val="18"/>
          <w:color w:val="auto"/>
        </w:rPr>
        <w:t>(Dollars in thousands except share amounts)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1,030,702</w:t>
            </w:r>
          </w:p>
        </w:tc>
        <w:tc>
          <w:tcPr>
            <w:tcW w:w="18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1,283,571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available-for-sale, at fair value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710,579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690,693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held-to-maturity</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631,334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637,339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sale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2,527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investment, net of fees and costs</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10,868,735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10,871,943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(90,455)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(88,751)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loans held for investment, net</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10,778,280</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10,783,192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Premises and fixed assets, net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33,650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66,987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69,106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Owned Life Insurance ("BOLI")</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389,167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290,665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155,797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intangible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3,644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45,657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98,740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interest receivable</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56,044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94,574</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14,097,682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14,353,258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8,282,373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8,275,591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3,245,409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3,355,829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Deposits (excluding mortgage escrow deposits)</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11,527,782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11,631,420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Non-interest-bearing mortgage escrow deposits</w:t>
            </w: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88,138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54,715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mortgage escrow deposits</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mortgage escrow deposits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88,142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54,721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Federal Home Loan Bank of New York ("FHLBNY") advances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508,000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608,000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272,370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272,325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85,230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48,432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liabilities</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92,516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63,197</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12,685,669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12,956,741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7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stock, Series A ($0.01 par, $25.00 liquidation value, 10,000,000 shares authorized and 5,299,200 shares</w:t>
            </w: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116,569</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116,569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and outstanding at March 31, 2025 and December 31, 2024)</w:t>
            </w: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7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($0.01 par, 80,000,000 shares authorized, 46,141,361 shares issued at March 31, 2025 and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December 31, 2024 respectively, and 43,799,076 shares and 43,622,292 shares outstanding at March 31, 2025 and</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 respectively)</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623,305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624,822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803,202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794,526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net of deferred taxes</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(39,045)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(45,018)</w:t>
            </w: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Unearned equity awards</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(12,909)</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0" w:type="dxa"/>
            <w:vAlign w:val="bottom"/>
          </w:tcPr>
          <w:p>
            <w:pPr>
              <w:spacing w:after="0"/>
              <w:rPr>
                <w:sz w:val="1"/>
                <w:szCs w:val="1"/>
                <w:color w:val="auto"/>
              </w:rPr>
            </w:pPr>
          </w:p>
        </w:tc>
      </w:tr>
      <w:tr>
        <w:trPr>
          <w:trHeight w:val="126"/>
        </w:trPr>
        <w:tc>
          <w:tcPr>
            <w:tcW w:w="67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Treasury stock, at cost (2,342,285 shares and 2,519,069 shares at March 31, 2025 and December 31, 2024,</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(79,570)</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(87,203)</w:t>
            </w: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1,412,013</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1,396,517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14,097,682</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14,353,258</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7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OPERATIONS (UNAUDITED) </w:t>
      </w:r>
      <w:r>
        <w:rPr>
          <w:rFonts w:ascii="Times New Roman" w:cs="Times New Roman" w:eastAsia="Times New Roman" w:hAnsi="Times New Roman"/>
          <w:sz w:val="18"/>
          <w:szCs w:val="18"/>
          <w:color w:val="auto"/>
        </w:rPr>
        <w:t>(Dollars in thousands except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5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142,705</w:t>
            </w:r>
          </w:p>
        </w:tc>
        <w:tc>
          <w:tcPr>
            <w:tcW w:w="20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143,565</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11,323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short-term investments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7,837</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9,564</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income</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161,865</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161,009</w:t>
            </w: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and escrow</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58,074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73,069</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Borrowed funds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8,381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cash collateral</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1,197</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67,652</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89,479</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94,213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71,530</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9,626</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5,210</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84,587</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66,320</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other fees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4,643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Title fees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 income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SBA Loans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residential loans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change in equity securities and loans held for sale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other assets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706</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9,633</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w:t>
            </w: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35,651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32,037</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and equipment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8,002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processing costs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4,794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deposit insurance premiums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extinguishment of debt for FHLBNY advances</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due to pension settlement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7,231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3,676</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65,511</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52,511</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28,709</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24,276</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7,251</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21,458</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17,691</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1,822</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19,636</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0.45</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0.45</w:t>
            </w:r>
          </w:p>
        </w:tc>
        <w:tc>
          <w:tcPr>
            <w:tcW w:w="200" w:type="dxa"/>
            <w:vAlign w:val="bottom"/>
          </w:tcPr>
          <w:p>
            <w:pPr>
              <w:spacing w:after="0"/>
              <w:rPr>
                <w:sz w:val="15"/>
                <w:szCs w:val="15"/>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0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COMPREHENSIVE INCOME (UNAUDITED) </w:t>
      </w:r>
      <w:r>
        <w:rPr>
          <w:rFonts w:ascii="Times New Roman" w:cs="Times New Roman" w:eastAsia="Times New Roman" w:hAnsi="Times New Roman"/>
          <w:sz w:val="18"/>
          <w:szCs w:val="18"/>
          <w:color w:val="auto"/>
        </w:rPr>
        <w:t>(Dollars in thousands)</w:t>
      </w:r>
    </w:p>
    <w:p>
      <w:pPr>
        <w:spacing w:after="0" w:line="18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5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21,458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17,691</w:t>
            </w:r>
          </w:p>
        </w:tc>
      </w:tr>
      <w:tr>
        <w:trPr>
          <w:trHeight w:val="148"/>
        </w:trPr>
        <w:tc>
          <w:tcPr>
            <w:tcW w:w="6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6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unrealized gain (loss) on securities: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6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net unrealized gain during the period</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7,960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w:t>
            </w:r>
          </w:p>
        </w:tc>
      </w:tr>
      <w:tr>
        <w:trPr>
          <w:trHeight w:val="148"/>
        </w:trPr>
        <w:tc>
          <w:tcPr>
            <w:tcW w:w="65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net losses included in net loss on sale of securities and other assets</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net unrealized loss on securities transferred to held-to-maturity</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r>
      <w:tr>
        <w:trPr>
          <w:trHeight w:val="148"/>
        </w:trPr>
        <w:tc>
          <w:tcPr>
            <w:tcW w:w="65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Credit loss expense</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893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pension and other postretirement obligations: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65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expense included in other expense</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(87)</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r>
      <w:tr>
        <w:trPr>
          <w:trHeight w:val="148"/>
        </w:trPr>
        <w:tc>
          <w:tcPr>
            <w:tcW w:w="6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the net actuarial gain</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4,854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r>
      <w:tr>
        <w:trPr>
          <w:trHeight w:val="148"/>
        </w:trPr>
        <w:tc>
          <w:tcPr>
            <w:tcW w:w="6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unrealized gain (loss) on derivatives: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6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net unrealized (loss) gain during the period</w:t>
            </w:r>
          </w:p>
        </w:tc>
        <w:tc>
          <w:tcPr>
            <w:tcW w:w="2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(7,567)</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2,145</w:t>
            </w:r>
          </w:p>
        </w:tc>
      </w:tr>
      <w:tr>
        <w:trPr>
          <w:trHeight w:val="148"/>
        </w:trPr>
        <w:tc>
          <w:tcPr>
            <w:tcW w:w="65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expense included in interest expense</w:t>
            </w: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1,840</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2,435</w:t>
            </w:r>
          </w:p>
        </w:tc>
      </w:tr>
      <w:tr>
        <w:trPr>
          <w:trHeight w:val="142"/>
        </w:trPr>
        <w:tc>
          <w:tcPr>
            <w:tcW w:w="656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Other comprehensive income before income taxes</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8,617</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8,845</w:t>
            </w:r>
          </w:p>
        </w:tc>
      </w:tr>
      <w:tr>
        <w:trPr>
          <w:trHeight w:val="142"/>
        </w:trPr>
        <w:tc>
          <w:tcPr>
            <w:tcW w:w="6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Deferred tax expense</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2,732</w:t>
            </w:r>
          </w:p>
        </w:tc>
      </w:tr>
      <w:tr>
        <w:trPr>
          <w:trHeight w:val="148"/>
        </w:trPr>
        <w:tc>
          <w:tcPr>
            <w:tcW w:w="65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other comprehensive income, net of tax</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5,973</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6,113</w:t>
            </w:r>
          </w:p>
        </w:tc>
      </w:tr>
      <w:tr>
        <w:trPr>
          <w:trHeight w:val="142"/>
        </w:trPr>
        <w:tc>
          <w:tcPr>
            <w:tcW w:w="656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27,431</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23,804</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CHANGES IN STOCKHOLDERS’ EQUITY (UNAUDITED) </w:t>
      </w:r>
      <w:r>
        <w:rPr>
          <w:rFonts w:ascii="Times New Roman" w:cs="Times New Roman" w:eastAsia="Times New Roman" w:hAnsi="Times New Roman"/>
          <w:sz w:val="18"/>
          <w:szCs w:val="18"/>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8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Beginning balance as of January 1, 2025</w:t>
            </w: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43,622,292</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461</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$ 624,822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$794,526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(45,018)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(7,640)</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$(87,203)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1,396,517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21,458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21,458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252,273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(7,153)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8,835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(75,489)</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(1,202)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(1,205)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(10,960)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(10,960)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March 31, 2025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43,799,076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$ 623,305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803,202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(39,045)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 (12,909)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(79,570)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1,412,013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 2024</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8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Beginning balance as of January 1, 2024</w:t>
            </w: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38,822,654</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$ 494,454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$813,007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(91,579)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(8,622)</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$(98,020)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1,226,225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17,691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155,782</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(46,603)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March 31, 2024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38,931,833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$ 492,834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819,130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(85,466)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 (10,191)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(93,921)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1,239,371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1700"/>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CASH FLOWS (UNAUDITED) </w:t>
      </w:r>
      <w:r>
        <w:rPr>
          <w:rFonts w:ascii="Times New Roman" w:cs="Times New Roman" w:eastAsia="Times New Roman" w:hAnsi="Times New Roman"/>
          <w:sz w:val="18"/>
          <w:szCs w:val="18"/>
          <w:color w:val="auto"/>
        </w:rPr>
        <w:t>(Dollars in thousands)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21,458</w:t>
            </w:r>
          </w:p>
        </w:tc>
        <w:tc>
          <w:tcPr>
            <w:tcW w:w="24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17,691</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income to net cash provided by operating activities:</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sale of other assets</w:t>
            </w:r>
          </w:p>
        </w:tc>
        <w:tc>
          <w:tcPr>
            <w:tcW w:w="260" w:type="dxa"/>
            <w:vAlign w:val="bottom"/>
          </w:tcPr>
          <w:p>
            <w:pPr>
              <w:spacing w:after="0"/>
              <w:rPr>
                <w:sz w:val="12"/>
                <w:szCs w:val="12"/>
                <w:color w:val="auto"/>
              </w:rPr>
            </w:pPr>
          </w:p>
        </w:tc>
        <w:tc>
          <w:tcPr>
            <w:tcW w:w="13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(2,968)</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change in equity securities and loans held for sale</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(18)</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842</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sale of loans held for sale</w:t>
            </w:r>
          </w:p>
        </w:tc>
        <w:tc>
          <w:tcPr>
            <w:tcW w:w="26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(114)</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depreciation, amortization and accretion</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1,085</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amortization of fair value hedge basis point adjustments</w:t>
            </w:r>
          </w:p>
        </w:tc>
        <w:tc>
          <w:tcPr>
            <w:tcW w:w="26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(622)</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other intangible assets</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252</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tcPr>
          <w:p>
            <w:pPr>
              <w:spacing w:after="0"/>
              <w:rPr>
                <w:sz w:val="12"/>
                <w:szCs w:val="12"/>
                <w:color w:val="auto"/>
              </w:rPr>
            </w:pPr>
          </w:p>
        </w:tc>
        <w:tc>
          <w:tcPr>
            <w:tcW w:w="13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1,884</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9,626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Originations of loans held for sale</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(3,062)</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 of loans originated for sale</w:t>
            </w: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3,603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6,439</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cash surrender value of BOLI</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(3,605)</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(2,461)</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from death benefits from BOLI</w:t>
            </w:r>
          </w:p>
        </w:tc>
        <w:tc>
          <w:tcPr>
            <w:tcW w:w="26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(371)</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other assets</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73,026</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(10,955)</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other liabilities</w:t>
            </w:r>
          </w:p>
        </w:tc>
        <w:tc>
          <w:tcPr>
            <w:tcW w:w="26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(37,722)</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15,009</w:t>
            </w:r>
          </w:p>
        </w:tc>
      </w:tr>
      <w:tr>
        <w:trPr>
          <w:trHeight w:val="142"/>
        </w:trPr>
        <w:tc>
          <w:tcPr>
            <w:tcW w:w="60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65,420</w:t>
            </w:r>
          </w:p>
        </w:tc>
        <w:tc>
          <w:tcPr>
            <w:tcW w:w="2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30,737</w:t>
            </w:r>
          </w:p>
        </w:tc>
      </w:tr>
      <w:tr>
        <w:trPr>
          <w:trHeight w:val="142"/>
        </w:trPr>
        <w:tc>
          <w:tcPr>
            <w:tcW w:w="60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available-for-sale</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(29,720)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available-for-sale</w:t>
            </w: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17,709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29,679</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held-to-maturity</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6,823</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6,112</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BOLI</w:t>
            </w:r>
          </w:p>
        </w:tc>
        <w:tc>
          <w:tcPr>
            <w:tcW w:w="26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(97,317)</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purchased</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(3,921)</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portfolio loans transferred to held for sale</w:t>
            </w: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5,165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loans</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15,184</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7,644</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fixed assets, net</w:t>
            </w:r>
          </w:p>
        </w:tc>
        <w:tc>
          <w:tcPr>
            <w:tcW w:w="26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(570)</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(1,378)</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fixed assets and premises held for sale</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w:t>
            </w:r>
          </w:p>
        </w:tc>
      </w:tr>
      <w:tr>
        <w:trPr>
          <w:trHeight w:val="148"/>
        </w:trPr>
        <w:tc>
          <w:tcPr>
            <w:tcW w:w="60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of restricted stock, net</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2,119</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24,404</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2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(84,528)</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66,425</w:t>
            </w:r>
          </w:p>
        </w:tc>
      </w:tr>
      <w:tr>
        <w:trPr>
          <w:trHeight w:val="142"/>
        </w:trPr>
        <w:tc>
          <w:tcPr>
            <w:tcW w:w="60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deposits</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(70,212)</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368,250</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from FHLBNY advances, short-term, net</w:t>
            </w:r>
          </w:p>
        </w:tc>
        <w:tc>
          <w:tcPr>
            <w:tcW w:w="26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(100,000)</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(540,000)</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of other short-term borrowings, net</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(50,000)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Release of stock for benefit plan awards</w:t>
            </w: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related to tax withholding for equity awards</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(1,205)</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preferred stockholders</w:t>
            </w:r>
          </w:p>
        </w:tc>
        <w:tc>
          <w:tcPr>
            <w:tcW w:w="26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(1,822)</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(1,821)</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common stockholders</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(10,690)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(9,466)</w:t>
            </w:r>
          </w:p>
        </w:tc>
      </w:tr>
      <w:tr>
        <w:trPr>
          <w:trHeight w:val="14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(233,761)</w:t>
            </w:r>
          </w:p>
        </w:tc>
        <w:tc>
          <w:tcPr>
            <w:tcW w:w="2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(183,857)</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Decrease in cash and cash equivalents</w:t>
            </w:r>
          </w:p>
        </w:tc>
        <w:tc>
          <w:tcPr>
            <w:tcW w:w="2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(252,869)</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(86,695)</w:t>
            </w:r>
          </w:p>
        </w:tc>
      </w:tr>
      <w:tr>
        <w:trPr>
          <w:trHeight w:val="14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1,283,571</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457,547</w:t>
            </w:r>
          </w:p>
        </w:tc>
      </w:tr>
      <w:tr>
        <w:trPr>
          <w:trHeight w:val="142"/>
        </w:trPr>
        <w:tc>
          <w:tcPr>
            <w:tcW w:w="60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1,030,702</w:t>
            </w:r>
          </w:p>
        </w:tc>
        <w:tc>
          <w:tcPr>
            <w:tcW w:w="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370,852</w:t>
            </w: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3"/>
        </w:trPr>
        <w:tc>
          <w:tcPr>
            <w:tcW w:w="6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3,999</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6,684</w:t>
            </w: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68,936</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86,656</w:t>
            </w: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transferred to held for sale</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7,318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w:t>
            </w: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transferred to held for investment</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21,616</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 in exchange for operating lease liabilities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2,750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w:t>
            </w:r>
          </w:p>
        </w:tc>
      </w:tr>
    </w:tbl>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Dime Community Bancshares, Inc. (the “Holding Company”) is engaged in commercial banking and financial services through its wholly-owned subsidiary, Dime Community Bank (“the Bank”). The Bank was established in 1910 and is headquartered in Hauppauge, New York. The Holding Company was incorporated under the laws of the State of New York in 1988 to serve as the holding company for the Bank. The Holding Company functions primarily as the holder of all of the Bank’s common stock. Our bank operations also include Dime Abstract LLC (“Dime Abstract”), a wholly-owned subsidiary of the Bank, which is a broker of title insurance services. As of March 31, 2025, we operated 62 branch locations throughout Long Island and the New York City boroughs of Brooklyn, Queens, Manhattan, the Bronx, Staten Island, and Westchester County.</w:t>
      </w:r>
    </w:p>
    <w:p>
      <w:pPr>
        <w:spacing w:after="0" w:line="15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presented in this Quarterly Report on Form 10-Q include the collective results of the Holding Company and its wholly-owned subsidiary, the Bank, which are collectively herein referred to as “we”, “us”, “our” and the “Company.”</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unaudited Consolidated Financial Statements included herein reflect all normal recurring adjustments that are, in the opinion of management, necessary for a fair presentation of the results for the interim periods presented. In preparing the interim financial statements, management has made estimates and assumptions that affect the reported amounts of assets and liabilities and disclosure of contingent assets and liabilities at the date of the financial statements and the reported amounts of revenue and expense during the reported periods. Such estimates are subject to change in the future as additional information becomes available or previously existing circumstances are modified. Actual future results could differ significantly from those estimates. The annualized results of operations for the three months ended March 31, 2025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Certain reclassifications have been made to prior year amounts, and the related discussion and analysis, to conform to the current year presentation. These reclassifications did not have an impact on net income or total stockholders' equity. The unaudited Consolidated Financial Statements should be read in conjunction with the audited Consolidated Financial Statements and notes thereto included in the Company’s Annual Report on Form 10-K for the year ended December 31, 2024, which remain significantly unchanged and have been followed similarly as in prior periods.</w:t>
      </w:r>
    </w:p>
    <w:p>
      <w:pPr>
        <w:spacing w:after="0" w:line="200" w:lineRule="exact"/>
        <w:rPr>
          <w:sz w:val="20"/>
          <w:szCs w:val="20"/>
          <w:color w:val="auto"/>
        </w:rPr>
      </w:pPr>
    </w:p>
    <w:p>
      <w:pPr>
        <w:spacing w:after="0" w:line="205" w:lineRule="exact"/>
        <w:rPr>
          <w:sz w:val="20"/>
          <w:szCs w:val="20"/>
          <w:color w:val="auto"/>
        </w:rPr>
      </w:pPr>
    </w:p>
    <w:p>
      <w:pPr>
        <w:ind w:left="60" w:right="5339" w:hanging="10"/>
        <w:spacing w:after="0" w:line="532" w:lineRule="auto"/>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ACCOUNTING POLICIES Summary of Significant Accounting Policies</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necessary for a fair presentation of the Company’s financial condition as of March 31, 2025 and December 31, 2024, the results of operations and statements of comprehensive income for the three months ended March 31, 2025 and 2024, the changes in stockholders’ equity for the three months ended March 31, 2025 and 2024, and cash flows for the three months ended March 31, 2025 and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Please see “Part I - Item 2. Management’s Discussion and Analysis of Financial Condition and Results of Operations - Critical Accounting Policies” for a discussion of areas in the accompanying unaudited condensed Consolidated Financial Statements utilizing significant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Adoption of Recent Accounting Standards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ASU 2023-07, Segment Reporting - Improvements to Reportable Segment Disclosures (Topic 280)</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Financial Accounting Standards Board issued Accounting Standards Update 2023-07 to improve reportable segment disclosures by requiring public business entities to disclose significant expense categories and amounts for each reportable segment, where significant expense categories are defined as those that are regularly reported to an entity’s chief operating decision-maker and included in a segment’s reported measures of profit or loss. ASU 2023-07 became effective for the Company for interim periods on January 1, 2025. The adoption of ASU 2023-07 did not have a material effect on the Company’s consolidated financial statements. For a further discussion please see Note 17 to the condensed Consolidated Financial Statements.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ASU No. 2023-09—Income Taxes (Topic 740)—Improvements to Income Tax Disclosures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2023-09—Income Taxes (Topic 740)—Improvements to Income Tax Disclosures, intended to enhance the transparency of income tax disclosures, primarily related to the rate reconciliation and income taxes paid information.</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Specifically, the amendments in this ASU require disclosure of: (i) a tabular reconciliation, using both percentages and reporting currency amounts, with prescribed categories that are required to be disclosed, and the separate disclosure and disaggregation of prescribed reconciling items with an effect equal to 5% or more of the amount determined by multiplying pretax income from continuing operations by the applicable statutory rate; (ii) a qualitative description of the states and local jurisdictions that make up the majority (greater than 50%) of the effect of the state and local income taxes; and (iii) amount of income taxes paid, net of refunds received, disaggregated by federal, state, and foreign taxes and by individual jurisdictions that comprise 5% or more of total income taxes paid, net of refunds received. The ASU also includes other amendments to improve the effectiveness of income tax disclosures.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ASU 2023-09 became effective for the Company on January 1, 2025 for annual reporting periods, on a prospective basis and is not anticipated to have a material effect on the Company’s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accumulated other comprehensive income (loss), net of tax, was as follows: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5"/>
        </w:trPr>
        <w:tc>
          <w:tcPr>
            <w:tcW w:w="5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2025</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(43,767)</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(7,499)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6,248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6,136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3,364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 during the period</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6,638</w:t>
            </w:r>
          </w:p>
        </w:tc>
        <w:tc>
          <w:tcPr>
            <w:tcW w:w="14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3,304</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(3,969)</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(37,129)</w:t>
            </w:r>
          </w:p>
        </w:tc>
        <w:tc>
          <w:tcPr>
            <w:tcW w:w="1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(4,195)</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2,279</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(39,045)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(90,242)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(6,430)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during the period</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4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(87,392)</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(6,285)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before and after tax amounts allocated to each component of other comprehensive income (loss) are presented in the table below for the periods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6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unrealized gain (loss) on securities: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net unrealized gain during the period</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7,960</w:t>
            </w:r>
          </w:p>
        </w:tc>
        <w:tc>
          <w:tcPr>
            <w:tcW w:w="4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net losses included in net loss on sale of securities and other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Accretion of net unrealized loss on securities transferred to held-to-maturity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Credit loss expense</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9,577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expense</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2,939</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196"/>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change in unrealized gain on securities, net of reclassification adjustments and tax</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6,638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and other postretirement obligations: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expense included in other expense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the net actuarial gain</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4,854</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196"/>
        </w:trPr>
        <w:tc>
          <w:tcPr>
            <w:tcW w:w="6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4,767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expense</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1,463</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6"/>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change in pension and other postretirement obligations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unrealized gain (loss) on derivatives: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net unrealized (loss) gain during the period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(7,567)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expense included in interest expense</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1,840</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0" w:type="dxa"/>
            <w:vAlign w:val="bottom"/>
          </w:tcPr>
          <w:p>
            <w:pPr>
              <w:spacing w:after="0"/>
              <w:rPr>
                <w:sz w:val="1"/>
                <w:szCs w:val="1"/>
                <w:color w:val="auto"/>
              </w:rPr>
            </w:pPr>
          </w:p>
        </w:tc>
      </w:tr>
      <w:tr>
        <w:trPr>
          <w:trHeight w:val="196"/>
        </w:trPr>
        <w:tc>
          <w:tcPr>
            <w:tcW w:w="6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(5,727)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(benefit) expense</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(1,758)</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change in unrealized gain (loss) on derivatives, net of reclassification adjustments and tax</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(3,969)</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5,973</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EARNINGS PER COMMON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available to common stockholders by the weighted-average common shares outstanding during the reporting period. Diluted EPS is computed using the same method as basic EPS, but reflects the potential dilution that would occur if “in the money” stock options were exercised and converted into common stock. In determining the weighted-average shares outstanding for basic and diluted EPS, treasury shares are excluded. Vested restricted stock award (“RSA”) shares are included in the calculation of the weighted-average shares outstanding for basic and diluted EPS. Unvested RSA and performance-based share awards (“PSA”) shares not yet awarded are recognized as a special class of participating securities under ASC 260, and are included in the calculation of the weighted-average shares outstanding for basic and diluted EPS. Basic and diluted EPS on common stock and the basic and diluted EPS on participating securities are the same.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numerators and denominators of basic and diluted EPS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02"/>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19,636</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Dividends paid and earnings allocated to participating securities</w:t>
            </w: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19,322</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including participating securities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43,642,621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38,884,434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weighted-average participating securities</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(693,931)</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42,948,690</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38,255,558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EPS</w:t>
            </w: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42,948,690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38,255,558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equivalent shares outstanding</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and equivalent shares outstanding</w:t>
            </w: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42,948,690</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38,255,558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EPS</w:t>
            </w: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Common and equivalent shares resulting from the dilutive effect of “in-the-money” outstanding stock options are calculated based upon the excess of the average market value of the common stock over the exercise price of outstanding in-the-money stock options during the period.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were 26,995 weighted-average stock options outstanding for the three months ended March 31, 2025 and 2024, which were not considered in the calculation of diluted EPS since their exercise prices exceeded the average market price during the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PREFERRED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Dime Community Bancshares, Inc. has 5,299,200 shares currently outstanding, or $132.5 million in aggregate liquidation preference, of its 5.50% Fixed-Rate Non-Cumulative Perpetual Preferred Stock, Series A, par value $0.01 per share, with a liquidation preference of $25.00 per share (the “Preferred Stock”).</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expects to pay dividends when, as, and if declared by its board of directors, at a fixed rate of 5.50% per annum, payable quarterly, in arrears, on February 15, May 15, August 15 and November 15 of each year. The Preferred Stock is perpetual and has no stated maturity. The Company may redeem the Preferred Stock at its option at a redemption price equal to $25.00 per share, plus any declared and unpaid dividends (without regard to any undeclared dividends), subject to regulatory approval, on or after June 15, 2025, or within 90 days following a regulatory capital treatment event, as described in the prospectus supplement and accompanying prospectus relating to the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major categories of securities as of the dates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10"/>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5"/>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4"/>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7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available-for-sale:</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10,000</w:t>
            </w:r>
          </w:p>
        </w:tc>
        <w:tc>
          <w:tcPr>
            <w:tcW w:w="600" w:type="dxa"/>
            <w:vAlign w:val="bottom"/>
            <w:gridSpan w:val="3"/>
          </w:tcPr>
          <w:p>
            <w:pPr>
              <w:jc w:val="right"/>
              <w:ind w:right="29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6"/>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(297)</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9,703</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80" w:type="dxa"/>
            <w:vAlign w:val="bottom"/>
            <w:shd w:val="clear" w:color="auto" w:fill="CCEEFF"/>
          </w:tcPr>
          <w:p>
            <w:pPr>
              <w:spacing w:after="0"/>
              <w:rPr>
                <w:sz w:val="12"/>
                <w:szCs w:val="12"/>
                <w:color w:val="auto"/>
              </w:rPr>
            </w:pPr>
          </w:p>
        </w:tc>
        <w:tc>
          <w:tcPr>
            <w:tcW w:w="700" w:type="dxa"/>
            <w:vAlign w:val="bottom"/>
            <w:gridSpan w:val="5"/>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185,837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6"/>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(10,295)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(893)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175,536</w:t>
            </w:r>
          </w:p>
        </w:tc>
        <w:tc>
          <w:tcPr>
            <w:tcW w:w="0" w:type="dxa"/>
            <w:vAlign w:val="bottom"/>
          </w:tcPr>
          <w:p>
            <w:pPr>
              <w:spacing w:after="0"/>
              <w:rPr>
                <w:sz w:val="1"/>
                <w:szCs w:val="1"/>
                <w:color w:val="auto"/>
              </w:rPr>
            </w:pPr>
          </w:p>
        </w:tc>
      </w:tr>
      <w:tr>
        <w:trPr>
          <w:trHeight w:val="126"/>
        </w:trPr>
        <w:tc>
          <w:tcPr>
            <w:tcW w:w="42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Pass-through mortgage-backed securities ("MBS") issued by</w:t>
            </w:r>
          </w:p>
        </w:tc>
        <w:tc>
          <w:tcPr>
            <w:tcW w:w="80" w:type="dxa"/>
            <w:vAlign w:val="bottom"/>
          </w:tcPr>
          <w:p>
            <w:pPr>
              <w:spacing w:after="0"/>
              <w:rPr>
                <w:sz w:val="10"/>
                <w:szCs w:val="10"/>
                <w:color w:val="auto"/>
              </w:rPr>
            </w:pPr>
          </w:p>
        </w:tc>
        <w:tc>
          <w:tcPr>
            <w:tcW w:w="700" w:type="dxa"/>
            <w:vAlign w:val="bottom"/>
            <w:gridSpan w:val="5"/>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298,704</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1,961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(1,152)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299,513</w:t>
            </w:r>
          </w:p>
        </w:tc>
        <w:tc>
          <w:tcPr>
            <w:tcW w:w="0" w:type="dxa"/>
            <w:vAlign w:val="bottom"/>
          </w:tcPr>
          <w:p>
            <w:pPr>
              <w:spacing w:after="0"/>
              <w:rPr>
                <w:sz w:val="1"/>
                <w:szCs w:val="1"/>
                <w:color w:val="auto"/>
              </w:rPr>
            </w:pPr>
          </w:p>
        </w:tc>
      </w:tr>
      <w:tr>
        <w:trPr>
          <w:trHeight w:val="171"/>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government sponsored entities ("GSEs")</w:t>
            </w:r>
          </w:p>
        </w:tc>
        <w:tc>
          <w:tcPr>
            <w:tcW w:w="80" w:type="dxa"/>
            <w:vAlign w:val="bottom"/>
          </w:tcPr>
          <w:p>
            <w:pPr>
              <w:spacing w:after="0"/>
              <w:rPr>
                <w:sz w:val="14"/>
                <w:szCs w:val="14"/>
                <w:color w:val="auto"/>
              </w:rPr>
            </w:pPr>
          </w:p>
        </w:tc>
        <w:tc>
          <w:tcPr>
            <w:tcW w:w="7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80" w:type="dxa"/>
            <w:vAlign w:val="bottom"/>
            <w:shd w:val="clear" w:color="auto" w:fill="CCEEFF"/>
          </w:tcPr>
          <w:p>
            <w:pPr>
              <w:spacing w:after="0"/>
              <w:rPr>
                <w:sz w:val="12"/>
                <w:szCs w:val="12"/>
                <w:color w:val="auto"/>
              </w:rPr>
            </w:pPr>
          </w:p>
        </w:tc>
        <w:tc>
          <w:tcPr>
            <w:tcW w:w="700" w:type="dxa"/>
            <w:vAlign w:val="bottom"/>
            <w:gridSpan w:val="5"/>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228,300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6"/>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(25,570)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203,006</w:t>
            </w: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municipal obligations</w:t>
            </w:r>
          </w:p>
        </w:tc>
        <w:tc>
          <w:tcPr>
            <w:tcW w:w="80" w:type="dxa"/>
            <w:vAlign w:val="bottom"/>
          </w:tcPr>
          <w:p>
            <w:pPr>
              <w:spacing w:after="0"/>
              <w:rPr>
                <w:sz w:val="12"/>
                <w:szCs w:val="12"/>
                <w:color w:val="auto"/>
              </w:rPr>
            </w:pPr>
          </w:p>
        </w:tc>
        <w:tc>
          <w:tcPr>
            <w:tcW w:w="70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24,112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6"/>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(1,291)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22,821</w:t>
            </w: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bottom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available-for-sale</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gridSpan w:val="5"/>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746,953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3,124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gridSpan w:val="5"/>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(38,605)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710,579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1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5"/>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5"/>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0" w:type="dxa"/>
            <w:vAlign w:val="bottom"/>
          </w:tcPr>
          <w:p>
            <w:pPr>
              <w:spacing w:after="0"/>
              <w:rPr>
                <w:sz w:val="12"/>
                <w:szCs w:val="12"/>
                <w:color w:val="auto"/>
              </w:rPr>
            </w:pPr>
          </w:p>
        </w:tc>
        <w:tc>
          <w:tcPr>
            <w:tcW w:w="1060" w:type="dxa"/>
            <w:vAlign w:val="bottom"/>
            <w:gridSpan w:val="8"/>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held-to-maturity:</w:t>
            </w: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80" w:type="dxa"/>
            <w:vAlign w:val="bottom"/>
          </w:tcPr>
          <w:p>
            <w:pPr>
              <w:spacing w:after="0"/>
              <w:rPr>
                <w:sz w:val="12"/>
                <w:szCs w:val="12"/>
                <w:color w:val="auto"/>
              </w:rPr>
            </w:pPr>
          </w:p>
        </w:tc>
        <w:tc>
          <w:tcPr>
            <w:tcW w:w="700" w:type="dxa"/>
            <w:vAlign w:val="bottom"/>
            <w:gridSpan w:val="5"/>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90,082</w:t>
            </w:r>
          </w:p>
        </w:tc>
        <w:tc>
          <w:tcPr>
            <w:tcW w:w="380" w:type="dxa"/>
            <w:vAlign w:val="bottom"/>
            <w:gridSpan w:val="4"/>
          </w:tcPr>
          <w:p>
            <w:pPr>
              <w:jc w:val="right"/>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(8,853)</w:t>
            </w:r>
          </w:p>
        </w:tc>
        <w:tc>
          <w:tcPr>
            <w:tcW w:w="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81,229</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(710)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12,490</w:t>
            </w: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295,309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(37,675)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257,733</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232,943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(25,818)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207,334</w:t>
            </w:r>
          </w:p>
        </w:tc>
        <w:tc>
          <w:tcPr>
            <w:tcW w:w="0" w:type="dxa"/>
            <w:vAlign w:val="bottom"/>
          </w:tcPr>
          <w:p>
            <w:pPr>
              <w:spacing w:after="0"/>
              <w:rPr>
                <w:sz w:val="1"/>
                <w:szCs w:val="1"/>
                <w:color w:val="auto"/>
              </w:rPr>
            </w:pPr>
          </w:p>
        </w:tc>
      </w:tr>
      <w:tr>
        <w:trPr>
          <w:trHeight w:val="142"/>
        </w:trPr>
        <w:tc>
          <w:tcPr>
            <w:tcW w:w="42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held-to-maturity</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631,334</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508</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(73,056)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558,786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5"/>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5"/>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6"/>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6"/>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3"/>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available-for-sale:</w:t>
            </w: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80" w:type="dxa"/>
            <w:vAlign w:val="bottom"/>
          </w:tcPr>
          <w:p>
            <w:pPr>
              <w:spacing w:after="0"/>
              <w:rPr>
                <w:sz w:val="12"/>
                <w:szCs w:val="12"/>
                <w:color w:val="auto"/>
              </w:rPr>
            </w:pPr>
          </w:p>
        </w:tc>
        <w:tc>
          <w:tcPr>
            <w:tcW w:w="700" w:type="dxa"/>
            <w:vAlign w:val="bottom"/>
            <w:gridSpan w:val="5"/>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380" w:type="dxa"/>
            <w:vAlign w:val="bottom"/>
            <w:gridSpan w:val="4"/>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9,607</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173,972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(10,778)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163,949</w:t>
            </w:r>
          </w:p>
        </w:tc>
        <w:tc>
          <w:tcPr>
            <w:tcW w:w="0" w:type="dxa"/>
            <w:vAlign w:val="bottom"/>
          </w:tcPr>
          <w:p>
            <w:pPr>
              <w:spacing w:after="0"/>
              <w:rPr>
                <w:sz w:val="1"/>
                <w:szCs w:val="1"/>
                <w:color w:val="auto"/>
              </w:rPr>
            </w:pPr>
          </w:p>
        </w:tc>
      </w:tr>
      <w:tr>
        <w:trPr>
          <w:trHeight w:val="149"/>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303,303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300,221</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220,314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(28,442)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191,888</w:t>
            </w: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municipal obligations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26,545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25,028</w:t>
            </w: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bottom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available-for-sale</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300" w:type="dxa"/>
            <w:vAlign w:val="bottom"/>
            <w:tcBorders>
              <w:top w:val="single" w:sz="8" w:color="auto"/>
              <w:bottom w:val="single" w:sz="8" w:color="auto"/>
            </w:tcBorders>
            <w:gridSpan w:val="2"/>
            <w:shd w:val="clear" w:color="auto" w:fill="CCEEFF"/>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734,134</w:t>
            </w:r>
          </w:p>
        </w:tc>
        <w:tc>
          <w:tcPr>
            <w:tcW w:w="1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20" w:type="dxa"/>
            <w:vAlign w:val="bottom"/>
            <w:tcBorders>
              <w:top w:val="single" w:sz="8" w:color="auto"/>
              <w:bottom w:val="single" w:sz="8" w:color="auto"/>
            </w:tcBorders>
            <w:gridSpan w:val="2"/>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(44,242)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690,693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5"/>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5"/>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6"/>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0" w:type="dxa"/>
            <w:vAlign w:val="bottom"/>
          </w:tcPr>
          <w:p>
            <w:pPr>
              <w:spacing w:after="0"/>
              <w:rPr>
                <w:sz w:val="12"/>
                <w:szCs w:val="12"/>
                <w:color w:val="auto"/>
              </w:rPr>
            </w:pPr>
          </w:p>
        </w:tc>
        <w:tc>
          <w:tcPr>
            <w:tcW w:w="1060" w:type="dxa"/>
            <w:vAlign w:val="bottom"/>
            <w:gridSpan w:val="8"/>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3"/>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held-to-maturity:</w:t>
            </w: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80" w:type="dxa"/>
            <w:vAlign w:val="bottom"/>
          </w:tcPr>
          <w:p>
            <w:pPr>
              <w:spacing w:after="0"/>
              <w:rPr>
                <w:sz w:val="12"/>
                <w:szCs w:val="12"/>
                <w:color w:val="auto"/>
              </w:rPr>
            </w:pPr>
          </w:p>
        </w:tc>
        <w:tc>
          <w:tcPr>
            <w:tcW w:w="700" w:type="dxa"/>
            <w:vAlign w:val="bottom"/>
            <w:gridSpan w:val="5"/>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89,977</w:t>
            </w:r>
          </w:p>
        </w:tc>
        <w:tc>
          <w:tcPr>
            <w:tcW w:w="380" w:type="dxa"/>
            <w:vAlign w:val="bottom"/>
            <w:gridSpan w:val="4"/>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(10,961)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79,016</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12,285</w:t>
            </w: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298,697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(43,716)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254,981</w:t>
            </w:r>
          </w:p>
        </w:tc>
        <w:tc>
          <w:tcPr>
            <w:tcW w:w="0" w:type="dxa"/>
            <w:vAlign w:val="bottom"/>
          </w:tcPr>
          <w:p>
            <w:pPr>
              <w:spacing w:after="0"/>
              <w:rPr>
                <w:sz w:val="1"/>
                <w:szCs w:val="1"/>
                <w:color w:val="auto"/>
              </w:rPr>
            </w:pPr>
          </w:p>
        </w:tc>
      </w:tr>
      <w:tr>
        <w:trPr>
          <w:trHeight w:val="162"/>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Agency CMOs</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235,665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(29,699)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205,995</w:t>
            </w:r>
          </w:p>
        </w:tc>
        <w:tc>
          <w:tcPr>
            <w:tcW w:w="0" w:type="dxa"/>
            <w:vAlign w:val="bottom"/>
          </w:tcPr>
          <w:p>
            <w:pPr>
              <w:spacing w:after="0"/>
              <w:rPr>
                <w:sz w:val="1"/>
                <w:szCs w:val="1"/>
                <w:color w:val="auto"/>
              </w:rPr>
            </w:pPr>
          </w:p>
        </w:tc>
      </w:tr>
      <w:tr>
        <w:trPr>
          <w:trHeight w:val="142"/>
        </w:trPr>
        <w:tc>
          <w:tcPr>
            <w:tcW w:w="42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held-to-maturity</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300" w:type="dxa"/>
            <w:vAlign w:val="bottom"/>
            <w:tcBorders>
              <w:top w:val="single" w:sz="8" w:color="auto"/>
              <w:bottom w:val="single" w:sz="8" w:color="auto"/>
            </w:tcBorders>
            <w:gridSpan w:val="2"/>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637,339</w:t>
            </w:r>
          </w:p>
        </w:tc>
        <w:tc>
          <w:tcPr>
            <w:tcW w:w="160" w:type="dxa"/>
            <w:vAlign w:val="bottom"/>
            <w:gridSpan w:val="2"/>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(85,231)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552,277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months ended March 31, 2025 and 2024.</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carrying value of securities pledged at March 31, 2025 and December 31, 2024 was $677.1 million and $622.7 million,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2025 and December 31, 2024, there were no holdings of securities of any one issuer, other than the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Government and its agencies, in an amount greater than 10% of stockholders' equity.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fair value of securities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0"/>
                <w:szCs w:val="10"/>
                <w:color w:val="auto"/>
              </w:rPr>
            </w:pPr>
          </w:p>
        </w:tc>
        <w:tc>
          <w:tcPr>
            <w:tcW w:w="1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00" w:type="dxa"/>
            <w:vAlign w:val="bottom"/>
          </w:tcPr>
          <w:p>
            <w:pPr>
              <w:spacing w:after="0"/>
              <w:rPr>
                <w:sz w:val="10"/>
                <w:szCs w:val="10"/>
                <w:color w:val="auto"/>
              </w:rPr>
            </w:pPr>
          </w:p>
        </w:tc>
        <w:tc>
          <w:tcPr>
            <w:tcW w:w="800" w:type="dxa"/>
            <w:vAlign w:val="bottom"/>
          </w:tcPr>
          <w:p>
            <w:pPr>
              <w:jc w:val="right"/>
              <w:ind w:right="38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3"/>
        </w:trPr>
        <w:tc>
          <w:tcPr>
            <w:tcW w:w="6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Pr>
          <w:p>
            <w:pPr>
              <w:spacing w:after="0"/>
              <w:rPr>
                <w:sz w:val="15"/>
                <w:szCs w:val="15"/>
                <w:color w:val="auto"/>
              </w:rPr>
            </w:pPr>
          </w:p>
        </w:tc>
        <w:tc>
          <w:tcPr>
            <w:tcW w:w="8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0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8,012</w:t>
            </w:r>
          </w:p>
        </w:tc>
        <w:tc>
          <w:tcPr>
            <w:tcW w:w="220" w:type="dxa"/>
            <w:vAlign w:val="bottom"/>
          </w:tcPr>
          <w:p>
            <w:pPr>
              <w:spacing w:after="0"/>
              <w:rPr>
                <w:sz w:val="12"/>
                <w:szCs w:val="12"/>
                <w:color w:val="auto"/>
              </w:rPr>
            </w:pPr>
          </w:p>
        </w:tc>
        <w:tc>
          <w:tcPr>
            <w:tcW w:w="40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7,909</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57,629</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53,734</w:t>
            </w: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149,415</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142,407</w:t>
            </w: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4,010</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 and agency CMOs</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527,004</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502,519</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746,060</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710,579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Held-to-maturity</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19,841</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18,893</w:t>
            </w: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83,241</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74,826</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 and agency CMOs</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528,252</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465,067</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631,334</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558,786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sales of securities available-for-sale or held-to-maturity during the three months ended March 31, 2025 and 2024,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gross unrealized losses and fair value of securities available-for-sale aggregated by investment category and the length of time the securities were in a continuous unrealized loss position as of the dates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r>
      <w:tr>
        <w:trPr>
          <w:trHeight w:val="215"/>
        </w:trPr>
        <w:tc>
          <w:tcPr>
            <w:tcW w:w="35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r>
      <w:tr>
        <w:trPr>
          <w:trHeight w:val="199"/>
        </w:trPr>
        <w:tc>
          <w:tcPr>
            <w:tcW w:w="3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9,703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9,703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21,875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126,654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10,170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148,529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10,295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44,456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50,423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1,152</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7,705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151,713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25,566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159,418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25,570</w:t>
            </w: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19,336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22,821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1,291</w:t>
            </w:r>
          </w:p>
        </w:tc>
        <w:tc>
          <w:tcPr>
            <w:tcW w:w="20" w:type="dxa"/>
            <w:vAlign w:val="bottom"/>
          </w:tcPr>
          <w:p>
            <w:pPr>
              <w:spacing w:after="0"/>
              <w:rPr>
                <w:sz w:val="18"/>
                <w:szCs w:val="18"/>
                <w:color w:val="auto"/>
              </w:rPr>
            </w:pPr>
          </w:p>
        </w:tc>
      </w:tr>
      <w:tr>
        <w:trPr>
          <w:trHeight w:val="41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Borders>
              <w:top w:val="single" w:sz="8" w:color="auto"/>
            </w:tcBorders>
          </w:tcPr>
          <w:p>
            <w:pPr>
              <w:spacing w:after="0"/>
              <w:rPr>
                <w:sz w:val="16"/>
                <w:szCs w:val="16"/>
                <w:color w:val="auto"/>
              </w:rPr>
            </w:pPr>
          </w:p>
        </w:tc>
      </w:tr>
      <w:tr>
        <w:trPr>
          <w:trHeight w:val="212"/>
        </w:trPr>
        <w:tc>
          <w:tcPr>
            <w:tcW w:w="35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144,049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10,778</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289,095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186,871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28,442</w:t>
            </w:r>
          </w:p>
        </w:tc>
        <w:tc>
          <w:tcPr>
            <w:tcW w:w="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March 31, 2025, the Company recognized a provision for credit losses of $893 thousand on an available-for-sale corporate security due to the issuer’s non-compliance with certain financial covenants, which was considered a credit deterioration event. Given the high-quality composition of the Company’s held-to-maturity portfolio, the Company did not record an allowance for credit losses on the held-to-maturity portfolio. With respect to certain classes of debt securities, primarily U.S. Treasuries and securities issued by Government Sponsored Entities,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Accrued interest receivable on securities totaling $4.1 million and $5.7 million at March 31, 2025 and December 31, 2024, respectively, was included in other assets in the Consolidated Statements of Financial Condition and excluded from the amortized cost and estimated fair value totals in the table above.</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evaluates available-for-sale debt securities in unrealized loss positions to determine whether the impairment is due to credit-related factors or noncredit-related factors. Consideration is given to (1) the extent to which the fair value is less than amortized cost, (2) the financial condition and near-term prospects of the issuer, and (3) the intent and ability of the Company to retain its investment in the security for a period of time sufficient to allow for any anticipated recovery in fair value.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March 31, 2025, substantially all of the securities in an unrealized loss position had a fixed interest rate and the cause of the temporary impairment was directly related to changes in interest rates. The Company generally views changes in fair value caused by changes in interest rates as temporary, which is consistent with its experience. The following major security types held by the Company are all issued by U.S. government entities and agencies and therefore either explicitly or implicitly guaranteed by the U.S. government: Agency Notes, Treasury Securities, Pass-through MBS issued by GSEs, Agency Collateralized Mortgage Obligations. None of the unrealized losses are related to credit quality of the issuer. A majority of the state and municipal obligations within the portfolio have all maintained an investment grade rating by either Moody’s or Standard and Poor’s. The Company does not have the intent to sell these securities and it is more likely than not that it will not be required to sell the securities before their anticipated recovery. The issuers continue to make timely principal and interest payments on the debt. The fair value is expected to recover as the securities approach maturity.</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allowance for credit losses for corporate securities available-for-sale for the three months ended March 31, 2025 and 2024:</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Pr>
          <w:p>
            <w:pPr>
              <w:spacing w:after="0"/>
              <w:rPr>
                <w:sz w:val="17"/>
                <w:szCs w:val="17"/>
                <w:color w:val="auto"/>
              </w:rPr>
            </w:pPr>
          </w:p>
        </w:tc>
        <w:tc>
          <w:tcPr>
            <w:tcW w:w="12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LOANS HELD FOR INVESTMENT,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loan categories for the period ended as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5"/>
                <w:szCs w:val="15"/>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61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6"/>
                <w:szCs w:val="16"/>
                <w:color w:val="auto"/>
                <w:vertAlign w:val="superscript"/>
              </w:rPr>
              <w:t>(1)</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2,788,201</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2,725,726</w:t>
            </w:r>
          </w:p>
        </w:tc>
      </w:tr>
      <w:tr>
        <w:trPr>
          <w:trHeight w:val="148"/>
        </w:trPr>
        <w:tc>
          <w:tcPr>
            <w:tcW w:w="6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961,069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951,528</w:t>
            </w:r>
          </w:p>
        </w:tc>
      </w:tr>
      <w:tr>
        <w:trPr>
          <w:trHeight w:val="149"/>
        </w:trPr>
        <w:tc>
          <w:tcPr>
            <w:tcW w:w="632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3,779,923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3,820,283</w:t>
            </w:r>
          </w:p>
        </w:tc>
      </w:tr>
      <w:tr>
        <w:trPr>
          <w:trHeight w:val="148"/>
        </w:trPr>
        <w:tc>
          <w:tcPr>
            <w:tcW w:w="6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3,190,898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3,230,535</w:t>
            </w:r>
          </w:p>
        </w:tc>
      </w:tr>
      <w:tr>
        <w:trPr>
          <w:trHeight w:val="148"/>
        </w:trPr>
        <w:tc>
          <w:tcPr>
            <w:tcW w:w="632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Acquisition, development, and construction ("ADC")</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140,309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136,172</w:t>
            </w:r>
          </w:p>
        </w:tc>
      </w:tr>
      <w:tr>
        <w:trPr>
          <w:trHeight w:val="148"/>
        </w:trPr>
        <w:tc>
          <w:tcPr>
            <w:tcW w:w="632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6,402</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w:t>
            </w:r>
          </w:p>
        </w:tc>
      </w:tr>
      <w:tr>
        <w:trPr>
          <w:trHeight w:val="142"/>
        </w:trPr>
        <w:tc>
          <w:tcPr>
            <w:tcW w:w="63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10,866,802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10,869,328</w:t>
            </w:r>
          </w:p>
        </w:tc>
      </w:tr>
      <w:tr>
        <w:trPr>
          <w:trHeight w:val="148"/>
        </w:trPr>
        <w:tc>
          <w:tcPr>
            <w:tcW w:w="632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Fair value hedge basis point adjustments </w:t>
            </w:r>
            <w:r>
              <w:rPr>
                <w:rFonts w:ascii="Times New Roman" w:cs="Times New Roman" w:eastAsia="Times New Roman" w:hAnsi="Times New Roman"/>
                <w:sz w:val="17"/>
                <w:szCs w:val="17"/>
                <w:color w:val="auto"/>
                <w:vertAlign w:val="superscript"/>
              </w:rPr>
              <w:t>(2)</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1,933</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w:t>
            </w:r>
          </w:p>
        </w:tc>
      </w:tr>
      <w:tr>
        <w:trPr>
          <w:trHeight w:val="142"/>
        </w:trPr>
        <w:tc>
          <w:tcPr>
            <w:tcW w:w="63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loans, net of fair value hedge basis point adjustments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10,868,735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10,871,943</w:t>
            </w:r>
          </w:p>
        </w:tc>
      </w:tr>
      <w:tr>
        <w:trPr>
          <w:trHeight w:val="148"/>
        </w:trPr>
        <w:tc>
          <w:tcPr>
            <w:tcW w:w="6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80" w:type="dxa"/>
            <w:vAlign w:val="bottom"/>
          </w:tcPr>
          <w:p>
            <w:pPr>
              <w:spacing w:after="0"/>
              <w:rPr>
                <w:sz w:val="12"/>
                <w:szCs w:val="12"/>
                <w:color w:val="auto"/>
              </w:rPr>
            </w:pPr>
          </w:p>
        </w:tc>
        <w:tc>
          <w:tcPr>
            <w:tcW w:w="12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(90,455)</w:t>
            </w: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(88,751)</w:t>
            </w:r>
          </w:p>
        </w:tc>
      </w:tr>
      <w:tr>
        <w:trPr>
          <w:trHeight w:val="142"/>
        </w:trPr>
        <w:tc>
          <w:tcPr>
            <w:tcW w:w="6320" w:type="dxa"/>
            <w:vAlign w:val="bottom"/>
            <w:tcBorders>
              <w:top w:val="single" w:sz="8" w:color="CCEEFF"/>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Loans held for investment,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10,778,280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10,783,192</w:t>
            </w:r>
          </w:p>
        </w:tc>
      </w:tr>
      <w:tr>
        <w:trPr>
          <w:trHeight w:val="20"/>
        </w:trPr>
        <w:tc>
          <w:tcPr>
            <w:tcW w:w="2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81" w:lineRule="exact"/>
        <w:rPr>
          <w:sz w:val="20"/>
          <w:szCs w:val="20"/>
          <w:color w:val="auto"/>
        </w:rPr>
      </w:pPr>
    </w:p>
    <w:p>
      <w:pPr>
        <w:ind w:left="380" w:right="79" w:hanging="330"/>
        <w:spacing w:after="0" w:line="215"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Business loans include commercial and industrial loans (“C&amp;I loans”), owner-occupied commercial real estate loans and SBA Paycheck Protection Program (“PPP”) loans.</w:t>
      </w:r>
    </w:p>
    <w:p>
      <w:pPr>
        <w:ind w:left="380" w:right="79" w:hanging="330"/>
        <w:spacing w:after="0" w:line="211"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9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data regarding the allowance for credit losses activity on loans held for investment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740"/>
              <w:spacing w:after="0"/>
              <w:rPr>
                <w:sz w:val="20"/>
                <w:szCs w:val="20"/>
                <w:color w:val="auto"/>
              </w:rPr>
            </w:pPr>
            <w:r>
              <w:rPr>
                <w:rFonts w:ascii="Times New Roman" w:cs="Times New Roman" w:eastAsia="Times New Roman" w:hAnsi="Times New Roman"/>
                <w:sz w:val="14"/>
                <w:szCs w:val="14"/>
                <w:b w:val="1"/>
                <w:bCs w:val="1"/>
                <w:color w:val="auto"/>
              </w:rPr>
              <w:t>At or for the Three Months Ended March 31, 2025</w:t>
            </w: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5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Cooperative/</w:t>
            </w:r>
          </w:p>
        </w:tc>
        <w:tc>
          <w:tcPr>
            <w:tcW w:w="18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gridSpan w:val="2"/>
            <w:vMerge w:val="continue"/>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Condominium</w:t>
            </w: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ADC</w:t>
            </w: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60" w:type="dxa"/>
            <w:vAlign w:val="bottom"/>
            <w:gridSpan w:val="2"/>
            <w:vMerge w:val="continue"/>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20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$ 42,898</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9,501</w:t>
            </w:r>
          </w:p>
        </w:tc>
        <w:tc>
          <w:tcPr>
            <w:tcW w:w="1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11,946</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21,876</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2,323</w:t>
            </w: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$ 207</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88,751</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1,141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6,281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8,762</w:t>
            </w:r>
          </w:p>
        </w:tc>
        <w:tc>
          <w:tcPr>
            <w:tcW w:w="0" w:type="dxa"/>
            <w:vAlign w:val="bottom"/>
          </w:tcPr>
          <w:p>
            <w:pPr>
              <w:spacing w:after="0"/>
              <w:rPr>
                <w:sz w:val="1"/>
                <w:szCs w:val="1"/>
                <w:color w:val="auto"/>
              </w:rPr>
            </w:pPr>
          </w:p>
        </w:tc>
      </w:tr>
      <w:tr>
        <w:trPr>
          <w:trHeight w:val="148"/>
        </w:trPr>
        <w:tc>
          <w:tcPr>
            <w:tcW w:w="2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(176)</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(44)</w:t>
            </w:r>
          </w:p>
        </w:tc>
        <w:tc>
          <w:tcPr>
            <w:tcW w:w="1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(7,082)</w:t>
            </w: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(7,337)</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279</w:t>
            </w:r>
          </w:p>
        </w:tc>
        <w:tc>
          <w:tcPr>
            <w:tcW w:w="0" w:type="dxa"/>
            <w:vAlign w:val="bottom"/>
          </w:tcPr>
          <w:p>
            <w:pPr>
              <w:spacing w:after="0"/>
              <w:rPr>
                <w:sz w:val="1"/>
                <w:szCs w:val="1"/>
                <w:color w:val="auto"/>
              </w:rPr>
            </w:pPr>
          </w:p>
        </w:tc>
      </w:tr>
      <w:tr>
        <w:trPr>
          <w:trHeight w:val="142"/>
        </w:trPr>
        <w:tc>
          <w:tcPr>
            <w:tcW w:w="2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$ 43,915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9,745</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13,087</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21,075</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2,360</w:t>
            </w:r>
          </w:p>
        </w:tc>
        <w:tc>
          <w:tcPr>
            <w:tcW w:w="1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$ 273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90,455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1"/>
          </w:tcPr>
          <w:p>
            <w:pPr>
              <w:ind w:left="740"/>
              <w:spacing w:after="0"/>
              <w:rPr>
                <w:sz w:val="20"/>
                <w:szCs w:val="20"/>
                <w:color w:val="auto"/>
              </w:rPr>
            </w:pPr>
            <w:r>
              <w:rPr>
                <w:rFonts w:ascii="Times New Roman" w:cs="Times New Roman" w:eastAsia="Times New Roman" w:hAnsi="Times New Roman"/>
                <w:sz w:val="14"/>
                <w:szCs w:val="14"/>
                <w:b w:val="1"/>
                <w:bCs w:val="1"/>
                <w:color w:val="auto"/>
              </w:rPr>
              <w:t>At or for the Three Months Ended March 31, 2024</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5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Cooperative/</w:t>
            </w:r>
          </w:p>
        </w:tc>
        <w:tc>
          <w:tcPr>
            <w:tcW w:w="18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gridSpan w:val="2"/>
            <w:vMerge w:val="continue"/>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Condominium</w:t>
            </w: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ADC</w:t>
            </w: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60" w:type="dxa"/>
            <w:vAlign w:val="bottom"/>
            <w:gridSpan w:val="2"/>
            <w:vMerge w:val="continue"/>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20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$ 35,962</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6,813</w:t>
            </w:r>
          </w:p>
        </w:tc>
        <w:tc>
          <w:tcPr>
            <w:tcW w:w="1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7,237</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19,623</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1,989</w:t>
            </w: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$ 119</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71,743</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0" w:type="dxa"/>
            <w:vAlign w:val="bottom"/>
          </w:tcPr>
          <w:p>
            <w:pPr>
              <w:spacing w:after="0"/>
              <w:rPr>
                <w:sz w:val="1"/>
                <w:szCs w:val="1"/>
                <w:color w:val="auto"/>
              </w:rPr>
            </w:pPr>
          </w:p>
        </w:tc>
      </w:tr>
      <w:tr>
        <w:trPr>
          <w:trHeight w:val="148"/>
        </w:trPr>
        <w:tc>
          <w:tcPr>
            <w:tcW w:w="2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42"/>
        </w:trPr>
        <w:tc>
          <w:tcPr>
            <w:tcW w:w="2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$ 35,981</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6,973</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11,171</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19,445</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2,322</w:t>
            </w:r>
          </w:p>
        </w:tc>
        <w:tc>
          <w:tcPr>
            <w:tcW w:w="1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$ 176</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76,068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loans on non-accrual status as of the periods indicated: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183"/>
        </w:trPr>
        <w:tc>
          <w:tcPr>
            <w:tcW w:w="5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Related</w:t>
            </w:r>
          </w:p>
        </w:tc>
      </w:tr>
      <w:tr>
        <w:trPr>
          <w:trHeight w:val="215"/>
        </w:trPr>
        <w:tc>
          <w:tcPr>
            <w:tcW w:w="5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No Allowance</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19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loans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3,624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18,320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16,297</w:t>
            </w: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One-to-four family residential and cooperative/condominium apartment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w:t>
            </w: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31,662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w:t>
            </w:r>
          </w:p>
        </w:tc>
      </w:tr>
      <w:tr>
        <w:trPr>
          <w:trHeight w:val="203"/>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ADC</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657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261</w:t>
            </w:r>
          </w:p>
        </w:tc>
      </w:tr>
      <w:tr>
        <w:trPr>
          <w:trHeight w:val="196"/>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35,286</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22,755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16,610</w:t>
            </w: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07"/>
        </w:trPr>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6"/>
        </w:trPr>
        <w:tc>
          <w:tcPr>
            <w:tcW w:w="5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100" w:type="dxa"/>
            <w:vAlign w:val="bottom"/>
          </w:tcPr>
          <w:p>
            <w:pPr>
              <w:spacing w:after="0"/>
              <w:rPr>
                <w:sz w:val="16"/>
                <w:szCs w:val="16"/>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80" w:type="dxa"/>
            <w:vAlign w:val="bottom"/>
          </w:tcPr>
          <w:p>
            <w:pPr>
              <w:spacing w:after="0"/>
              <w:rPr>
                <w:sz w:val="16"/>
                <w:szCs w:val="16"/>
                <w:color w:val="auto"/>
              </w:rPr>
            </w:pPr>
          </w:p>
        </w:tc>
      </w:tr>
      <w:tr>
        <w:trPr>
          <w:trHeight w:val="21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No Allowance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199"/>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loans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w:t>
            </w:r>
          </w:p>
        </w:tc>
        <w:tc>
          <w:tcPr>
            <w:tcW w:w="80" w:type="dxa"/>
            <w:vAlign w:val="bottom"/>
          </w:tcPr>
          <w:p>
            <w:pPr>
              <w:spacing w:after="0"/>
              <w:rPr>
                <w:sz w:val="17"/>
                <w:szCs w:val="17"/>
                <w:color w:val="auto"/>
              </w:rPr>
            </w:pP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One-to-four family residential and cooperative/condominium apartment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tcPr>
          <w:p>
            <w:pPr>
              <w:spacing w:after="0"/>
              <w:rPr>
                <w:sz w:val="17"/>
                <w:szCs w:val="17"/>
                <w:color w:val="auto"/>
              </w:rPr>
            </w:pP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ADC</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7"/>
                <w:szCs w:val="17"/>
                <w:color w:val="auto"/>
              </w:rPr>
            </w:pP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loans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16,585</w:t>
            </w:r>
          </w:p>
        </w:tc>
        <w:tc>
          <w:tcPr>
            <w:tcW w:w="8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60"/>
        <w:spacing w:after="0" w:line="282" w:lineRule="auto"/>
        <w:rPr>
          <w:sz w:val="20"/>
          <w:szCs w:val="20"/>
          <w:color w:val="auto"/>
        </w:rPr>
      </w:pPr>
      <w:r>
        <w:rPr>
          <w:rFonts w:ascii="Times New Roman" w:cs="Times New Roman" w:eastAsia="Times New Roman" w:hAnsi="Times New Roman"/>
          <w:sz w:val="18"/>
          <w:szCs w:val="18"/>
          <w:color w:val="auto"/>
        </w:rPr>
        <w:t>The Company did not recognize interest income on non-accrual loans held for investment during the three months ended March 31, 2025 and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past due status of the Company’s investment in loans as of the dates indicated:</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Loans 90</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Days or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30 to 59</w:t>
            </w:r>
          </w:p>
        </w:tc>
        <w:tc>
          <w:tcPr>
            <w:tcW w:w="6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60 to 89</w:t>
            </w:r>
          </w:p>
        </w:tc>
        <w:tc>
          <w:tcPr>
            <w:tcW w:w="8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More Past Due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2"/>
                <w:szCs w:val="12"/>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and Still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640" w:type="dxa"/>
            <w:vAlign w:val="bottom"/>
            <w:gridSpan w:val="2"/>
            <w:vMerge w:val="continue"/>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Accruing Interest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Loans</w:t>
            </w:r>
          </w:p>
        </w:tc>
        <w:tc>
          <w:tcPr>
            <w:tcW w:w="0" w:type="dxa"/>
            <w:vAlign w:val="bottom"/>
          </w:tcPr>
          <w:p>
            <w:pPr>
              <w:spacing w:after="0"/>
              <w:rPr>
                <w:sz w:val="1"/>
                <w:szCs w:val="1"/>
                <w:color w:val="auto"/>
              </w:rPr>
            </w:pPr>
          </w:p>
        </w:tc>
      </w:tr>
      <w:tr>
        <w:trPr>
          <w:trHeight w:val="142"/>
        </w:trPr>
        <w:tc>
          <w:tcPr>
            <w:tcW w:w="25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6,287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21,944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28,382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2,759,819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2,788,201</w:t>
            </w:r>
          </w:p>
        </w:tc>
        <w:tc>
          <w:tcPr>
            <w:tcW w:w="0" w:type="dxa"/>
            <w:vAlign w:val="bottom"/>
          </w:tcPr>
          <w:p>
            <w:pPr>
              <w:spacing w:after="0"/>
              <w:rPr>
                <w:sz w:val="1"/>
                <w:szCs w:val="1"/>
                <w:color w:val="auto"/>
              </w:rPr>
            </w:pPr>
          </w:p>
        </w:tc>
      </w:tr>
      <w:tr>
        <w:trPr>
          <w:trHeight w:val="126"/>
        </w:trPr>
        <w:tc>
          <w:tcPr>
            <w:tcW w:w="26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including</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7,406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494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3,763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11,663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949,406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961,069</w:t>
            </w:r>
          </w:p>
        </w:tc>
        <w:tc>
          <w:tcPr>
            <w:tcW w:w="0" w:type="dxa"/>
            <w:vAlign w:val="bottom"/>
          </w:tcPr>
          <w:p>
            <w:pPr>
              <w:spacing w:after="0"/>
              <w:rPr>
                <w:sz w:val="1"/>
                <w:szCs w:val="1"/>
                <w:color w:val="auto"/>
              </w:rPr>
            </w:pPr>
          </w:p>
        </w:tc>
      </w:tr>
      <w:tr>
        <w:trPr>
          <w:trHeight w:val="17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condominium and cooperative apartment</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31,357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31,357</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3,748,566</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3,779,923</w:t>
            </w:r>
          </w:p>
        </w:tc>
        <w:tc>
          <w:tcPr>
            <w:tcW w:w="0" w:type="dxa"/>
            <w:vAlign w:val="bottom"/>
          </w:tcPr>
          <w:p>
            <w:pPr>
              <w:spacing w:after="0"/>
              <w:rPr>
                <w:sz w:val="1"/>
                <w:szCs w:val="1"/>
                <w:color w:val="auto"/>
              </w:rPr>
            </w:pPr>
          </w:p>
        </w:tc>
      </w:tr>
      <w:tr>
        <w:trPr>
          <w:trHeight w:val="171"/>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mixed-use</w:t>
            </w: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Non-owner-occupied commercial real</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927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1,867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31,677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34,471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3,156,427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3,190,898</w:t>
            </w:r>
          </w:p>
        </w:tc>
        <w:tc>
          <w:tcPr>
            <w:tcW w:w="0" w:type="dxa"/>
            <w:vAlign w:val="bottom"/>
          </w:tcPr>
          <w:p>
            <w:pPr>
              <w:spacing w:after="0"/>
              <w:rPr>
                <w:sz w:val="1"/>
                <w:szCs w:val="1"/>
                <w:color w:val="auto"/>
              </w:rPr>
            </w:pPr>
          </w:p>
        </w:tc>
      </w:tr>
      <w:tr>
        <w:trPr>
          <w:trHeight w:val="17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estate</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139,652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140,309</w:t>
            </w:r>
          </w:p>
        </w:tc>
        <w:tc>
          <w:tcPr>
            <w:tcW w:w="0" w:type="dxa"/>
            <w:vAlign w:val="bottom"/>
          </w:tcPr>
          <w:p>
            <w:pPr>
              <w:spacing w:after="0"/>
              <w:rPr>
                <w:sz w:val="1"/>
                <w:szCs w:val="1"/>
                <w:color w:val="auto"/>
              </w:rPr>
            </w:pPr>
          </w:p>
        </w:tc>
      </w:tr>
      <w:tr>
        <w:trPr>
          <w:trHeight w:val="148"/>
        </w:trPr>
        <w:tc>
          <w:tcPr>
            <w:tcW w:w="2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12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6,402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6,402</w:t>
            </w: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45,977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2,512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58,041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106,530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10,760,272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10,866,802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3"/>
                <w:szCs w:val="13"/>
                <w:b w:val="1"/>
                <w:bCs w:val="1"/>
                <w:color w:val="auto"/>
              </w:rPr>
              <w:t>Loans 90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Days or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30 to 59</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60 to 89</w:t>
            </w:r>
          </w:p>
        </w:tc>
        <w:tc>
          <w:tcPr>
            <w:tcW w:w="80" w:type="dxa"/>
            <w:vAlign w:val="bottom"/>
          </w:tcPr>
          <w:p>
            <w:pPr>
              <w:spacing w:after="0"/>
              <w:rPr>
                <w:sz w:val="12"/>
                <w:szCs w:val="12"/>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More Past Due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2"/>
                <w:szCs w:val="12"/>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2"/>
                <w:szCs w:val="12"/>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and Still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600" w:type="dxa"/>
            <w:vAlign w:val="bottom"/>
            <w:gridSpan w:val="2"/>
            <w:vMerge w:val="continue"/>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Accruing Interest</w:t>
            </w:r>
          </w:p>
        </w:tc>
        <w:tc>
          <w:tcPr>
            <w:tcW w:w="1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Loans</w:t>
            </w:r>
          </w:p>
        </w:tc>
        <w:tc>
          <w:tcPr>
            <w:tcW w:w="0" w:type="dxa"/>
            <w:vAlign w:val="bottom"/>
          </w:tcPr>
          <w:p>
            <w:pPr>
              <w:spacing w:after="0"/>
              <w:rPr>
                <w:sz w:val="1"/>
                <w:szCs w:val="1"/>
                <w:color w:val="auto"/>
              </w:rPr>
            </w:pPr>
          </w:p>
        </w:tc>
      </w:tr>
      <w:tr>
        <w:trPr>
          <w:trHeight w:val="142"/>
        </w:trPr>
        <w:tc>
          <w:tcPr>
            <w:tcW w:w="24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28,450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2,697,276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2,725,726</w:t>
            </w:r>
          </w:p>
        </w:tc>
        <w:tc>
          <w:tcPr>
            <w:tcW w:w="0" w:type="dxa"/>
            <w:vAlign w:val="bottom"/>
          </w:tcPr>
          <w:p>
            <w:pPr>
              <w:spacing w:after="0"/>
              <w:rPr>
                <w:sz w:val="1"/>
                <w:szCs w:val="1"/>
                <w:color w:val="auto"/>
              </w:rPr>
            </w:pPr>
          </w:p>
        </w:tc>
      </w:tr>
      <w:tr>
        <w:trPr>
          <w:trHeight w:val="126"/>
        </w:trPr>
        <w:tc>
          <w:tcPr>
            <w:tcW w:w="26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including</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945,125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951,528</w:t>
            </w:r>
          </w:p>
        </w:tc>
        <w:tc>
          <w:tcPr>
            <w:tcW w:w="0" w:type="dxa"/>
            <w:vAlign w:val="bottom"/>
          </w:tcPr>
          <w:p>
            <w:pPr>
              <w:spacing w:after="0"/>
              <w:rPr>
                <w:sz w:val="1"/>
                <w:szCs w:val="1"/>
                <w:color w:val="auto"/>
              </w:rPr>
            </w:pPr>
          </w:p>
        </w:tc>
      </w:tr>
      <w:tr>
        <w:trPr>
          <w:trHeight w:val="171"/>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condominium and cooperative apartment</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3,788,923</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3,820,283</w:t>
            </w:r>
          </w:p>
        </w:tc>
        <w:tc>
          <w:tcPr>
            <w:tcW w:w="0" w:type="dxa"/>
            <w:vAlign w:val="bottom"/>
          </w:tcPr>
          <w:p>
            <w:pPr>
              <w:spacing w:after="0"/>
              <w:rPr>
                <w:sz w:val="1"/>
                <w:szCs w:val="1"/>
                <w:color w:val="auto"/>
              </w:rPr>
            </w:pPr>
          </w:p>
        </w:tc>
      </w:tr>
      <w:tr>
        <w:trPr>
          <w:trHeight w:val="17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mixed-use</w:t>
            </w: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Non-owner-occupied commercial real</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22,960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3,206,310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3,230,535</w:t>
            </w:r>
          </w:p>
        </w:tc>
        <w:tc>
          <w:tcPr>
            <w:tcW w:w="0" w:type="dxa"/>
            <w:vAlign w:val="bottom"/>
          </w:tcPr>
          <w:p>
            <w:pPr>
              <w:spacing w:after="0"/>
              <w:rPr>
                <w:sz w:val="1"/>
                <w:szCs w:val="1"/>
                <w:color w:val="auto"/>
              </w:rPr>
            </w:pPr>
          </w:p>
        </w:tc>
      </w:tr>
      <w:tr>
        <w:trPr>
          <w:trHeight w:val="171"/>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estate</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136,172</w:t>
            </w:r>
          </w:p>
        </w:tc>
        <w:tc>
          <w:tcPr>
            <w:tcW w:w="0" w:type="dxa"/>
            <w:vAlign w:val="bottom"/>
          </w:tcPr>
          <w:p>
            <w:pPr>
              <w:spacing w:after="0"/>
              <w:rPr>
                <w:sz w:val="1"/>
                <w:szCs w:val="1"/>
                <w:color w:val="auto"/>
              </w:rPr>
            </w:pPr>
          </w:p>
        </w:tc>
      </w:tr>
      <w:tr>
        <w:trPr>
          <w:trHeight w:val="148"/>
        </w:trPr>
        <w:tc>
          <w:tcPr>
            <w:tcW w:w="2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w:t>
            </w: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31,313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49,479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91,122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10,778,206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10,869,328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accruing loans 90 days or more past due at March 31, 2025 or at December 31, 2024.</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Collateral Dependent Loans:</w:t>
      </w:r>
    </w:p>
    <w:p>
      <w:pPr>
        <w:spacing w:after="0" w:line="227"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The Company had collateral dependent loans which were individually evaluated to determine expected credit losses as of the dates indicated: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2540" w:type="dxa"/>
            <w:vAlign w:val="bottom"/>
            <w:gridSpan w:val="4"/>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Associated</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Associated</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73"/>
        </w:trPr>
        <w:tc>
          <w:tcPr>
            <w:tcW w:w="3320" w:type="dxa"/>
            <w:vAlign w:val="bottom"/>
            <w:gridSpan w:val="2"/>
            <w:vMerge w:val="continue"/>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80" w:type="dxa"/>
            <w:vAlign w:val="bottom"/>
          </w:tcPr>
          <w:p>
            <w:pPr>
              <w:spacing w:after="0"/>
              <w:rPr>
                <w:sz w:val="15"/>
                <w:szCs w:val="15"/>
                <w:color w:val="auto"/>
              </w:rPr>
            </w:pPr>
          </w:p>
        </w:tc>
        <w:tc>
          <w:tcPr>
            <w:tcW w:w="11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0" w:type="dxa"/>
            <w:vAlign w:val="bottom"/>
          </w:tcPr>
          <w:p>
            <w:pPr>
              <w:spacing w:after="0"/>
              <w:rPr>
                <w:sz w:val="1"/>
                <w:szCs w:val="1"/>
                <w:color w:val="auto"/>
              </w:rPr>
            </w:pPr>
          </w:p>
        </w:tc>
      </w:tr>
      <w:tr>
        <w:trPr>
          <w:trHeight w:val="142"/>
        </w:trPr>
        <w:tc>
          <w:tcPr>
            <w:tcW w:w="32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9,032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1,452</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9,290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8"/>
        </w:trPr>
        <w:tc>
          <w:tcPr>
            <w:tcW w:w="3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31,662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261</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42"/>
        </w:trPr>
        <w:tc>
          <w:tcPr>
            <w:tcW w:w="33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41,351</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1,713</w:t>
            </w: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32,891</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Loan Restructurings</w:t>
      </w:r>
    </w:p>
    <w:p>
      <w:pPr>
        <w:spacing w:after="0" w:line="229" w:lineRule="exact"/>
        <w:rPr>
          <w:sz w:val="20"/>
          <w:szCs w:val="20"/>
          <w:color w:val="auto"/>
        </w:rPr>
      </w:pPr>
    </w:p>
    <w:p>
      <w:pPr>
        <w:jc w:val="both"/>
        <w:ind w:left="60" w:right="60"/>
        <w:spacing w:after="0" w:line="256" w:lineRule="auto"/>
        <w:rPr>
          <w:sz w:val="20"/>
          <w:szCs w:val="20"/>
          <w:color w:val="auto"/>
        </w:rPr>
      </w:pPr>
      <w:r>
        <w:rPr>
          <w:rFonts w:ascii="Times New Roman" w:cs="Times New Roman" w:eastAsia="Times New Roman" w:hAnsi="Times New Roman"/>
          <w:sz w:val="18"/>
          <w:szCs w:val="18"/>
          <w:color w:val="auto"/>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7" w:lineRule="exact"/>
        <w:rPr>
          <w:sz w:val="20"/>
          <w:szCs w:val="20"/>
          <w:color w:val="auto"/>
        </w:rPr>
      </w:pPr>
    </w:p>
    <w:p>
      <w:pPr>
        <w:jc w:val="both"/>
        <w:ind w:left="60" w:right="60"/>
        <w:spacing w:after="0" w:line="282" w:lineRule="auto"/>
        <w:rPr>
          <w:sz w:val="20"/>
          <w:szCs w:val="20"/>
          <w:color w:val="auto"/>
        </w:rPr>
      </w:pPr>
      <w:r>
        <w:rPr>
          <w:rFonts w:ascii="Times New Roman" w:cs="Times New Roman" w:eastAsia="Times New Roman" w:hAnsi="Times New Roman"/>
          <w:sz w:val="18"/>
          <w:szCs w:val="18"/>
          <w:color w:val="auto"/>
        </w:rPr>
        <w:t>The following tables show the amortized cost basis as of March 31, 2025 and 2024 of the loans modified to borrowers experiencing financial difficulty, disaggregated by loan category and type of concession granted: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9"/>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8"/>
              </w:rPr>
              <w:t>For the Three Months Ended March 31, 2025</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08"/>
        </w:trPr>
        <w:tc>
          <w:tcPr>
            <w:tcW w:w="2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1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10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Term</w:t>
            </w:r>
          </w:p>
        </w:tc>
        <w:tc>
          <w:tcPr>
            <w:tcW w:w="80" w:type="dxa"/>
            <w:vAlign w:val="bottom"/>
          </w:tcPr>
          <w:p>
            <w:pPr>
              <w:spacing w:after="0"/>
              <w:rPr>
                <w:sz w:val="11"/>
                <w:szCs w:val="11"/>
                <w:color w:val="auto"/>
              </w:rPr>
            </w:pPr>
          </w:p>
        </w:tc>
        <w:tc>
          <w:tcPr>
            <w:tcW w:w="6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8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6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Extension</w:t>
            </w:r>
          </w:p>
        </w:tc>
        <w:tc>
          <w:tcPr>
            <w:tcW w:w="80" w:type="dxa"/>
            <w:vAlign w:val="bottom"/>
          </w:tcPr>
          <w:p>
            <w:pPr>
              <w:spacing w:after="0"/>
              <w:rPr>
                <w:sz w:val="13"/>
                <w:szCs w:val="13"/>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Delay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180" w:type="dxa"/>
            <w:vAlign w:val="bottom"/>
          </w:tcPr>
          <w:p>
            <w:pPr>
              <w:spacing w:after="0"/>
              <w:rPr>
                <w:sz w:val="13"/>
                <w:szCs w:val="13"/>
                <w:color w:val="auto"/>
              </w:rPr>
            </w:pPr>
          </w:p>
        </w:tc>
        <w:tc>
          <w:tcPr>
            <w:tcW w:w="6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3"/>
                <w:szCs w:val="13"/>
                <w:color w:val="auto"/>
              </w:rPr>
            </w:pPr>
          </w:p>
        </w:tc>
        <w:tc>
          <w:tcPr>
            <w:tcW w:w="74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9"/>
        </w:trPr>
        <w:tc>
          <w:tcPr>
            <w:tcW w:w="27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ind w:left="5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tcBorders>
            <w:shd w:val="clear" w:color="auto" w:fill="CCEEFF"/>
          </w:tcPr>
          <w:p>
            <w:pPr>
              <w:ind w:left="5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14,188</w:t>
            </w:r>
          </w:p>
        </w:tc>
        <w:tc>
          <w:tcPr>
            <w:tcW w:w="180" w:type="dxa"/>
            <w:vAlign w:val="bottom"/>
            <w:tcBorders>
              <w:top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14,709</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420"/>
              <w:spacing w:after="0" w:line="129" w:lineRule="exact"/>
              <w:rPr>
                <w:sz w:val="20"/>
                <w:szCs w:val="20"/>
                <w:color w:val="auto"/>
              </w:rPr>
            </w:pPr>
            <w:r>
              <w:rPr>
                <w:rFonts w:ascii="Times New Roman" w:cs="Times New Roman" w:eastAsia="Times New Roman" w:hAnsi="Times New Roman"/>
                <w:sz w:val="13"/>
                <w:szCs w:val="13"/>
                <w:color w:val="auto"/>
              </w:rPr>
              <w:t>0.5</w:t>
            </w:r>
          </w:p>
        </w:tc>
        <w:tc>
          <w:tcPr>
            <w:tcW w:w="1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r>
      <w:tr>
        <w:trPr>
          <w:trHeight w:val="135"/>
        </w:trPr>
        <w:tc>
          <w:tcPr>
            <w:tcW w:w="2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60" w:type="dxa"/>
            <w:vAlign w:val="bottom"/>
          </w:tcPr>
          <w:p>
            <w:pPr>
              <w:spacing w:after="0"/>
              <w:rPr>
                <w:sz w:val="11"/>
                <w:szCs w:val="11"/>
                <w:color w:val="auto"/>
              </w:rPr>
            </w:pPr>
          </w:p>
        </w:tc>
        <w:tc>
          <w:tcPr>
            <w:tcW w:w="820" w:type="dxa"/>
            <w:vAlign w:val="bottom"/>
            <w:gridSpan w:val="2"/>
          </w:tcPr>
          <w:p>
            <w:pPr>
              <w:ind w:left="5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27,603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27,603</w:t>
            </w:r>
          </w:p>
        </w:tc>
        <w:tc>
          <w:tcPr>
            <w:tcW w:w="760" w:type="dxa"/>
            <w:vAlign w:val="bottom"/>
            <w:gridSpan w:val="2"/>
          </w:tcPr>
          <w:p>
            <w:pPr>
              <w:ind w:left="560"/>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120" w:type="dxa"/>
            <w:vAlign w:val="bottom"/>
          </w:tcPr>
          <w:p>
            <w:pPr>
              <w:spacing w:after="0"/>
              <w:rPr>
                <w:sz w:val="11"/>
                <w:szCs w:val="11"/>
                <w:color w:val="auto"/>
              </w:rPr>
            </w:pPr>
          </w:p>
        </w:tc>
      </w:tr>
      <w:tr>
        <w:trPr>
          <w:trHeight w:val="135"/>
        </w:trPr>
        <w:tc>
          <w:tcPr>
            <w:tcW w:w="2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27,752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15,205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42,957</w:t>
            </w:r>
          </w:p>
        </w:tc>
        <w:tc>
          <w:tcPr>
            <w:tcW w:w="760" w:type="dxa"/>
            <w:vAlign w:val="bottom"/>
            <w:gridSpan w:val="2"/>
            <w:shd w:val="clear" w:color="auto" w:fill="CCEEFF"/>
          </w:tcPr>
          <w:p>
            <w:pPr>
              <w:ind w:left="56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1"/>
                <w:szCs w:val="11"/>
                <w:color w:val="auto"/>
              </w:rPr>
            </w:pPr>
          </w:p>
        </w:tc>
      </w:tr>
      <w:tr>
        <w:trPr>
          <w:trHeight w:val="129"/>
        </w:trPr>
        <w:tc>
          <w:tcPr>
            <w:tcW w:w="2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ind w:left="5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55,876</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bottom w:val="single" w:sz="8" w:color="auto"/>
            </w:tcBorders>
          </w:tcPr>
          <w:p>
            <w:pPr>
              <w:ind w:left="5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15,205</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14,188</w:t>
            </w: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85,269</w:t>
            </w:r>
          </w:p>
        </w:tc>
        <w:tc>
          <w:tcPr>
            <w:tcW w:w="880" w:type="dxa"/>
            <w:vAlign w:val="bottom"/>
            <w:gridSpan w:val="3"/>
          </w:tcPr>
          <w:p>
            <w:pPr>
              <w:ind w:left="560"/>
              <w:spacing w:after="0" w:line="129" w:lineRule="exact"/>
              <w:rPr>
                <w:sz w:val="20"/>
                <w:szCs w:val="20"/>
                <w:color w:val="auto"/>
              </w:rPr>
            </w:pPr>
            <w:r>
              <w:rPr>
                <w:rFonts w:ascii="Times New Roman" w:cs="Times New Roman" w:eastAsia="Times New Roman" w:hAnsi="Times New Roman"/>
                <w:sz w:val="13"/>
                <w:szCs w:val="13"/>
                <w:color w:val="auto"/>
                <w:w w:val="98"/>
              </w:rPr>
              <w:t>0.8 %</w:t>
            </w:r>
          </w:p>
        </w:tc>
      </w:tr>
      <w:tr>
        <w:trPr>
          <w:trHeight w:val="20"/>
        </w:trPr>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9"/>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8"/>
              </w:rPr>
              <w:t>For the Three Months Ended March 31, 2024</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08"/>
        </w:trPr>
        <w:tc>
          <w:tcPr>
            <w:tcW w:w="2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Delay, Term</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1"/>
                <w:szCs w:val="11"/>
                <w:color w:val="auto"/>
              </w:rPr>
            </w:pPr>
          </w:p>
        </w:tc>
        <w:tc>
          <w:tcPr>
            <w:tcW w:w="6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80" w:type="dxa"/>
            <w:vAlign w:val="bottom"/>
          </w:tcPr>
          <w:p>
            <w:pPr>
              <w:spacing w:after="0"/>
              <w:rPr>
                <w:sz w:val="11"/>
                <w:szCs w:val="11"/>
                <w:color w:val="auto"/>
              </w:rPr>
            </w:pPr>
          </w:p>
        </w:tc>
        <w:tc>
          <w:tcPr>
            <w:tcW w:w="6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8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80" w:type="dxa"/>
            <w:vAlign w:val="bottom"/>
          </w:tcPr>
          <w:p>
            <w:pPr>
              <w:spacing w:after="0"/>
              <w:rPr>
                <w:sz w:val="11"/>
                <w:szCs w:val="11"/>
                <w:color w:val="auto"/>
              </w:rPr>
            </w:pPr>
          </w:p>
        </w:tc>
        <w:tc>
          <w:tcPr>
            <w:tcW w:w="6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8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Extension</w:t>
            </w:r>
          </w:p>
        </w:tc>
        <w:tc>
          <w:tcPr>
            <w:tcW w:w="80" w:type="dxa"/>
            <w:vAlign w:val="bottom"/>
          </w:tcPr>
          <w:p>
            <w:pPr>
              <w:spacing w:after="0"/>
              <w:rPr>
                <w:sz w:val="13"/>
                <w:szCs w:val="13"/>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Delay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180" w:type="dxa"/>
            <w:vAlign w:val="bottom"/>
          </w:tcPr>
          <w:p>
            <w:pPr>
              <w:spacing w:after="0"/>
              <w:rPr>
                <w:sz w:val="13"/>
                <w:szCs w:val="13"/>
                <w:color w:val="auto"/>
              </w:rPr>
            </w:pPr>
          </w:p>
        </w:tc>
        <w:tc>
          <w:tcPr>
            <w:tcW w:w="6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3"/>
                <w:szCs w:val="13"/>
                <w:color w:val="auto"/>
              </w:rPr>
            </w:pPr>
          </w:p>
        </w:tc>
        <w:tc>
          <w:tcPr>
            <w:tcW w:w="74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9"/>
        </w:trPr>
        <w:tc>
          <w:tcPr>
            <w:tcW w:w="27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3,429</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420"/>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r>
      <w:tr>
        <w:trPr>
          <w:trHeight w:val="117"/>
        </w:trPr>
        <w:tc>
          <w:tcPr>
            <w:tcW w:w="29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including</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condominium and cooperative apartment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0.0</w:t>
            </w:r>
          </w:p>
        </w:tc>
        <w:tc>
          <w:tcPr>
            <w:tcW w:w="120" w:type="dxa"/>
            <w:vAlign w:val="bottom"/>
          </w:tcPr>
          <w:p>
            <w:pPr>
              <w:spacing w:after="0"/>
              <w:rPr>
                <w:sz w:val="13"/>
                <w:szCs w:val="13"/>
                <w:color w:val="auto"/>
              </w:rPr>
            </w:pPr>
          </w:p>
        </w:tc>
      </w:tr>
      <w:tr>
        <w:trPr>
          <w:trHeight w:val="135"/>
        </w:trPr>
        <w:tc>
          <w:tcPr>
            <w:tcW w:w="2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61,832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61,832</w:t>
            </w:r>
          </w:p>
        </w:tc>
        <w:tc>
          <w:tcPr>
            <w:tcW w:w="760" w:type="dxa"/>
            <w:vAlign w:val="bottom"/>
            <w:gridSpan w:val="2"/>
            <w:shd w:val="clear" w:color="auto" w:fill="CCEEFF"/>
          </w:tcPr>
          <w:p>
            <w:pPr>
              <w:ind w:left="56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1"/>
                <w:szCs w:val="11"/>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31,157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31,157</w:t>
            </w:r>
          </w:p>
        </w:tc>
        <w:tc>
          <w:tcPr>
            <w:tcW w:w="760" w:type="dxa"/>
            <w:vAlign w:val="bottom"/>
            <w:gridSpan w:val="2"/>
          </w:tcPr>
          <w:p>
            <w:pPr>
              <w:ind w:left="560"/>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120" w:type="dxa"/>
            <w:vAlign w:val="bottom"/>
          </w:tcPr>
          <w:p>
            <w:pPr>
              <w:spacing w:after="0"/>
              <w:rPr>
                <w:sz w:val="11"/>
                <w:szCs w:val="11"/>
                <w:color w:val="auto"/>
              </w:rPr>
            </w:pPr>
          </w:p>
        </w:tc>
      </w:tr>
      <w:tr>
        <w:trPr>
          <w:trHeight w:val="135"/>
        </w:trPr>
        <w:tc>
          <w:tcPr>
            <w:tcW w:w="2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12,253</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12,253</w:t>
            </w:r>
          </w:p>
        </w:tc>
        <w:tc>
          <w:tcPr>
            <w:tcW w:w="760" w:type="dxa"/>
            <w:vAlign w:val="bottom"/>
            <w:gridSpan w:val="2"/>
            <w:shd w:val="clear" w:color="auto" w:fill="CCEEFF"/>
          </w:tcPr>
          <w:p>
            <w:pPr>
              <w:ind w:left="560"/>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120" w:type="dxa"/>
            <w:vAlign w:val="bottom"/>
            <w:shd w:val="clear" w:color="auto" w:fill="CCEEFF"/>
          </w:tcPr>
          <w:p>
            <w:pPr>
              <w:spacing w:after="0"/>
              <w:rPr>
                <w:sz w:val="11"/>
                <w:szCs w:val="11"/>
                <w:color w:val="auto"/>
              </w:rPr>
            </w:pPr>
          </w:p>
        </w:tc>
      </w:tr>
      <w:tr>
        <w:trPr>
          <w:trHeight w:val="129"/>
        </w:trPr>
        <w:tc>
          <w:tcPr>
            <w:tcW w:w="2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1,889</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94,196</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708</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12,253</w:t>
            </w: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109,075</w:t>
            </w:r>
          </w:p>
        </w:tc>
        <w:tc>
          <w:tcPr>
            <w:tcW w:w="880" w:type="dxa"/>
            <w:vAlign w:val="bottom"/>
            <w:gridSpan w:val="3"/>
          </w:tcPr>
          <w:p>
            <w:pPr>
              <w:ind w:left="560"/>
              <w:spacing w:after="0" w:line="129" w:lineRule="exact"/>
              <w:rPr>
                <w:sz w:val="20"/>
                <w:szCs w:val="20"/>
                <w:color w:val="auto"/>
              </w:rPr>
            </w:pPr>
            <w:r>
              <w:rPr>
                <w:rFonts w:ascii="Times New Roman" w:cs="Times New Roman" w:eastAsia="Times New Roman" w:hAnsi="Times New Roman"/>
                <w:sz w:val="13"/>
                <w:szCs w:val="13"/>
                <w:color w:val="auto"/>
                <w:w w:val="98"/>
              </w:rPr>
              <w:t>1.0 %</w:t>
            </w:r>
          </w:p>
        </w:tc>
      </w:tr>
      <w:tr>
        <w:trPr>
          <w:trHeight w:val="20"/>
        </w:trPr>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describe the financial effect of the modifications made to borrowers experiencing financial difficulty as of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6"/>
                <w:szCs w:val="16"/>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6"/>
                <w:szCs w:val="16"/>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2"/>
                <w:szCs w:val="12"/>
                <w:color w:val="auto"/>
              </w:rPr>
            </w:pPr>
          </w:p>
        </w:tc>
        <w:tc>
          <w:tcPr>
            <w:tcW w:w="1320" w:type="dxa"/>
            <w:vAlign w:val="bottom"/>
            <w:gridSpan w:val="3"/>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0" w:type="dxa"/>
            <w:vAlign w:val="bottom"/>
          </w:tcPr>
          <w:p>
            <w:pPr>
              <w:spacing w:after="0"/>
              <w:rPr>
                <w:sz w:val="12"/>
                <w:szCs w:val="12"/>
                <w:color w:val="auto"/>
              </w:rPr>
            </w:pPr>
          </w:p>
        </w:tc>
        <w:tc>
          <w:tcPr>
            <w:tcW w:w="13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 w:type="dxa"/>
            <w:vAlign w:val="bottom"/>
          </w:tcPr>
          <w:p>
            <w:pPr>
              <w:spacing w:after="0"/>
              <w:rPr>
                <w:sz w:val="15"/>
                <w:szCs w:val="15"/>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8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w:t>
            </w:r>
          </w:p>
        </w:tc>
        <w:tc>
          <w:tcPr>
            <w:tcW w:w="1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149"/>
        </w:trPr>
        <w:tc>
          <w:tcPr>
            <w:tcW w:w="5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0" w:type="dxa"/>
            <w:vAlign w:val="bottom"/>
          </w:tcPr>
          <w:p>
            <w:pPr>
              <w:spacing w:after="0"/>
              <w:rPr>
                <w:sz w:val="12"/>
                <w:szCs w:val="12"/>
                <w:color w:val="auto"/>
              </w:rPr>
            </w:pPr>
          </w:p>
        </w:tc>
        <w:tc>
          <w:tcPr>
            <w:tcW w:w="1320" w:type="dxa"/>
            <w:vAlign w:val="bottom"/>
            <w:gridSpan w:val="3"/>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3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407</w:t>
            </w:r>
          </w:p>
        </w:tc>
        <w:tc>
          <w:tcPr>
            <w:tcW w:w="0" w:type="dxa"/>
            <w:vAlign w:val="bottom"/>
          </w:tcPr>
          <w:p>
            <w:pPr>
              <w:spacing w:after="0"/>
              <w:rPr>
                <w:sz w:val="1"/>
                <w:szCs w:val="1"/>
                <w:color w:val="auto"/>
              </w:rPr>
            </w:pPr>
          </w:p>
        </w:tc>
      </w:tr>
      <w:tr>
        <w:trPr>
          <w:trHeight w:val="148"/>
        </w:trPr>
        <w:tc>
          <w:tcPr>
            <w:tcW w:w="50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1,131</w:t>
            </w:r>
          </w:p>
        </w:tc>
        <w:tc>
          <w:tcPr>
            <w:tcW w:w="0" w:type="dxa"/>
            <w:vAlign w:val="bottom"/>
          </w:tcPr>
          <w:p>
            <w:pPr>
              <w:spacing w:after="0"/>
              <w:rPr>
                <w:sz w:val="1"/>
                <w:szCs w:val="1"/>
                <w:color w:val="auto"/>
              </w:rPr>
            </w:pPr>
          </w:p>
        </w:tc>
      </w:tr>
      <w:tr>
        <w:trPr>
          <w:trHeight w:val="378"/>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3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2"/>
                <w:szCs w:val="12"/>
                <w:color w:val="auto"/>
              </w:rPr>
            </w:pPr>
          </w:p>
        </w:tc>
        <w:tc>
          <w:tcPr>
            <w:tcW w:w="1320" w:type="dxa"/>
            <w:vAlign w:val="bottom"/>
            <w:gridSpan w:val="3"/>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0" w:type="dxa"/>
            <w:vAlign w:val="bottom"/>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 w:type="dxa"/>
            <w:vAlign w:val="bottom"/>
          </w:tcPr>
          <w:p>
            <w:pPr>
              <w:spacing w:after="0"/>
              <w:rPr>
                <w:sz w:val="15"/>
                <w:szCs w:val="15"/>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86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49"/>
        </w:trPr>
        <w:tc>
          <w:tcPr>
            <w:tcW w:w="5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including condominium and cooperative apartment</w:t>
            </w:r>
          </w:p>
        </w:tc>
        <w:tc>
          <w:tcPr>
            <w:tcW w:w="20" w:type="dxa"/>
            <w:vAlign w:val="bottom"/>
          </w:tcPr>
          <w:p>
            <w:pPr>
              <w:spacing w:after="0"/>
              <w:rPr>
                <w:sz w:val="12"/>
                <w:szCs w:val="12"/>
                <w:color w:val="auto"/>
              </w:rPr>
            </w:pPr>
          </w:p>
        </w:tc>
        <w:tc>
          <w:tcPr>
            <w:tcW w:w="132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50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48"/>
        </w:trPr>
        <w:tc>
          <w:tcPr>
            <w:tcW w:w="5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 w:type="dxa"/>
            <w:vAlign w:val="bottom"/>
          </w:tcPr>
          <w:p>
            <w:pPr>
              <w:spacing w:after="0"/>
              <w:rPr>
                <w:sz w:val="12"/>
                <w:szCs w:val="12"/>
                <w:color w:val="auto"/>
              </w:rPr>
            </w:pPr>
          </w:p>
        </w:tc>
        <w:tc>
          <w:tcPr>
            <w:tcW w:w="132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49"/>
        </w:trPr>
        <w:tc>
          <w:tcPr>
            <w:tcW w:w="50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monitors the performance of loans modified to borrowers experiencing financial difficulty to understand the effectiveness of its modification efforts. The following tables describe the performance of loans that have been modified during the past 12 months.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6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w:t>
            </w:r>
          </w:p>
        </w:tc>
        <w:tc>
          <w:tcPr>
            <w:tcW w:w="8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18,899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19,144</w:t>
            </w:r>
          </w:p>
        </w:tc>
        <w:tc>
          <w:tcPr>
            <w:tcW w:w="0" w:type="dxa"/>
            <w:vAlign w:val="bottom"/>
          </w:tcPr>
          <w:p>
            <w:pPr>
              <w:spacing w:after="0"/>
              <w:rPr>
                <w:sz w:val="1"/>
                <w:szCs w:val="1"/>
                <w:color w:val="auto"/>
              </w:rPr>
            </w:pPr>
          </w:p>
        </w:tc>
      </w:tr>
      <w:tr>
        <w:trPr>
          <w:trHeight w:val="126"/>
        </w:trPr>
        <w:tc>
          <w:tcPr>
            <w:tcW w:w="31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including</w:t>
            </w:r>
          </w:p>
        </w:tc>
        <w:tc>
          <w:tcPr>
            <w:tcW w:w="1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892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892</w:t>
            </w:r>
          </w:p>
        </w:tc>
        <w:tc>
          <w:tcPr>
            <w:tcW w:w="0" w:type="dxa"/>
            <w:vAlign w:val="bottom"/>
          </w:tcPr>
          <w:p>
            <w:pPr>
              <w:spacing w:after="0"/>
              <w:rPr>
                <w:sz w:val="1"/>
                <w:szCs w:val="1"/>
                <w:color w:val="auto"/>
              </w:rPr>
            </w:pPr>
          </w:p>
        </w:tc>
      </w:tr>
      <w:tr>
        <w:trPr>
          <w:trHeight w:val="17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condominium and cooperative apartment</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27,603</w:t>
            </w:r>
          </w:p>
        </w:tc>
        <w:tc>
          <w:tcPr>
            <w:tcW w:w="0" w:type="dxa"/>
            <w:vAlign w:val="bottom"/>
          </w:tcPr>
          <w:p>
            <w:pPr>
              <w:spacing w:after="0"/>
              <w:rPr>
                <w:sz w:val="1"/>
                <w:szCs w:val="1"/>
                <w:color w:val="auto"/>
              </w:rPr>
            </w:pPr>
          </w:p>
        </w:tc>
      </w:tr>
      <w:tr>
        <w:trPr>
          <w:trHeight w:val="148"/>
        </w:trPr>
        <w:tc>
          <w:tcPr>
            <w:tcW w:w="3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27,752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90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15,205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42,957</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46,651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27,603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16,342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90,596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6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w:t>
            </w:r>
          </w:p>
        </w:tc>
        <w:tc>
          <w:tcPr>
            <w:tcW w:w="8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13,694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2,140</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16,074</w:t>
            </w:r>
          </w:p>
        </w:tc>
        <w:tc>
          <w:tcPr>
            <w:tcW w:w="0" w:type="dxa"/>
            <w:vAlign w:val="bottom"/>
          </w:tcPr>
          <w:p>
            <w:pPr>
              <w:spacing w:after="0"/>
              <w:rPr>
                <w:sz w:val="1"/>
                <w:szCs w:val="1"/>
                <w:color w:val="auto"/>
              </w:rPr>
            </w:pPr>
          </w:p>
        </w:tc>
      </w:tr>
      <w:tr>
        <w:trPr>
          <w:trHeight w:val="126"/>
        </w:trPr>
        <w:tc>
          <w:tcPr>
            <w:tcW w:w="31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including</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0" w:type="dxa"/>
            <w:vAlign w:val="bottom"/>
          </w:tcPr>
          <w:p>
            <w:pPr>
              <w:spacing w:after="0"/>
              <w:rPr>
                <w:sz w:val="1"/>
                <w:szCs w:val="1"/>
                <w:color w:val="auto"/>
              </w:rPr>
            </w:pPr>
          </w:p>
        </w:tc>
      </w:tr>
      <w:tr>
        <w:trPr>
          <w:trHeight w:val="17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condominium and cooperative apartment</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61,832</w:t>
            </w:r>
          </w:p>
        </w:tc>
        <w:tc>
          <w:tcPr>
            <w:tcW w:w="0" w:type="dxa"/>
            <w:vAlign w:val="bottom"/>
          </w:tcPr>
          <w:p>
            <w:pPr>
              <w:spacing w:after="0"/>
              <w:rPr>
                <w:sz w:val="1"/>
                <w:szCs w:val="1"/>
                <w:color w:val="auto"/>
              </w:rPr>
            </w:pPr>
          </w:p>
        </w:tc>
      </w:tr>
      <w:tr>
        <w:trPr>
          <w:trHeight w:val="148"/>
        </w:trPr>
        <w:tc>
          <w:tcPr>
            <w:tcW w:w="3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55,864</w:t>
            </w:r>
          </w:p>
        </w:tc>
        <w:tc>
          <w:tcPr>
            <w:tcW w:w="0" w:type="dxa"/>
            <w:vAlign w:val="bottom"/>
          </w:tcPr>
          <w:p>
            <w:pPr>
              <w:spacing w:after="0"/>
              <w:rPr>
                <w:sz w:val="1"/>
                <w:szCs w:val="1"/>
                <w:color w:val="auto"/>
              </w:rPr>
            </w:pPr>
          </w:p>
        </w:tc>
      </w:tr>
      <w:tr>
        <w:trPr>
          <w:trHeight w:val="148"/>
        </w:trPr>
        <w:tc>
          <w:tcPr>
            <w:tcW w:w="31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12,253</w:t>
            </w:r>
          </w:p>
        </w:tc>
        <w:tc>
          <w:tcPr>
            <w:tcW w:w="0" w:type="dxa"/>
            <w:vAlign w:val="bottom"/>
          </w:tcPr>
          <w:p>
            <w:pPr>
              <w:spacing w:after="0"/>
              <w:rPr>
                <w:sz w:val="1"/>
                <w:szCs w:val="1"/>
                <w:color w:val="auto"/>
              </w:rPr>
            </w:pPr>
          </w:p>
        </w:tc>
      </w:tr>
      <w:tr>
        <w:trPr>
          <w:trHeight w:val="142"/>
        </w:trPr>
        <w:tc>
          <w:tcPr>
            <w:tcW w:w="31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100,451</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12,651</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21,790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14,484</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149,376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March 31, 2025, there was one $15.2 million non-owner-occupied commercial loan that was modified to a borrower experiencing financial difficulty during the prior 12 months that subsequently defaulted. As of March 31, 2024, there were no loans modified to borrowers experiencing financial difficulty during the prior 12 months that subsequently defaulted. For the purposes of this disclosure, a payment default is defined as 90 or more days past due. Non-accrual loans that are modified to borrowers experiencing financial difficulty remain on non-accrual status until the borrower has demonstrated performance under the modified terms.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structure, loan documentation, public information, and current economic trends, among other factors. The Company analyzes loans individually by classifying them based on credit risk. The Company uses the following definitions for risk ratings:</w:t>
      </w:r>
    </w:p>
    <w:p>
      <w:pPr>
        <w:spacing w:after="0" w:line="178"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Loans classified as special mention have a potential weakness that deserves management’s 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attention. If left uncorrected, these potential weaknesses may result in deterioration of the repayment prospects for the loan or of the Bank’s credit position at some future date.</w:t>
      </w:r>
    </w:p>
    <w:p>
      <w:pPr>
        <w:spacing w:after="0" w:line="173"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Loans classified as substandard are inadequately protected by the current net worth and paying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obligor or of the collateral pledged, if any. Loans so classified have a well-defined weakness or weaknesses that jeopardize the liquidation of the debt. They are characterized by the distinct possibility that the Bank will sustain some loss if the deficiencies are not corrected.</w:t>
      </w:r>
    </w:p>
    <w:p>
      <w:pPr>
        <w:spacing w:after="0" w:line="180"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Loans classified as doubtful have all the weaknesses inherent in those classified as substandard,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characteristic that the weaknesses make collection or liquidation in full, on the basis of then existing facts, conditions, and values, highly questionable and improbable.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credit risk profile of loans by internally assigned grade as of the periods indicated, the years represent the year of origination for non-revolving loans: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2020 and</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00" w:type="dxa"/>
            <w:vAlign w:val="bottom"/>
          </w:tcPr>
          <w:p>
            <w:pPr>
              <w:spacing w:after="0"/>
              <w:rPr>
                <w:sz w:val="13"/>
                <w:szCs w:val="13"/>
                <w:color w:val="auto"/>
              </w:rPr>
            </w:pPr>
          </w:p>
        </w:tc>
        <w:tc>
          <w:tcPr>
            <w:tcW w:w="4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Prior</w:t>
            </w:r>
          </w:p>
        </w:tc>
        <w:tc>
          <w:tcPr>
            <w:tcW w:w="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2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12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5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46,415</w:t>
            </w:r>
          </w:p>
        </w:tc>
        <w:tc>
          <w:tcPr>
            <w:tcW w:w="4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397,937</w:t>
            </w:r>
          </w:p>
        </w:tc>
        <w:tc>
          <w:tcPr>
            <w:tcW w:w="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226,203</w:t>
            </w:r>
          </w:p>
        </w:tc>
        <w:tc>
          <w:tcPr>
            <w:tcW w:w="4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311,457</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195,007</w:t>
            </w:r>
          </w:p>
        </w:tc>
        <w:tc>
          <w:tcPr>
            <w:tcW w:w="6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498,755</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927,718</w:t>
            </w:r>
          </w:p>
        </w:tc>
        <w:tc>
          <w:tcPr>
            <w:tcW w:w="6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58,722</w:t>
            </w: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2,662,214</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34,133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3,993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17,559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5,252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70,782</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15,109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3,749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28,923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54,593</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612</w:t>
            </w:r>
          </w:p>
        </w:tc>
      </w:tr>
      <w:tr>
        <w:trPr>
          <w:trHeight w:val="128"/>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46,415</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398,065</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227,076</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349,542</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201,482</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532,035</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936,719</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96,867</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2,788,201</w:t>
            </w:r>
          </w:p>
        </w:tc>
      </w:tr>
      <w:tr>
        <w:trPr>
          <w:trHeight w:val="128"/>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66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28,063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133,899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157,062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200,806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97,158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300,119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24,904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951,065</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865</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8,228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9,139</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66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w:t>
            </w: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28,063</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133,899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157,062</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200,806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97,158</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309,054</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25,062</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9,965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961,069</w:t>
            </w:r>
          </w:p>
        </w:tc>
      </w:tr>
      <w:tr>
        <w:trPr>
          <w:trHeight w:val="128"/>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21,661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251,744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1,278,949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556,818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1,487,533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3,605,804</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12,349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84,708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98,259</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75,860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75,860</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66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w:t>
            </w: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mixed-use</w:t>
            </w:r>
          </w:p>
        </w:tc>
        <w:tc>
          <w:tcPr>
            <w:tcW w:w="10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251,744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1,280,151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569,167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1,648,101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3,779,923</w:t>
            </w:r>
          </w:p>
        </w:tc>
      </w:tr>
      <w:tr>
        <w:trPr>
          <w:trHeight w:val="129"/>
        </w:trPr>
        <w:tc>
          <w:tcPr>
            <w:tcW w:w="2660" w:type="dxa"/>
            <w:vAlign w:val="bottom"/>
            <w:tcBorders>
              <w:top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6,368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55,167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206,196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718,908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593,440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1,397,639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12,103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16,994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3,006,815</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99,431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100,084</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67,528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83,999</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6,368</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55,167</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206,196</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718,908</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610,564</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1,564,598</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12,103</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16,994</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3,190,898</w:t>
            </w:r>
          </w:p>
        </w:tc>
      </w:tr>
      <w:tr>
        <w:trPr>
          <w:trHeight w:val="129"/>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5,259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1,823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7,082</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2,680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25,152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34,659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26,769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25,274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124,787</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14,865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14,865</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2,680</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25,152</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34,659</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26,769</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19,674</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2,332</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25,274</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3,769</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140,309</w:t>
            </w:r>
          </w:p>
        </w:tc>
      </w:tr>
      <w:tr>
        <w:trPr>
          <w:trHeight w:val="128"/>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83,526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633,816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875,864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2,536,889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1,447,232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3,686,378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994,847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92,133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10,350,685</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35,335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31,860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202,405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5,410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284,855</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18,953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166,725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3,749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30,491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224,248</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612</w:t>
            </w:r>
          </w:p>
        </w:tc>
      </w:tr>
      <w:tr>
        <w:trPr>
          <w:trHeight w:val="168"/>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83,526</w:t>
            </w: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633,944</w:t>
            </w: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876,737</w:t>
            </w: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2,576,176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1,498,045</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4,056,120</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1,004,006</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131,846</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10,860,400</w:t>
            </w:r>
          </w:p>
        </w:tc>
      </w:tr>
      <w:tr>
        <w:trPr>
          <w:trHeight w:val="116"/>
        </w:trPr>
        <w:tc>
          <w:tcPr>
            <w:tcW w:w="2660" w:type="dxa"/>
            <w:vAlign w:val="bottom"/>
            <w:tcBorders>
              <w:bottom w:val="single" w:sz="8" w:color="CCEEFF"/>
            </w:tcBorders>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5,303</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1,870</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129</w:t>
            </w: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7,302</w:t>
            </w: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2019 and</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3"/>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0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12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26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400,607</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232,017</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327,174</w:t>
            </w:r>
          </w:p>
        </w:tc>
        <w:tc>
          <w:tcPr>
            <w:tcW w:w="4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201,799</w:t>
            </w:r>
          </w:p>
        </w:tc>
        <w:tc>
          <w:tcPr>
            <w:tcW w:w="1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164,834</w:t>
            </w:r>
          </w:p>
        </w:tc>
        <w:tc>
          <w:tcPr>
            <w:tcW w:w="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348,388</w:t>
            </w:r>
          </w:p>
        </w:tc>
        <w:tc>
          <w:tcPr>
            <w:tcW w:w="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828,287</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67,238</w:t>
            </w:r>
          </w:p>
        </w:tc>
        <w:tc>
          <w:tcPr>
            <w:tcW w:w="8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2,570,344</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36,740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4,220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4,333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17,226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26,292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104,197</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50,574</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29"/>
        </w:trPr>
        <w:tc>
          <w:tcPr>
            <w:tcW w:w="270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400,742</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233,169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365,899</w:t>
            </w: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208,501</w:t>
            </w: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173,111</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377,523</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854,579</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112,202</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2,725,726</w:t>
            </w:r>
          </w:p>
        </w:tc>
      </w:tr>
      <w:tr>
        <w:trPr>
          <w:trHeight w:val="128"/>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6,785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8,051</w:t>
            </w: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70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134,804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159,300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202,706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98,491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63,093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247,952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26,724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8,364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941,434</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870</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7,326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9,224</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0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134,804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159,300</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202,706</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98,491</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64,077</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255,989</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26,883</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9,278</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951,528</w:t>
            </w:r>
          </w:p>
        </w:tc>
      </w:tr>
      <w:tr>
        <w:trPr>
          <w:trHeight w:val="128"/>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21,810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252,975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1,285,619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560,039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286,653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1,239,261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4,285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3,654,909</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12,369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14,172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73,778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101,521</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63,853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63,853</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0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 mixed-</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use</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252,975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1,286,821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572,408</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300,825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1,376,892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3,820,283</w:t>
            </w:r>
          </w:p>
        </w:tc>
      </w:tr>
      <w:tr>
        <w:trPr>
          <w:trHeight w:val="128"/>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2,985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4,677</w:t>
            </w: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57,280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215,279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724,041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601,508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408,361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1,020,137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11,937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3,047,509</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75,802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29,564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106,024</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16,471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34,236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26,295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77,002</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0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57,280</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215,279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724,041</w:t>
            </w: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618,637</w:t>
            </w: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518,399</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1,075,996</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11,937</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8,966</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3,230,535</w:t>
            </w:r>
          </w:p>
        </w:tc>
      </w:tr>
      <w:tr>
        <w:trPr>
          <w:trHeight w:val="129"/>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2,797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4,033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6,926</w:t>
            </w: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34,169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25,950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4,810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120,541</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14,974</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270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16,154</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34,169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25,950</w:t>
            </w: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19,784</w:t>
            </w: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2,468</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24,868</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12,779</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136,172</w:t>
            </w:r>
          </w:p>
        </w:tc>
      </w:tr>
      <w:tr>
        <w:trPr>
          <w:trHeight w:val="128"/>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630,655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893,740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2,565,490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1,466,647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922,941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2,858,206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896,101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100,957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10,334,737</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37,942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32,221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94,307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121,279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26,451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327,586</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18,953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39,164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108,772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201,310</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68"/>
        </w:trPr>
        <w:tc>
          <w:tcPr>
            <w:tcW w:w="270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630,790</w:t>
            </w: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894,892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2,605,417</w:t>
            </w:r>
          </w:p>
        </w:tc>
        <w:tc>
          <w:tcPr>
            <w:tcW w:w="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1,517,821</w:t>
            </w: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1,056,412</w:t>
            </w:r>
          </w:p>
        </w:tc>
        <w:tc>
          <w:tcPr>
            <w:tcW w:w="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3,088,868</w:t>
            </w: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922,552</w:t>
            </w: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147,492</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10,864,244</w:t>
            </w:r>
          </w:p>
        </w:tc>
      </w:tr>
      <w:tr>
        <w:trPr>
          <w:trHeight w:val="116"/>
        </w:trPr>
        <w:tc>
          <w:tcPr>
            <w:tcW w:w="2700" w:type="dxa"/>
            <w:vAlign w:val="bottom"/>
            <w:tcBorders>
              <w:bottom w:val="single" w:sz="8" w:color="CCEEFF"/>
            </w:tcBorders>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400</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158</w:t>
            </w: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2,963</w:t>
            </w:r>
          </w:p>
        </w:tc>
        <w:tc>
          <w:tcPr>
            <w:tcW w:w="4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5,592</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3,571</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89</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6,881</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19,654</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other loans, the Company evaluates credit quality based on payment activity. Other loans that are 90 days or more past due are placed on non-accrual status, while all remaining other loans are classified and evaluated as performing. The following is a summary of the credit risk profile of other loans by internally assigned grade:</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6,402</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w:t>
            </w:r>
          </w:p>
        </w:tc>
      </w:tr>
      <w:tr>
        <w:trPr>
          <w:trHeight w:val="20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Non-accrual</w:t>
            </w: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6"/>
        </w:trPr>
        <w:tc>
          <w:tcPr>
            <w:tcW w:w="5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6,402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r>
      <w:tr>
        <w:trPr>
          <w:trHeight w:val="20"/>
        </w:trPr>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remaining maturities of undiscounted lease payments, as well as a reconciliation to the discounted operating lease liabilities in the Consolidated Statements of Financial Condition at March 31, 2025:</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r>
      <w:tr>
        <w:trPr>
          <w:trHeight w:val="142"/>
        </w:trPr>
        <w:tc>
          <w:tcPr>
            <w:tcW w:w="7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600" w:type="dxa"/>
            <w:vAlign w:val="bottom"/>
            <w:gridSpan w:val="2"/>
            <w:shd w:val="clear" w:color="auto" w:fill="CCEEFF"/>
          </w:tcPr>
          <w:p>
            <w:pPr>
              <w:jc w:val="right"/>
              <w:ind w:right="2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10,681</w:t>
            </w:r>
          </w:p>
        </w:tc>
      </w:tr>
      <w:tr>
        <w:trPr>
          <w:trHeight w:val="148"/>
        </w:trPr>
        <w:tc>
          <w:tcPr>
            <w:tcW w:w="7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14,047</w:t>
            </w:r>
          </w:p>
        </w:tc>
      </w:tr>
      <w:tr>
        <w:trPr>
          <w:trHeight w:val="148"/>
        </w:trPr>
        <w:tc>
          <w:tcPr>
            <w:tcW w:w="7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12,206</w:t>
            </w:r>
          </w:p>
        </w:tc>
      </w:tr>
      <w:tr>
        <w:trPr>
          <w:trHeight w:val="148"/>
        </w:trPr>
        <w:tc>
          <w:tcPr>
            <w:tcW w:w="7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5,921</w:t>
            </w:r>
          </w:p>
        </w:tc>
      </w:tr>
      <w:tr>
        <w:trPr>
          <w:trHeight w:val="149"/>
        </w:trPr>
        <w:tc>
          <w:tcPr>
            <w:tcW w:w="7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3,211</w:t>
            </w:r>
          </w:p>
        </w:tc>
      </w:tr>
      <w:tr>
        <w:trPr>
          <w:trHeight w:val="148"/>
        </w:trPr>
        <w:tc>
          <w:tcPr>
            <w:tcW w:w="7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5,772</w:t>
            </w:r>
          </w:p>
        </w:tc>
      </w:tr>
      <w:tr>
        <w:trPr>
          <w:trHeight w:val="142"/>
        </w:trPr>
        <w:tc>
          <w:tcPr>
            <w:tcW w:w="75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undiscounted lease payments</w:t>
            </w:r>
          </w:p>
        </w:tc>
        <w:tc>
          <w:tcPr>
            <w:tcW w:w="2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51,838</w:t>
            </w:r>
          </w:p>
        </w:tc>
      </w:tr>
      <w:tr>
        <w:trPr>
          <w:trHeight w:val="142"/>
        </w:trPr>
        <w:tc>
          <w:tcPr>
            <w:tcW w:w="75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Less amounts representing interest</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(3,406)</w:t>
            </w:r>
          </w:p>
        </w:tc>
      </w:tr>
      <w:tr>
        <w:trPr>
          <w:trHeight w:val="142"/>
        </w:trPr>
        <w:tc>
          <w:tcPr>
            <w:tcW w:w="7520" w:type="dxa"/>
            <w:vAlign w:val="bottom"/>
            <w:tcBorders>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48,432</w:t>
            </w: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Borders>
              <w:bottom w:val="single" w:sz="8" w:color="auto"/>
            </w:tcBorders>
            <w:gridSpan w:val="7"/>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460" w:type="dxa"/>
            <w:vAlign w:val="bottom"/>
            <w:vMerge w:val="continue"/>
          </w:tcPr>
          <w:p>
            <w:pPr>
              <w:spacing w:after="0"/>
              <w:rPr>
                <w:sz w:val="12"/>
                <w:szCs w:val="12"/>
                <w:color w:val="auto"/>
              </w:rPr>
            </w:pPr>
          </w:p>
        </w:tc>
        <w:tc>
          <w:tcPr>
            <w:tcW w:w="860" w:type="dxa"/>
            <w:vAlign w:val="bottom"/>
            <w:gridSpan w:val="2"/>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Operating lease cost</w:t>
            </w: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3,632</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3,291</w:t>
            </w:r>
          </w:p>
        </w:tc>
        <w:tc>
          <w:tcPr>
            <w:tcW w:w="0" w:type="dxa"/>
            <w:vAlign w:val="bottom"/>
          </w:tcPr>
          <w:p>
            <w:pPr>
              <w:spacing w:after="0"/>
              <w:rPr>
                <w:sz w:val="1"/>
                <w:szCs w:val="1"/>
                <w:color w:val="auto"/>
              </w:rPr>
            </w:pPr>
          </w:p>
        </w:tc>
      </w:tr>
      <w:tr>
        <w:trPr>
          <w:trHeight w:val="19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3,651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0" w:type="dxa"/>
            <w:vAlign w:val="bottom"/>
          </w:tcPr>
          <w:p>
            <w:pPr>
              <w:spacing w:after="0"/>
              <w:rPr>
                <w:sz w:val="1"/>
                <w:szCs w:val="1"/>
                <w:color w:val="auto"/>
              </w:rPr>
            </w:pPr>
          </w:p>
        </w:tc>
      </w:tr>
      <w:tr>
        <w:trPr>
          <w:trHeight w:val="336"/>
        </w:trPr>
        <w:tc>
          <w:tcPr>
            <w:tcW w:w="546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5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 average remaining lease term</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 years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38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years</w:t>
            </w:r>
          </w:p>
        </w:tc>
        <w:tc>
          <w:tcPr>
            <w:tcW w:w="0" w:type="dxa"/>
            <w:vAlign w:val="bottom"/>
          </w:tcPr>
          <w:p>
            <w:pPr>
              <w:spacing w:after="0"/>
              <w:rPr>
                <w:sz w:val="1"/>
                <w:szCs w:val="1"/>
                <w:color w:val="auto"/>
              </w:rPr>
            </w:pPr>
          </w:p>
        </w:tc>
      </w:tr>
      <w:tr>
        <w:trPr>
          <w:trHeight w:val="19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62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2.84 %</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DERIVATIVES AND HEDGING ACTIVITIES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loan portfolio.</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The Company engages in fair value hedges, cash flow hedges and freestanding derivatives.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Derivatives on the Consolidated Statements of Financial Condition</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tables below present the notional amounts and fair values of the Company’s derivative financial instruments as of March 31, 2025 and December 31, 2024.</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8"/>
                <w:szCs w:val="18"/>
                <w:color w:val="auto"/>
              </w:rPr>
            </w:pPr>
          </w:p>
        </w:tc>
        <w:tc>
          <w:tcPr>
            <w:tcW w:w="1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199"/>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150,000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6,591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r>
      <w:tr>
        <w:trPr>
          <w:trHeight w:val="203"/>
        </w:trPr>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1,644,759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92,149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1,665,949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108,178</w:t>
            </w:r>
          </w:p>
        </w:tc>
      </w:tr>
      <w:tr>
        <w:trPr>
          <w:trHeight w:val="426"/>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24"/>
                <w:szCs w:val="24"/>
                <w:color w:val="auto"/>
              </w:rPr>
            </w:pPr>
          </w:p>
        </w:tc>
        <w:tc>
          <w:tcPr>
            <w:tcW w:w="1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r>
      <w:tr>
        <w:trPr>
          <w:trHeight w:val="199"/>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Fair value hedges - interest rate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4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1,644,759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92,149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1,665,949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108,178</w:t>
            </w: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140,853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Fair Value and Cash Flow Hedge Accounting on the Consolidated Statements of Operations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months ended March 31, 2025 and 2024.</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Borders>
              <w:bottom w:val="single" w:sz="8" w:color="auto"/>
            </w:tcBorders>
          </w:tcPr>
          <w:p>
            <w:pPr>
              <w:spacing w:after="0"/>
              <w:rPr>
                <w:sz w:val="15"/>
                <w:szCs w:val="15"/>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9"/>
                <w:szCs w:val="19"/>
                <w:color w:val="auto"/>
              </w:rPr>
            </w:pPr>
          </w:p>
        </w:tc>
        <w:tc>
          <w:tcPr>
            <w:tcW w:w="9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9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fair value or cash flow hedges are recorded</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effects of fair value and cash flow hedging: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or (loss) on fair value hedging relationships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Hedged items</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(5,273)</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or (loss) on cash flow hedging relationships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reclassified from AOCI into income</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Hedges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uses fair value hedges to protect against changes in fair value of certain interest rate sensitive assets. Interest rate swaps designated as fair value hedges involve the payment of fixed-rate amounts to a counterparty in exchange for the Company receiving variable-rate payments over the life of the agreements without the exchange of the underlying notional amount.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interest income.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 posted $2.0 million and $2.7 million, respectively, to the Chicago Mercantile Exchange (“CME”) clearing house related to the fair value derivatives settled daily to market. The Company pays an average fixed rate of 4.82% and receives a floating rate based on the US federal funds effective rate for the life of the agreement without an exchange of the underlying notional amount.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March 31, 2025 totaled $685.4 million. The amount identified as the last-of-layer in the open hedge relationship was $500.0 million, which is the amount of loans in the closed portfolio anticipated to be outstanding for the designated hedge period. The basis adjustment associated with the hedge was a $1.9 million asset as of March 31, 2025,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December 31, 2024 totaled $692.2 million. The amount identified as the last-of-layer in the open hedge relationship was $500.0 million, which is the amount of loans in the closed portfolio anticipated to be outstanding for the designated hedge period. The basis adjustment associated with the hedge was a $2.6 million asset as of December 31, 2024,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a $622 thousand debit and $628 thousand credit, respectively, from the swap transaction as a component of interest income in the consolidated statements of operations.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following amounts were recorded on the consolidated statements of financial condition related to cumulative basis adjustment for fair value hedges: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26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left="29"/>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0" w:type="dxa"/>
            <w:vAlign w:val="bottom"/>
            <w:gridSpan w:val="2"/>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8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gridSpan w:val="2"/>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380" w:type="dxa"/>
            <w:vAlign w:val="bottom"/>
            <w:gridSpan w:val="2"/>
            <w:vMerge w:val="continue"/>
          </w:tcPr>
          <w:p>
            <w:pPr>
              <w:spacing w:after="0"/>
              <w:rPr>
                <w:sz w:val="12"/>
                <w:szCs w:val="12"/>
                <w:color w:val="auto"/>
              </w:rPr>
            </w:pPr>
          </w:p>
        </w:tc>
        <w:tc>
          <w:tcPr>
            <w:tcW w:w="1400" w:type="dxa"/>
            <w:vAlign w:val="bottom"/>
            <w:gridSpan w:val="2"/>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73"/>
        </w:trPr>
        <w:tc>
          <w:tcPr>
            <w:tcW w:w="3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00" w:type="dxa"/>
            <w:vAlign w:val="bottom"/>
          </w:tcPr>
          <w:p>
            <w:pPr>
              <w:spacing w:after="0"/>
              <w:rPr>
                <w:sz w:val="15"/>
                <w:szCs w:val="15"/>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80" w:type="dxa"/>
            <w:vAlign w:val="bottom"/>
          </w:tcPr>
          <w:p>
            <w:pPr>
              <w:spacing w:after="0"/>
              <w:rPr>
                <w:sz w:val="15"/>
                <w:szCs w:val="15"/>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Fixed Rate Loans</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687,307</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1,933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tcBorders>
            <w:shd w:val="clear" w:color="auto" w:fill="CCEEFF"/>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694,774</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2,615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Cash flow hedges involve the receipt of variable amounts from a counterparty in exchange for the Company making fixed-rate payments over the life of the agreements without exchange of the underlying notional amount. The Company uses these types of derivatives to hedge the variable cash flows associated with existing or forecasted issuances of short-term borrowings.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expense in the same periods during which the hedged transaction affects earnings. Amounts reported in accumulated other comprehensive income related to derivatives will be reclassified to interest expense as interest payments are made on the Company’s debt. During the next twelve months, the Company estimates that an additional $5.1 million will be reclassified as a decrease to interest expense.</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did not terminate any derivatives during the three months ended March 31, 2025 and March 31,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(loss)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periods indicated: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6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recognized in other comprehensive income (loss)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w w:val="94"/>
              </w:rPr>
              <w:t>(7,567)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20" w:type="dxa"/>
            <w:vAlign w:val="bottom"/>
            <w:shd w:val="clear" w:color="auto" w:fill="CCEEFF"/>
          </w:tcPr>
          <w:p>
            <w:pPr>
              <w:spacing w:after="0"/>
              <w:rPr>
                <w:sz w:val="17"/>
                <w:szCs w:val="17"/>
                <w:color w:val="auto"/>
              </w:rPr>
            </w:pP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reclassified from other comprehensive income into interest expense</w:t>
            </w:r>
          </w:p>
        </w:tc>
        <w:tc>
          <w:tcPr>
            <w:tcW w:w="20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(1,840)</w:t>
            </w: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(2,435)</w:t>
            </w:r>
          </w:p>
        </w:tc>
      </w:tr>
    </w:tbl>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 of Financial Condition.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cash flow hedges involve derivative agreements with third-party counterparties that contain provisions requiring the Company to post cash collateral if the derivative exposure exceeds a threshold amount and receive collateral for agreements in a net asset position. As of March 31, 2025 and December 31, 2024, the Company did not post collateral to the third-party counterparties. As of March 31, 2025, the Company received $7.4 million in collateral from its third-party counterparties under the agreements in a net asset position. As of March 31, 2025, the Company posted $3.0 million to the CME clearing house that are accounted for as settlements of the derivative liabilities. As of December 31, 2024, the Company received $9.1 million in collateral from its third-party counterparties under the agreements in a net asset position. As of December 31, 2024, the Company posted $856 thousand to the CME clearing house that are accounted for as settlements of the derivative asset.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Freestanding Derivatives</w:t>
      </w:r>
    </w:p>
    <w:p>
      <w:pPr>
        <w:spacing w:after="0" w:line="227"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The Company maintains an interest-rate risk protection program for its loan portfolio in order to offer loan level derivatives with certain borrowers and to generate loan level derivative income. The Company enters into interest rate swap or interest rate floor agreements with borrowers. These interest rate derivatives are designed such that the borrower synthetically attains a fixed-rate loan, while the Company receives floating rate loan payments. The Company offsets the loan level interest rate swap exposure by entering into an offsetting interest rate swap or interest rate floor with an unaffiliated and reputable bank counterparty. These interest rate derivatives do not qualify as designated hedges, under ASU 815; therefore, each interest rate derivative is accounted for as a freestanding derivative. The notional amounts of the interest rate derivatives do not represent amounts exchanged by the parties. The amount exchanged is determined by reference to the notional amount and the other terms of the individual interest rate derivative agreements. The following tables reflect freestanding derivatives included in the consolidated statements of financial condition as of the dates indicated: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83"/>
        </w:trPr>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99"/>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539,938</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9,396</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1,104,821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82,753</w:t>
            </w: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539,938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9,396</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1,104,821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82,753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29"/>
        </w:trPr>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83"/>
        </w:trPr>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99"/>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321,745</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1,344,204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104,474</w:t>
            </w: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1,344,204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Loan level derivative income is recognized on the mark-to-market of the interest rate swap as a fair value adjustment at the time the transaction is closed. Total loan level derivative income is included in non-interest income as follows:</w:t>
      </w:r>
    </w:p>
    <w:p>
      <w:pPr>
        <w:spacing w:after="0" w:line="17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196"/>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Borders>
              <w:top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interest rate swap product with the borrower is cross collateralized with the underlying loan and, therefore, there is no posted collateral. Certain interest rate swap agreements with third-party counterparties contain provisions that require the Company to post collateral if the derivative exposure exceeds a threshold amount and receive collateral for agreements in a net asset position. As of March 31, 2025 and December 31, 2024, the Company did not post collateral to its third-party counterparties, respectively. As of March 31, 2025, the Company received $77.8 million in collateral from its third-party counterparties under the agreements in a net asset position. As of December 31, 2024, the Company received $103.3 million in collateral from its third-party counterparties under the agreements in a net asset position.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Risk Participation Agreements</w:t>
      </w:r>
    </w:p>
    <w:p>
      <w:pPr>
        <w:spacing w:after="0" w:line="227"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The Company enters into risk participation agreements to manage economic risks but does not designate the instruments in hedge relationships. As of March 31, 2025 and December 31, 2024, the notional amounts of risk participation agreements for derivative liabilities were $140.9 million and $141.1 million, respectively. The related fair values of the Company’s risk participation agreements as of March 31, 2025 and December 31, 2024 were $15 thousand and $10 thousand,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 Related Contingent Features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agreements with each of its derivative counterparties state that if the Company defaults on any of its indebtedness, it could also be declared in default on its derivative obligations and could be required to terminate its derivative positions with the counterparty.</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agreements with certain of its derivative counterparties state that if the Bank fails to maintain its status as a well-capitalized institution, the Bank could be required to terminate its derivative positions with the counterparty.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derivatives in a net liability position, which includes accrued interest but excludes any adjustment for nonperformance risk, any breach of the above provisions by the Company may require settlement of its obligations under the agreements at the termination value with the respective counterparty. As of March 31, 2025, there were no derivatives in a net liability position, and therefore the termination value was zero. There were no provisions breached for the three months ended March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74" w:lineRule="exact"/>
        <w:rPr>
          <w:sz w:val="20"/>
          <w:szCs w:val="20"/>
          <w:color w:val="auto"/>
        </w:rPr>
      </w:pPr>
    </w:p>
    <w:p>
      <w:pPr>
        <w:jc w:val="both"/>
        <w:ind w:left="60" w:right="79" w:firstLine="3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Quoted prices (unadjusted) for identical assets or liabilities in active markets that the reporting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ability to access at the measurement date.</w:t>
      </w:r>
    </w:p>
    <w:p>
      <w:pPr>
        <w:spacing w:after="0" w:line="158" w:lineRule="exact"/>
        <w:rPr>
          <w:sz w:val="20"/>
          <w:szCs w:val="20"/>
          <w:color w:val="auto"/>
        </w:rPr>
      </w:pPr>
    </w:p>
    <w:p>
      <w:pPr>
        <w:jc w:val="both"/>
        <w:ind w:left="60" w:right="59" w:firstLine="38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Significant other observable inputs such as any of the following: (1) quoted prices for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active markets, (2) quoted prices for identical or similar assets or liabilities in markets that are not active,</w:t>
      </w:r>
    </w:p>
    <w:p>
      <w:pPr>
        <w:ind w:left="60" w:right="79" w:hanging="10"/>
        <w:spacing w:after="0" w:line="260" w:lineRule="auto"/>
        <w:tabs>
          <w:tab w:leader="none" w:pos="3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interest rates and yield curves observable at commonly quoted intervals, volatilities, prepayment speeds, loss severities, credit risks, and default rates),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or (4) inputs that are derived principally from or corroborated by observable market data by correlation or other means (market-corroborated inputs).</w:t>
      </w:r>
    </w:p>
    <w:p>
      <w:pPr>
        <w:spacing w:after="0" w:line="160"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Inputs – </w:t>
      </w:r>
      <w:r>
        <w:rPr>
          <w:rFonts w:ascii="Times New Roman" w:cs="Times New Roman" w:eastAsia="Times New Roman" w:hAnsi="Times New Roman"/>
          <w:sz w:val="18"/>
          <w:szCs w:val="18"/>
          <w:color w:val="auto"/>
        </w:rPr>
        <w:t>Significant unobservable inputs for the asset or liability. Significant unobservable inputs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entity’s own assumptions about the assumptions that market participants would use in pricing the asset or liability (including assumptions about risk). Significant unobservable inputs shall be used to measure fair value to the extent that observable inputs are not available, thereby allowing for situations in which there is little, if any, market activity for the asset or liability at the measurement date.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Recurring Basis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available-for-sale securities are reported at fair value, which were determined utilizing prices obtained from independent parties. The valuations obtained are based upon market data, and often utilize evaluated pricing models that vary by asset and incorporate available trade, bid and other market information. For securities that do not trade on a daily basis, pricing applications apply available information such as benchmarking and matrix pricing. The market inputs normally sought in the evaluation of securities include benchmark yields, reported trades, broker/dealer quotes (obtained only from market makers or broker/dealers recognized as market participants), issuer spreads, two-sided markets, benchmark securities, bids, offers and reference data. For certain securities, additional inputs may be used or some market inputs may not be applicable. Prioritization of inputs may vary on any given day based on market conditions.</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All MBS, CMOs, treasury securities, and agency notes are guaranteed either implicitly or explicitly by GSEs as of March 31, 2025 and December 31, 2024. In accordance with the Company’s investment policy, corporate securities are rated “investment grade” at the time of purchase and the financials of the issuers are reviewed quarterly.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swaps and estimated fair values are based on valuation models using observable market data as of the measurement date.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financial assets and liabilities measured at fair value on a recurring basis as of the dates indicated, segmented by level within the fair value hierarchy. Financial assets and liabilities are classified in their entirety based on the lowest level of input that is significant to the fair value measurement.</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5"/>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at March 31, 2025 Using</w:t>
            </w:r>
          </w:p>
        </w:tc>
      </w:tr>
      <w:tr>
        <w:trPr>
          <w:trHeight w:val="183"/>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7"/>
              </w:rPr>
              <w:t>Level 3</w:t>
            </w:r>
          </w:p>
        </w:tc>
      </w:tr>
      <w:tr>
        <w:trPr>
          <w:trHeight w:val="212"/>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0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9,703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9,703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175,536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175,536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299,513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299,513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203,006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203,006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22,821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2"/>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6,591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6,591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92,149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92,149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fair value hedges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92,149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92,149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Derivative – risk participations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6"/>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5"/>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at December 31, 2024 Using</w:t>
            </w:r>
          </w:p>
        </w:tc>
      </w:tr>
      <w:tr>
        <w:trPr>
          <w:trHeight w:val="183"/>
        </w:trPr>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8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199"/>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0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Agency Notes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9,607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9,607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Agency CMOs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risk participations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Non-recurring Basis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7"/>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1,958</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1,958</w:t>
            </w:r>
          </w:p>
        </w:tc>
        <w:tc>
          <w:tcPr>
            <w:tcW w:w="0" w:type="dxa"/>
            <w:vAlign w:val="bottom"/>
          </w:tcPr>
          <w:p>
            <w:pPr>
              <w:spacing w:after="0"/>
              <w:rPr>
                <w:sz w:val="1"/>
                <w:szCs w:val="1"/>
                <w:color w:val="auto"/>
              </w:rPr>
            </w:pPr>
          </w:p>
        </w:tc>
      </w:tr>
      <w:tr>
        <w:trPr>
          <w:trHeight w:val="378"/>
        </w:trPr>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7"/>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7,584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7,584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March 31, 2025 had a carrying amount of $2.0 million, which is made up of the outstanding balance of $3.7 million, net of a valuation allowance of $1.7 million. There was a credit loss recovery of $398 thousand on collateral dependent individually evaluated loans during the three months ended March 31, 2025, which is included in the amounts reported in the Consolidated Statements of Operations.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December 31, 2024 had a carrying amount of $7.6 million, which is made up of the outstanding balance of $9.7 million, net of a valuation allowance of $2.1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Financial Instruments Not Measured at Fair Value</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carrying amounts and estimated fair values of financial instruments other than those measured at fair value on either a recurring or non-recurring basis for the dates indicated, segmented by level within the fair value hierarchy. Financial assets and liabilities are classified in their entirety based on the lowest level of input that is significant to the fair value measurement.</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at March 31, 2025 Using</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6"/>
        </w:trPr>
        <w:tc>
          <w:tcPr>
            <w:tcW w:w="2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1,030,702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1,030,702</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1,030,702</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631,334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558,786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558,786</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2,527</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10,776,322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10,419,587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10,419,587</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56,044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49,606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56,044</w:t>
            </w:r>
          </w:p>
        </w:tc>
      </w:tr>
      <w:tr>
        <w:trPr>
          <w:trHeight w:val="203"/>
        </w:trPr>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7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10,494,856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10,494,856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10,494,856</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Certificates of deposit ("CDs")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1,121,068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1,118,156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1,118,156</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FHLBNY advances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508,000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510,485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510,485</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272,370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256,150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256,150</w:t>
            </w:r>
          </w:p>
        </w:tc>
      </w:tr>
      <w:tr>
        <w:trPr>
          <w:trHeight w:val="212"/>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9,302</w:t>
            </w:r>
          </w:p>
        </w:tc>
      </w:tr>
      <w:tr>
        <w:trPr>
          <w:trHeight w:val="98"/>
        </w:trPr>
        <w:tc>
          <w:tcPr>
            <w:tcW w:w="2240" w:type="dxa"/>
            <w:vAlign w:val="bottom"/>
            <w:tcBorders>
              <w:bottom w:val="single" w:sz="8" w:color="auto"/>
            </w:tcBorders>
          </w:tcPr>
          <w:p>
            <w:pPr>
              <w:spacing w:after="0"/>
              <w:rPr>
                <w:sz w:val="8"/>
                <w:szCs w:val="8"/>
                <w:color w:val="auto"/>
              </w:rPr>
            </w:pPr>
          </w:p>
        </w:tc>
        <w:tc>
          <w:tcPr>
            <w:tcW w:w="14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381"/>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Includes mortgage escrow deposits.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6"/>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2"/>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2024 Using</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6"/>
        </w:trPr>
        <w:tc>
          <w:tcPr>
            <w:tcW w:w="2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1,283,571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1,283,571</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1,283,571</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552,277</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10,775,608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10,354,366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10,354,366</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55,970</w:t>
            </w:r>
          </w:p>
        </w:tc>
      </w:tr>
      <w:tr>
        <w:trPr>
          <w:trHeight w:val="203"/>
        </w:trPr>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7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10,617,060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10,617,060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10,617,060</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CDs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1,066,630</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FHLBNY advances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608,908</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257,464</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 short-term borrowings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r>
      <w:tr>
        <w:trPr>
          <w:trHeight w:val="108"/>
        </w:trPr>
        <w:tc>
          <w:tcPr>
            <w:tcW w:w="22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Includes mortgage escrow deposits.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OTHER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carrying amount and accumulated amortization of intangible assets that are amortizable.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carrying value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10,204</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w:t>
            </w:r>
          </w:p>
        </w:tc>
      </w:tr>
      <w:tr>
        <w:trPr>
          <w:trHeight w:val="20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(6,560)</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w:t>
            </w:r>
          </w:p>
        </w:tc>
      </w:tr>
      <w:tr>
        <w:trPr>
          <w:trHeight w:val="196"/>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3,644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intangible assets was $252 thousand and $307 thousand for the three months ended March 31, 2025 and March 31, 2024, respectively.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amortization expense for the remainder of 2025 through 2029 and thereafter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03"/>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196"/>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FHLBNY ADVANCES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Bank had borrowings from the FHLBNY totaling $508.0 million and $608.0 million at March 31, 2025 and December 31, 2024, respectively, all of which were fixed rate. In accordance with FHLBNY advances, Collateral Pledge and Security Agreement with the FHLBNY, the Bank had remaining FHLBNY borrowing capacity of $1.91 billion as of March 31, 2025 and $1.84 billion as of December 31, 2024, and maintained sufficient qualifying collateral, as defined by the FHLBNY.</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 did not incur any prepayment penalty expense related to the extinguishment of debt. During the three months ended March 31, 2024, the Company had $453 thousand of prepayment penalty expense recognized as a loss on extinguishment of debt.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is a summary of FHLBNY extinguishments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Pr>
          <w:p>
            <w:pPr>
              <w:spacing w:after="0"/>
              <w:rPr>
                <w:sz w:val="17"/>
                <w:szCs w:val="17"/>
                <w:color w:val="auto"/>
              </w:rPr>
            </w:pPr>
          </w:p>
        </w:tc>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7"/>
                <w:szCs w:val="17"/>
                <w:color w:val="auto"/>
              </w:rPr>
            </w:pPr>
          </w:p>
        </w:tc>
      </w:tr>
      <w:tr>
        <w:trPr>
          <w:trHeight w:val="196"/>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advances extinguished</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1,655,000</w:t>
            </w:r>
          </w:p>
        </w:tc>
        <w:tc>
          <w:tcPr>
            <w:tcW w:w="340" w:type="dxa"/>
            <w:vAlign w:val="bottom"/>
            <w:tcBorders>
              <w:top w:val="single" w:sz="8" w:color="CCEEFF"/>
            </w:tcBorders>
            <w:shd w:val="clear" w:color="auto" w:fill="CCEEFF"/>
          </w:tcPr>
          <w:p>
            <w:pPr>
              <w:spacing w:after="0"/>
              <w:rPr>
                <w:sz w:val="17"/>
                <w:szCs w:val="17"/>
                <w:color w:val="auto"/>
              </w:rPr>
            </w:pPr>
          </w:p>
        </w:tc>
      </w:tr>
      <w:tr>
        <w:trPr>
          <w:trHeight w:val="20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rate</w:t>
            </w:r>
          </w:p>
        </w:tc>
        <w:tc>
          <w:tcPr>
            <w:tcW w:w="440" w:type="dxa"/>
            <w:vAlign w:val="bottom"/>
          </w:tcPr>
          <w:p>
            <w:pPr>
              <w:spacing w:after="0"/>
              <w:rPr>
                <w:sz w:val="17"/>
                <w:szCs w:val="17"/>
                <w:color w:val="auto"/>
              </w:rPr>
            </w:pP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 %</w:t>
            </w:r>
          </w:p>
        </w:tc>
        <w:tc>
          <w:tcPr>
            <w:tcW w:w="44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5.28 %</w:t>
            </w:r>
          </w:p>
        </w:tc>
      </w:tr>
      <w:tr>
        <w:trPr>
          <w:trHeight w:val="20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34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FHLBNY advances for each of the next five years.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Overnight, fixed rate at 4.67%</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 fixed rate at rates from 0.59% to 4.43%</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400,000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0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 fixed rate at 4.25%</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36,000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w:t>
            </w:r>
          </w:p>
        </w:tc>
      </w:tr>
      <w:tr>
        <w:trPr>
          <w:trHeight w:val="20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 fixed rate at 4.04%</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12,000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0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fixed rate at rates from 3.98% to 4.03%</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60,000</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r>
      <w:tr>
        <w:trPr>
          <w:trHeight w:val="19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FHLBNY advances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508,000</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608,000</w:t>
            </w:r>
          </w:p>
        </w:tc>
      </w:tr>
      <w:tr>
        <w:trPr>
          <w:trHeight w:val="20"/>
        </w:trPr>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FHLBNY advances had a weighted average interest rate of 4.40% and 4.58% at March 31, 2025 and December 31,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SUBORDINATED DEBENTURES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June 28, 2024, the Company issued $65.0 million aggregate principal amount of fixed-to-floating rate subordinated notes due 2034 (“the 2024 Notes”). The 2024 Notes are callable at par after five years, have a stated maturity of July 15, 2034, and bear interest at a fixed annual rate of 9.00% per year, payable quarterly in arrears on January 15, April 15, July 15, and October 15 of each year, commencing on October 15, 2024. The last interest payment for the fixed rate period will be July 15, 2029. From and including July 15, 2029, to, but excluding the stated maturity date or any earlier redemption date, the interest rate will reset quarterly to an annual interest rate equal to the benchmark rate (which is expected to be Three-Month Term SOFR) plus 495.1 basis points, payable quarterly in arrears on January 15, April 15, July 15, and October 15 of each year, commencing on October 15, 2029.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Subsequently, on July 9, 2024, the Company issued and sold an additional $9.8 million of the 2024 Notes, pursuant to an overallotment option granted to the underwriters of the offering. Including the overallotment option, the total gross proceeds from the offering were $74.8 million, before discounts and offering expenses.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6, 2022, the Company issued $160.0 million aggregate principal amount of fixed-to-floating rate subordinated notes due 2032 (“the 2022 Notes”). The 2022 Notes are callable at par after five years, have a stated maturity of May 15, 2032 and bear interest at a fixed annual rate of 5.00% per year, payable semi-annually in arrears on May 15 and November 15 of each year, commencing on November 15, 2022. The last interest payment for the fixed rate period will be May 15, 2027. From and including May 15, 2027 to, but excluding the maturity date or early redemption date, the interest rate will reset quarterly to an annual interest rate equal to the benchmark rate (which is expected to be Three-Month Term SOFR) plus 218-basis points, payable quarterly in arrears on February 15, May 15, August 15 and November 15 of each year, commencing on August 15, 2027. The Company used the net proceeds of the offering for the repayment of $115.0 million of the Company’s 4.50% fixed-to-floating rate subordinated notes due 2027 on June 15, 2022, and $40.0 million of the Company’s 5.25% fixed-to-floating rate subordinated debentures due 2025 on June 30, 2022. The repayment of the subordinated notes due 2027 resulted in a pre-tax write-off of debt issuance costs of $740 thousand, which was recognized in loss on extinguishment of debt in non-interest expense.</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remaining $40.0 million of fixed-to-floating rate subordinated debentures were issued by the Company in September 2015, are callable at par after ten years, have a stated maturity of September 30, 2030, and bear interest at a fixed annual rate of 5.75% per year, for the first ten years. From and including September 30, 2025 to the maturity date or early redemption date, the interest rate will reset quarterly to an annual interest rate equal to the then-current three-month CME Term SOFR plus 372 basis points.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subordinated debentures totaled $272.4 million and $272.3 million at March 31, 2025 and December 31, 2024, respectively. Interest expense related to the subordinated debentures was $4.3 million and $2.6 million during the three months ended March 31, 2025 and 2024, respectively. The subordinated debentures are included in tier 2 capital (with certain limitations applicable) under current regulatory guidelines and interpretations.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RETIREMENT AND POSTRETIREMENT PLANS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Bank maintains two noncontributory pension plans that existed before the Merger: (i) the Retirement Plan of Dime Community Bank (“Employee Retirement Plan”) and (ii) the BNB Bank Pension Plan, covering all eligible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121"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The Bank sponsors the Employee Retirement Plan, a tax-qualified, noncontributory, defined-benefit retirement plan. Prior to April 1, 2000, substantially all full-time employees of at least 21 years of age were eligible for participation after one year of service. Effective April 1, 2000, the Bank froze all participant benefits under the Employee Retirement Plan. On December 21, 2023, the Company’s Board of Directors adopted a resolution to terminate the Employee Retirement Plan effective December 31, 2023. Retirement benefits of the plan were vested as they were earned. For the year ended December 31, 2024,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Employee Retirement Plan.</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BNB Bank Pension Plan</w:t>
      </w:r>
    </w:p>
    <w:p>
      <w:pPr>
        <w:spacing w:after="0" w:line="229"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During 2012, Bridge Bancorp, Inc., (“Bridge”) amended the BNB Bank Pension Plan by revising the formula for determining benefits effective January 1, 2013, except for certain grandfathered Bridge employees. Additionally, new Bridge employees hired on or after October 1, 2012 were not eligible for the BNB Bank Pension Plan. Effective December 31, 2023, the Bank froze all participant benefits under the BNB Pension Plan, the impact of which is reflected in the recorded curtailment as of December 31, 2023. On December 21, 2023, the Company’s Board of Directors adopted a resolution to terminate the BNB Bank Pension Plan effective December 31, 2023. The termination was effectively completed by March 31, 2025. Retirement benefits of the plan were vested as they were earned. For the year ended December 31, 2024,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BNB Bank Pension Plan.</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represent the components of net periodic (credit) benefit cost associated with these plans: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960" w:type="dxa"/>
            <w:vAlign w:val="bottom"/>
            <w:tcBorders>
              <w:bottom w:val="single" w:sz="8" w:color="auto"/>
            </w:tcBorders>
          </w:tcPr>
          <w:p>
            <w:pPr>
              <w:spacing w:after="0"/>
              <w:rPr>
                <w:sz w:val="18"/>
                <w:szCs w:val="18"/>
                <w:color w:val="auto"/>
              </w:rPr>
            </w:pPr>
          </w:p>
        </w:tc>
      </w:tr>
      <w:tr>
        <w:trPr>
          <w:trHeight w:val="199"/>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960" w:type="dxa"/>
            <w:vAlign w:val="bottom"/>
            <w:tcBorders>
              <w:bottom w:val="single" w:sz="8" w:color="auto"/>
            </w:tcBorders>
          </w:tcPr>
          <w:p>
            <w:pPr>
              <w:spacing w:after="0"/>
              <w:rPr>
                <w:sz w:val="17"/>
                <w:szCs w:val="17"/>
                <w:color w:val="auto"/>
              </w:rPr>
            </w:pPr>
          </w:p>
        </w:tc>
      </w:tr>
      <w:tr>
        <w:trPr>
          <w:trHeight w:val="383"/>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8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21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Pension Plan</w:t>
            </w: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Retirement Plan</w:t>
            </w:r>
          </w:p>
        </w:tc>
      </w:tr>
      <w:tr>
        <w:trPr>
          <w:trHeight w:val="202"/>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assets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(534)</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(323)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03"/>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19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(credit) benefit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loss recognized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benefit cost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contributions to the BNB Bank Pension Plan or the Employee Retirement Plan for the three months ended March 31, 2025 and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left="60" w:right="59"/>
        <w:spacing w:after="0" w:line="243" w:lineRule="auto"/>
        <w:rPr>
          <w:sz w:val="20"/>
          <w:szCs w:val="20"/>
          <w:color w:val="auto"/>
        </w:rPr>
      </w:pPr>
      <w:r>
        <w:rPr>
          <w:rFonts w:ascii="Times New Roman" w:cs="Times New Roman" w:eastAsia="Times New Roman" w:hAnsi="Times New Roman"/>
          <w:sz w:val="18"/>
          <w:szCs w:val="18"/>
          <w:color w:val="auto"/>
        </w:rPr>
        <w:t>The Company maintains a 401(k) Plan (the “401(k) Plan”) that existed before the Merger. The 401(k) Plan covers substantially all current employees. Newly hired employees are automatically enrolled in the plan on the first pay date following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employment, unless they elect not to participate. Participants may contribute a portion of their pre-tax base salary, generally not to exceed $23,500 for the calendar year ended December 31, 2025. Under the provisions of the 401(k) Plan, Dime Community Bank provides an employer non-elective contribution to employee accounts equivalent to 3% of eligible compensation. Participants can invest their account balances into several investment alternatives. The 401(k) Plan does not allow for investment of new contributions in the Company’s common stock, nor does it allow participants to transfer existing balances into the Company’s common stock. The 401(k) Plan held Company common stock within the accounts of participants totaling $6.0 million and $4.4 million at March 31, 2025 and 2024, respectively. During the three months ended March 31, 2025, the Company did not recognize any expense as a component of salaries and employee benefits expense for the 401(k) Plan. During the three months ended March 31, 2024, total expense recognized as a component of salaries and employee benefits expense for the 401(k) Plan was $872 thousand.</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May 2021, the Company’s stockholders approved the Dime Community Bancshares, Inc. 2021 Equity Incentive Plan (the “2021 Equity Incentive Plan”) to provide the Company with sufficient equity compensation to meet the objectives of appropriately incentivizing its officers, other employees, and directors to execute our strategic plan to build shareholder value, while providing appropriate shareholder protections. The Company no longer makes grants under the Legacy Stock Plans. Awards outstanding under the Legacy Stock Plans will continue to remain outstanding and subject to the terms and conditions of the Legacy Stock Plans. An additional 1,185,000 shares of common stock were reserved to be issued under the 2021 Equity Incentive Plan following stockholder approval at the Annual Meeting of Shareholders on May 23, 2024. At March 31, 2025, there were 1,250,943 shares reserved for issuance under the 2021 Equity Incentive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activity related to stock options granted under the Legacy Stock Plans, and changes during the period then ended: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 except share and per share amounts)</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4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99"/>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January 1, 2025</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exercised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forfeited</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6"/>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March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and exercisable at March 31, 2025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stock options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80" w:type="dxa"/>
            <w:vAlign w:val="bottom"/>
            <w:tcBorders>
              <w:bottom w:val="single" w:sz="8" w:color="auto"/>
            </w:tcBorders>
          </w:tcPr>
          <w:p>
            <w:pPr>
              <w:spacing w:after="0"/>
              <w:rPr>
                <w:sz w:val="18"/>
                <w:szCs w:val="18"/>
                <w:color w:val="auto"/>
              </w:rPr>
            </w:pPr>
          </w:p>
        </w:tc>
      </w:tr>
      <w:tr>
        <w:trPr>
          <w:trHeight w:val="202"/>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7"/>
                <w:szCs w:val="17"/>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for option exercise cost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recognized on stock option exercises</w:t>
            </w:r>
          </w:p>
        </w:tc>
        <w:tc>
          <w:tcPr>
            <w:tcW w:w="200" w:type="dxa"/>
            <w:vAlign w:val="bottom"/>
          </w:tcPr>
          <w:p>
            <w:pPr>
              <w:spacing w:after="0"/>
              <w:rPr>
                <w:sz w:val="17"/>
                <w:szCs w:val="17"/>
                <w:color w:val="auto"/>
              </w:rPr>
            </w:pP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bl>
    <w:p>
      <w:pPr>
        <w:spacing w:after="0" w:line="30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range of exercise prices and weighted-average remaining contractual lives of both outstanding and vested options (by option exercise cost) as of March 31, 2025 were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8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7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Vested Options</w:t>
            </w:r>
          </w:p>
        </w:tc>
      </w:tr>
      <w:tr>
        <w:trPr>
          <w:trHeight w:val="183"/>
        </w:trPr>
        <w:tc>
          <w:tcPr>
            <w:tcW w:w="5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28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Contractual</w:t>
            </w:r>
          </w:p>
        </w:tc>
      </w:tr>
      <w:tr>
        <w:trPr>
          <w:trHeight w:val="203"/>
        </w:trPr>
        <w:tc>
          <w:tcPr>
            <w:tcW w:w="528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15"/>
        </w:trPr>
        <w:tc>
          <w:tcPr>
            <w:tcW w:w="528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199"/>
        </w:trPr>
        <w:tc>
          <w:tcPr>
            <w:tcW w:w="5280" w:type="dxa"/>
            <w:vAlign w:val="bottom"/>
            <w:tcBorders>
              <w:top w:val="single" w:sz="8" w:color="CCEEFF"/>
            </w:tcBorders>
            <w:shd w:val="clear" w:color="auto" w:fill="CCEEFF"/>
          </w:tcPr>
          <w:p>
            <w:pPr>
              <w:jc w:val="right"/>
              <w:ind w:right="4099"/>
              <w:spacing w:after="0"/>
              <w:rPr>
                <w:sz w:val="20"/>
                <w:szCs w:val="20"/>
                <w:color w:val="auto"/>
              </w:rPr>
            </w:pPr>
            <w:r>
              <w:rPr>
                <w:rFonts w:ascii="Times New Roman" w:cs="Times New Roman" w:eastAsia="Times New Roman" w:hAnsi="Times New Roman"/>
                <w:sz w:val="16"/>
                <w:szCs w:val="16"/>
                <w:b w:val="1"/>
                <w:bCs w:val="1"/>
                <w:color w:val="auto"/>
                <w:w w:val="99"/>
              </w:rPr>
              <w:t>Exercise Prices:</w:t>
            </w: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5280" w:type="dxa"/>
            <w:vAlign w:val="bottom"/>
          </w:tcPr>
          <w:p>
            <w:pPr>
              <w:jc w:val="right"/>
              <w:ind w:right="4739"/>
              <w:spacing w:after="0"/>
              <w:rPr>
                <w:sz w:val="20"/>
                <w:szCs w:val="20"/>
                <w:color w:val="auto"/>
              </w:rPr>
            </w:pPr>
            <w:r>
              <w:rPr>
                <w:rFonts w:ascii="Times New Roman" w:cs="Times New Roman" w:eastAsia="Times New Roman" w:hAnsi="Times New Roman"/>
                <w:sz w:val="16"/>
                <w:szCs w:val="16"/>
                <w:color w:val="auto"/>
                <w:w w:val="99"/>
              </w:rPr>
              <w:t>$34.87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5280" w:type="dxa"/>
            <w:vAlign w:val="bottom"/>
            <w:shd w:val="clear" w:color="auto" w:fill="CCEEFF"/>
          </w:tcPr>
          <w:p>
            <w:pPr>
              <w:jc w:val="right"/>
              <w:ind w:right="4739"/>
              <w:spacing w:after="0"/>
              <w:rPr>
                <w:sz w:val="20"/>
                <w:szCs w:val="20"/>
                <w:color w:val="auto"/>
              </w:rPr>
            </w:pPr>
            <w:r>
              <w:rPr>
                <w:rFonts w:ascii="Times New Roman" w:cs="Times New Roman" w:eastAsia="Times New Roman" w:hAnsi="Times New Roman"/>
                <w:sz w:val="16"/>
                <w:szCs w:val="16"/>
                <w:color w:val="auto"/>
                <w:w w:val="99"/>
              </w:rPr>
              <w:t>$35.35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3"/>
        </w:trPr>
        <w:tc>
          <w:tcPr>
            <w:tcW w:w="5280" w:type="dxa"/>
            <w:vAlign w:val="bottom"/>
            <w:tcBorders>
              <w:bottom w:val="single" w:sz="8" w:color="CCEEFF"/>
            </w:tcBorders>
          </w:tcPr>
          <w:p>
            <w:pPr>
              <w:jc w:val="right"/>
              <w:ind w:right="4739"/>
              <w:spacing w:after="0"/>
              <w:rPr>
                <w:sz w:val="20"/>
                <w:szCs w:val="20"/>
                <w:color w:val="auto"/>
              </w:rPr>
            </w:pPr>
            <w:r>
              <w:rPr>
                <w:rFonts w:ascii="Times New Roman" w:cs="Times New Roman" w:eastAsia="Times New Roman" w:hAnsi="Times New Roman"/>
                <w:sz w:val="16"/>
                <w:szCs w:val="16"/>
                <w:color w:val="auto"/>
                <w:w w:val="99"/>
              </w:rPr>
              <w:t>$36.19</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6"/>
        </w:trPr>
        <w:tc>
          <w:tcPr>
            <w:tcW w:w="5280" w:type="dxa"/>
            <w:vAlign w:val="bottom"/>
            <w:tcBorders>
              <w:bottom w:val="single" w:sz="8" w:color="CCEEFF"/>
            </w:tcBorders>
            <w:shd w:val="clear" w:color="auto" w:fill="CCEEFF"/>
          </w:tcPr>
          <w:p>
            <w:pPr>
              <w:jc w:val="right"/>
              <w:ind w:right="4759"/>
              <w:spacing w:after="0"/>
              <w:rPr>
                <w:sz w:val="20"/>
                <w:szCs w:val="20"/>
                <w:color w:val="auto"/>
              </w:rPr>
            </w:pPr>
            <w:r>
              <w:rPr>
                <w:rFonts w:ascii="Times New Roman" w:cs="Times New Roman" w:eastAsia="Times New Roman" w:hAnsi="Times New Roman"/>
                <w:sz w:val="16"/>
                <w:szCs w:val="16"/>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
        </w:trPr>
        <w:tc>
          <w:tcPr>
            <w:tcW w:w="5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made RSA grants to outside Directors and certain officers under the Legacy Stock Plans and the 2021 Equity Incentive Plan. Typically, awards to outside Directors fully vest on the first anniversary of the grant date, while awards to officers vest over a pre-determined requisite period. All awards were made at the fair value of the Company’s common stock on the grant date. Compensation expense on all RSAs is based upon the fair value of the shares on the respective dates of the grant.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RSAs granted, and changes during the period then ended: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7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5"/>
        </w:trPr>
        <w:tc>
          <w:tcPr>
            <w:tcW w:w="67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January 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470,236</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146,558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vested</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(207,898)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forfeited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r>
      <w:tr>
        <w:trPr>
          <w:trHeight w:val="19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March 31,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408,321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RSAs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4"/>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20" w:type="dxa"/>
            <w:vAlign w:val="bottom"/>
            <w:tcBorders>
              <w:bottom w:val="single" w:sz="8" w:color="auto"/>
            </w:tcBorders>
          </w:tcPr>
          <w:p>
            <w:pPr>
              <w:spacing w:after="0"/>
              <w:rPr>
                <w:sz w:val="18"/>
                <w:szCs w:val="18"/>
                <w:color w:val="auto"/>
              </w:rPr>
            </w:pPr>
          </w:p>
        </w:tc>
      </w:tr>
      <w:tr>
        <w:trPr>
          <w:trHeight w:val="202"/>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1,406</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r>
      <w:tr>
        <w:trPr>
          <w:trHeight w:val="212"/>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recognized on vesting of RSAs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bl>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March 31, 2025, there was $8.5 million of total unrecognized compensation cost related to unvested RSAs to be recognized over a weighted-average period of 2.1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Performance-Based Share Awards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maintains a Long-Term Incentive Plan (“LTIP”) for certain officers, which meets the criteria for equity-based accounting. For each award, threshold (50% of target), target (100% of target) and stretch (150% of target) opportunities are eligible to be earned over a three-year performance period based on the Company’s relative performance on certain goals that were established at the onset of the performance period and cannot be altered subsequently. Shares of common stock are issued on the grant date and held as unvested stock awards until the end of the performance period. Shares are issued at the stretch opportunity in order to ensure that an adequate number of shares are allocated for shares expected to vest at the end of the performance period. Compensation expense on PSAs is based upon the fair value of the shares on the date of the grant for the expected aggregate share payout as of the period end.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PSAs granted, and changes during the period then ended: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Maximum aggregate share payout at January 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258,864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forfeited</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vested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(7,166)</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19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Maximum aggregate share payout at March 31,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348,358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Minimum aggregate share payout</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aggregate share payout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340,830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PSAs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4"/>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20" w:type="dxa"/>
            <w:vAlign w:val="bottom"/>
            <w:tcBorders>
              <w:bottom w:val="single" w:sz="8" w:color="auto"/>
            </w:tcBorders>
          </w:tcPr>
          <w:p>
            <w:pPr>
              <w:spacing w:after="0"/>
              <w:rPr>
                <w:sz w:val="18"/>
                <w:szCs w:val="18"/>
                <w:color w:val="auto"/>
              </w:rPr>
            </w:pPr>
          </w:p>
        </w:tc>
      </w:tr>
      <w:tr>
        <w:trPr>
          <w:trHeight w:val="202"/>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2"/>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recognized on vesting of PSAs</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2025, there was $4.9 million of total unrecognized compensation cost related to unvested PSAs based on the expected aggregate share payout to be recognized over a weighted-average period of 2.2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Company’s consolidated effective tax rates were 25.3% and 27.1%, respectively. There were no significant unusual income tax items during the three months ended March 31, 2025 and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Chief Executive Officer, who is designated as the chief operating decision maker (“CODM”), determines the Company’s reportable segment. The Chief Executive Officer along with others in the Company’s executive management evaluates performance and allocates resources based upon analysis of the Company as one operating segment or unit. The activities of the Company comprise one reportable segment, “Community Banking.” All of the Company’s activities are interrelated, and each activity is dependent and assessed based on the manner in which it supports the other activities of the Company. All the consolidated assets are attributable to the Community Banking segment. The accounting policies of the Community Banking segment are the same as those described in Note 1 “Summary of Significant Accounting Policies” in the Company’s Annual Report on Form 10-K for fiscal year ended December 31, 2024.</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provides a range of community banking services, including commercial and consumer lending, personal and business banking, treasury management and merchant services, and other financial services primarily to individuals, businesses, and municipalities in the Greater Long Island area.</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CODM is provided with the Company’s consolidated statements of financial condition and operations and evaluates the Company’s operating results based on consolidated net interest income, non-interest income, non-interest expense, and net income, which can be seen on the consolidated statement of operations. These results are used to benchmark the Company against its competitors. Other significant non-cash items assessed by the CODM are depreciation, amortization and provision for credit losses consistent with the reporting on the consolidated statements of cash flows. Expenditures for long-lived assets are also evaluated and are consistent with the reporting on the consolidated statements of cash flows. Strategic plans and budget to actual monitoring are evaluated as one reportable segment. The actual results are used in assessing performance of the segment and in establishing management’s compensation. All revenues are derived from banking operations within the United States, and for the three months ended March 31, 2025 and 2024, no customer accounted for more than 10% of the Company's consolidated revenue.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Dime Community Bancshares, Inc., a New York corporation, is a bank holding company formed in 1988. On a parent-only basis, the Holding Company has minimal operations, other than as owner of Dime Community Bank. The Holding Company is dependent on dividends from its wholly-owned subsidiary, Dime Community Bank, its own earnings, additional capital raised, and borrowings as sources of funds. The information in this report reflects principally the financial condition and results of operations of the Bank. The Bank's results of operations are primarily dependent on its net interest income, which is the difference between interest income on loans and investments and interest expense on deposits and borrowings. The Bank also generates non-interest income, such as fee income on deposit and loan accounts, merchant credit and debit card processing programs, loan swap fees, investment services, income from its title insurance subsidiary, and net gains on sales of securities and loans. The level of non-interest expenses, such as salaries and benefits, occupancy and equipment costs, other general and administrative expenses, expenses from the Bank’s title insurance subsidiary, and income tax expense, further affects our net income. Certain reclassifications have been made to prior year amounts and the related discussion and analysis to conform to the current year presentation. These reclassifications did not have an impact on net income or total stockholders'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Highlights and Other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At or For the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2"/>
        </w:trPr>
        <w:tc>
          <w:tcPr>
            <w:tcW w:w="22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22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9"/>
        </w:trPr>
        <w:tc>
          <w:tcPr>
            <w:tcW w:w="2240" w:type="dxa"/>
            <w:vAlign w:val="bottom"/>
            <w:tcBorders>
              <w:bottom w:val="single" w:sz="8" w:color="CCEEFF"/>
            </w:tcBorders>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20" w:type="dxa"/>
            <w:vAlign w:val="bottom"/>
            <w:tcBorders>
              <w:bottom w:val="single" w:sz="8" w:color="CCEEFF"/>
            </w:tcBorders>
          </w:tcPr>
          <w:p>
            <w:pPr>
              <w:spacing w:after="0"/>
              <w:rPr>
                <w:sz w:val="17"/>
                <w:szCs w:val="17"/>
                <w:color w:val="auto"/>
              </w:rPr>
            </w:pPr>
          </w:p>
        </w:tc>
      </w:tr>
      <w:tr>
        <w:trPr>
          <w:trHeight w:val="19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Reported EPS (Diluted)</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0.45</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220" w:type="dxa"/>
            <w:vAlign w:val="bottom"/>
          </w:tcPr>
          <w:p>
            <w:pPr>
              <w:spacing w:after="0"/>
              <w:rPr>
                <w:sz w:val="17"/>
                <w:szCs w:val="17"/>
                <w:color w:val="auto"/>
              </w:rPr>
            </w:pPr>
          </w:p>
        </w:tc>
      </w:tr>
      <w:tr>
        <w:trPr>
          <w:trHeight w:val="202"/>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0.25</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22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Book value per common share</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29.58</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22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payout ratio</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55.56 %</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60.98 %</w:t>
            </w:r>
          </w:p>
        </w:tc>
      </w:tr>
      <w:tr>
        <w:trPr>
          <w:trHeight w:val="20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and Other Selected Ratios: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0.62 %</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0.51 %</w:t>
            </w:r>
          </w:p>
        </w:tc>
      </w:tr>
      <w:tr>
        <w:trPr>
          <w:trHeight w:val="20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Return on average equity</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2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interest spread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2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interest margin</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Average interest-earning assets to average interest-bearing liabilities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146.99</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w:t>
            </w:r>
          </w:p>
        </w:tc>
        <w:tc>
          <w:tcPr>
            <w:tcW w:w="22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Efficiency ratio</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63.1</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2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Loan-to-deposit ratio at end of period</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2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Effective tax rate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25.26</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22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Summary:</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Non-performing loans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58,041</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34,827</w:t>
            </w:r>
          </w:p>
        </w:tc>
        <w:tc>
          <w:tcPr>
            <w:tcW w:w="22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Non-performing assets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58,041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34,827</w:t>
            </w:r>
          </w:p>
        </w:tc>
        <w:tc>
          <w:tcPr>
            <w:tcW w:w="22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charge-offs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7,058</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22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Non-performing assets/Total assets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0.41</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36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0.26 %</w:t>
            </w:r>
          </w:p>
        </w:tc>
      </w:tr>
      <w:tr>
        <w:trPr>
          <w:trHeight w:val="203"/>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Non-performing loans/Total loans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0.53</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2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Allowance for credit losses/Total loans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220" w:type="dxa"/>
            <w:vAlign w:val="bottom"/>
          </w:tcPr>
          <w:p>
            <w:pPr>
              <w:spacing w:after="0"/>
              <w:rPr>
                <w:sz w:val="17"/>
                <w:szCs w:val="17"/>
                <w:color w:val="auto"/>
              </w:rPr>
            </w:pPr>
          </w:p>
        </w:tc>
      </w:tr>
      <w:tr>
        <w:trPr>
          <w:trHeight w:val="202"/>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Allowance for credit losses/Non-performing loans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155.85</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218.42</w:t>
            </w:r>
          </w:p>
        </w:tc>
        <w:tc>
          <w:tcPr>
            <w:tcW w:w="220" w:type="dxa"/>
            <w:vAlign w:val="bottom"/>
            <w:shd w:val="clear" w:color="auto" w:fill="CCEEFF"/>
          </w:tcPr>
          <w:p>
            <w:pPr>
              <w:spacing w:after="0"/>
              <w:rPr>
                <w:sz w:val="17"/>
                <w:szCs w:val="17"/>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9" w:lineRule="exact"/>
        <w:rPr>
          <w:sz w:val="20"/>
          <w:szCs w:val="20"/>
          <w:color w:val="auto"/>
        </w:rPr>
      </w:pPr>
    </w:p>
    <w:p>
      <w:pPr>
        <w:ind w:left="240" w:hanging="190"/>
        <w:spacing w:after="0"/>
        <w:tabs>
          <w:tab w:leader="none" w:pos="24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Non-performing loans are defined as all loans on non-accrual status.</w:t>
      </w:r>
    </w:p>
    <w:p>
      <w:pPr>
        <w:spacing w:after="0" w:line="200" w:lineRule="exact"/>
        <w:rPr>
          <w:rFonts w:ascii="Times New Roman" w:cs="Times New Roman" w:eastAsia="Times New Roman" w:hAnsi="Times New Roman"/>
          <w:sz w:val="24"/>
          <w:szCs w:val="24"/>
          <w:color w:val="auto"/>
          <w:vertAlign w:val="superscript"/>
        </w:rPr>
      </w:pPr>
    </w:p>
    <w:p>
      <w:pPr>
        <w:spacing w:after="0" w:line="219" w:lineRule="exact"/>
        <w:rPr>
          <w:rFonts w:ascii="Times New Roman" w:cs="Times New Roman" w:eastAsia="Times New Roman" w:hAnsi="Times New Roman"/>
          <w:sz w:val="24"/>
          <w:szCs w:val="24"/>
          <w:color w:val="auto"/>
          <w:vertAlign w:val="superscript"/>
        </w:rPr>
      </w:pPr>
    </w:p>
    <w:p>
      <w:pPr>
        <w:ind w:left="442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Note 1. Summary of Significant Accounting Policies, to the Company’s Audited Consolidated Financial Statements in its Annual Report on Form 10-K for the year ended December 31, 2024 contains a summary of significant accounting policies. These critical accounting estimates involve a significant degree of complexity and require management to make difficult subjective judgments which often necessitate assumptions or estimates about highly uncertain matters. Policies with respect to the methodologies used to determine the allowance for credit losses on loans held for investment and are important to the presentation of the Company’s consolidated financial condition and results of operations. The use of different judgments, assumptions or estimates could result in material variations in the Company’s consolidated results of operations or financial condition.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 has reviewed the following critical accounting estimates and related disclosures with its Audit Committee.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on Loans Held for Investment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realized losses, net of recoveries, are charged against the allowance.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Within the model, assumptions are made in the determination of probability of default, loss given default, reasonable and supportable economic forecasts, prepayment rate, curtailment rate, and recovery lag periods.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Statistical regression is utilized to relate historical macro-economic variables to historical credit loss experience of a peer group of banks that operate in and around Dime’s footprint. These models are then utilized to forecast future expected loan losses based on expected future behavior of the same macro-economic variables. Adjustments to the quantitative results are made using qualitative factors, which are subjective and require significant management judgment. These factors include:</w:t>
      </w:r>
    </w:p>
    <w:p>
      <w:pPr>
        <w:spacing w:after="0" w:line="3" w:lineRule="exact"/>
        <w:rPr>
          <w:sz w:val="20"/>
          <w:szCs w:val="20"/>
          <w:color w:val="auto"/>
        </w:rPr>
      </w:pPr>
    </w:p>
    <w:p>
      <w:pPr>
        <w:jc w:val="both"/>
        <w:ind w:left="60" w:right="59" w:hanging="10"/>
        <w:spacing w:after="0" w:line="250" w:lineRule="auto"/>
        <w:tabs>
          <w:tab w:leader="none" w:pos="3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w:t>
      </w:r>
    </w:p>
    <w:p>
      <w:pPr>
        <w:spacing w:after="0" w:line="1" w:lineRule="exact"/>
        <w:rPr>
          <w:rFonts w:ascii="Times New Roman" w:cs="Times New Roman" w:eastAsia="Times New Roman" w:hAnsi="Times New Roman"/>
          <w:sz w:val="18"/>
          <w:szCs w:val="18"/>
          <w:color w:val="auto"/>
        </w:rPr>
      </w:pPr>
    </w:p>
    <w:p>
      <w:pPr>
        <w:jc w:val="both"/>
        <w:ind w:left="60" w:right="59" w:hanging="10"/>
        <w:spacing w:after="0" w:line="253" w:lineRule="auto"/>
        <w:tabs>
          <w:tab w:leader="none" w:pos="3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Although management believes that it uses the best information available to establish the Allowance for Credit Loss, management assesses the sensitivity of key quantitative assumptions including macroeconomic forecasts and prepayment rate assumptions. Changes in quantitative inputs may not occur in the same direction or magnitude across all segments of our loan portfolio and deterioration in some quantitative inputs may offset improvement in others.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above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pacing w:after="0" w:line="15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which would materially decrease our net income.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Board of Directors has approved a liquidity policy that it reviews and updates at least annually. Senior management is responsible for implementing the policy. The Bank’s Asset Liability Committee (“ALCO”) is responsible for general oversight and strategic implementation of the policy and management of the appropriate departments are designated responsibility for implementing any strategies established by ALCO. On a daily basis, appropriate senior management receives a current cash position report and 30-day forecast to ensure that all short-term obligations are timely satisfied, and that adequate liquidity exists to fund future activities. Reports detailing the Bank’s liquidity reserves are presented to appropriate senior management on at least a monthly basis, and the Board of Directors at each of its meetings. In addition, a twelve-month liquidity forecast is presented to ALCO in order to assess potential future liquidity concerns. A forecast of cash flow data for the upcoming 12 months is presented to the Board of Directors no less than annually. Given recent banking industry events, management monitors the level of uninsured deposits on a regular basis.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Liquidity is primarily needed to meet customer borrowing commitments and deposit withdrawals, either on demand or on contractual maturity, to repay borrowings as they mature, to fund current and planned expenditures and to make new loans and investments as opportunities arise. The Bank’s primary sources of funding for its lending and investment activities include deposits, loan payments, investment security principal and interest payments and advances from the FHLBNY. The Bank may also sell or securitize selected multifamily residential, mixed-use or one-to-four family residential real estate loans to private sector secondary market purchasers and has in the past sold such loans to FNMA and Federal Home Loan Mortgage Corporation (“FHLMC”). The Company may additionally issue debt or equity under appropriate circumstances. Although maturities and scheduled amortization of loans and investments are predictable sources of funds, deposit flows and prepayments on real estate loans and MBS are influenced by interest rates, economic conditions and competition.</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Bank is a member of American Financial Exchange (“AFX”), through which it may either borrow or lend funds on an overnight or short-term basis with other member institutions. The availability of funds changes daily. At March 31, 2025, the Bank did not have any such borrowings outstanding through the AFX. At December 31, 2024, the Bank had $50.0 million of such borrowings outstanding through the AFX, which is included in other short-term borrowings on the consolidated statements of financial condition.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utilizes repurchase agreements as part of its borrowing policy to add liquidity. Repurchase agreements represent funds received from customers, generally on an overnight basis, which are collateralized by investment securities. As of March 31, 2025 and December 31, 2024, the Bank did not have any repurchase agreements.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Bank gathers deposits in direct competition with commercial banks, savings banks and brokerage firms, many among the largest in the nation. It must additionally compete for deposit monies against the stock and bond markets, especially during periods of strong performance in those arenas. The Bank’s deposit flows are affected primarily by the pricing and marketing of its deposit products compared to its competitors, as well as the market performance of depositor investment alternatives such as the U.S. bond or equity markets. To the extent that the Bank is responsive to general market increases or declines in interest rates, its deposit flows should not be materially impacted. However, favorable performance of the equity or bond markets could adversely impact the Bank’s deposit flows.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deposits (including mortgage escrow deposits) decreased $70.2 million during the three months ended March 31, 2025, compared to an increase of $368.2 million during the three months ended March 31, 2024. The decrease in deposits during the current period was primarily due to a decrease in interest bearing and non-interest-bearing checking accounts, offset by the growth in money market accounts, CD’s and savings accounts deposits.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event that the Bank should require funds beyond its ability or desire to generate them internally, additional sources of funds are available through a borrowing line at the FHLBNY, borrowing capacity at the AFX, lines of credit with unaffiliated correspondent banks, and various brokered deposit sources. At March 31, 2025, the Bank had remaining borrowing capacity of $1.91 billion through the FHLBNY, subject to customary minimum FHLBNY common stock ownership requirements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4.5% of the Bank’s outstanding FHLBNY borrowings). The Bank also had access to the FRB Discount Window. At March 31, 2025, an available line of credit totaling $395.9 million was in place at the FRB backed by investment securities with no advances drawn. Additionally, at March 31, 2025, a line of credit totaling $3.16 billion was in place at the FRB secured by certain qualifying 1-4 family residential mortgage loans, construction loans and CRE loans with no amounts drawn.</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reduced its outstanding FHLBNY advances by $100.0 million during the three months ended March 31, 2025, compared to a reduction of $540.0 million during the three months ended March 31, 2024. See Note 12. “FHLBNY Advances” for further information.</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Subordinated debentures totaled $272.4 million at March 31, 2025 compared to $272.3 million at December 31, 2024. See Note 13. “Subordinated Debentures” to our Consolidated Financial Statements for further information.</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business loan originations totaled $42.6 million and $49.0 million, respectively. During the three months ended March 31, 2025, and 2024, real estate loan originations (excluding owner-occupied commercial real estate) totaled $28.9 million and $49.2 million, respectively.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and the Bank are subject to minimum regulatory capital requirements imposed by their primary federal regulators. As a general matter, these capital requirements are based on the amount and composition of an institution’s assets. At March 31, 2025, both the Company and the Bank were in compliance with all applicable regulatory capital requirements and the Bank was considered “well capitalized” for all regulatory purposes.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75" w:lineRule="auto"/>
        <w:rPr>
          <w:sz w:val="20"/>
          <w:szCs w:val="20"/>
          <w:color w:val="auto"/>
        </w:rPr>
      </w:pPr>
      <w:r>
        <w:rPr>
          <w:rFonts w:ascii="Times New Roman" w:cs="Times New Roman" w:eastAsia="Times New Roman" w:hAnsi="Times New Roman"/>
          <w:sz w:val="18"/>
          <w:szCs w:val="18"/>
          <w:color w:val="auto"/>
        </w:rPr>
        <w:t>The following table summarizes Company and Bank capital ratios calculated under the Basel III Capital Rules framework as of the period indicated: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7"/>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Actual Ratios at March 31, 2025</w:t>
            </w:r>
          </w:p>
        </w:tc>
      </w:tr>
      <w:tr>
        <w:trPr>
          <w:trHeight w:val="183"/>
        </w:trPr>
        <w:tc>
          <w:tcPr>
            <w:tcW w:w="41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Basel III</w:t>
            </w:r>
          </w:p>
        </w:tc>
        <w:tc>
          <w:tcPr>
            <w:tcW w:w="1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4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 Be Categorized as</w:t>
            </w:r>
          </w:p>
        </w:tc>
      </w:tr>
      <w:tr>
        <w:trPr>
          <w:trHeight w:val="232"/>
        </w:trPr>
        <w:tc>
          <w:tcPr>
            <w:tcW w:w="4160" w:type="dxa"/>
            <w:vAlign w:val="bottom"/>
          </w:tcPr>
          <w:p>
            <w:pPr>
              <w:spacing w:after="0"/>
              <w:rPr>
                <w:sz w:val="20"/>
                <w:szCs w:val="20"/>
                <w:color w:val="auto"/>
              </w:rPr>
            </w:pP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Bank</w:t>
            </w:r>
          </w:p>
        </w:tc>
        <w:tc>
          <w:tcPr>
            <w:tcW w:w="10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170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“Well Capitalized” </w:t>
            </w:r>
            <w:r>
              <w:rPr>
                <w:rFonts w:ascii="Times New Roman" w:cs="Times New Roman" w:eastAsia="Times New Roman" w:hAnsi="Times New Roman"/>
                <w:sz w:val="24"/>
                <w:szCs w:val="24"/>
                <w:b w:val="1"/>
                <w:bCs w:val="1"/>
                <w:color w:val="auto"/>
                <w:vertAlign w:val="superscript"/>
              </w:rPr>
              <w:t>(1)</w:t>
            </w: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common equity ratio</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risk-based capital ratio</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Pr>
          <w:p>
            <w:pPr>
              <w:spacing w:after="0"/>
              <w:rPr>
                <w:sz w:val="17"/>
                <w:szCs w:val="17"/>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17"/>
                <w:szCs w:val="17"/>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leverage ratio</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74"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Only the Bank is subject to these requirements.</w:t>
      </w:r>
    </w:p>
    <w:p>
      <w:pPr>
        <w:spacing w:after="0" w:line="20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Holding Company did not repurchase any shares of its common stock. As of March 31, 2025, 1,566,947 shares remained available for purchase under the authorized share repurchase programs. See “Part II - Item 2. Other Information - Unregistered Sales of Equity Securities, Use of Proceeds and Issuer Purchases of Equity Securities” for additional information about repurchases of common stock.</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Holding Company paid $1.8 million in cash dividends on its preferred stock during the three months ended March 31, 2025, and 2024,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Holding Company paid $10.7 million and $9.7 million in cash dividends on its common stock during the three months ended March 31,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generally has borrowings outstanding in the form of FHLBNY advances, short-term or overnight borrowings, subordinated debt, as well as customer CDs with fixed contractual interest rates. In addition, the Bank is obligated to make rental payments under leases on certain of its branches and equipment.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part of its loan origination business, the Bank generally has outstanding commitments to extend credit to borrowers, which are originated pursuant to its regular underwriting standards. Available lines of credit may not be drawn on or may expire prior to funding, in whole or in part, and amounts are not estimates of future cash flows. As of March 31, 2025, the Bank had $156.9 million of firm loan commitments that were accepted by the borrowers.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in connection with a loan securitization completed in December 2017, the Bank executed a reimbursement agreement with FHLMC that obligates the Company to reimburse FHLMC for any contractual principal and interest payments on defaulted loans, not to exceed 10% of the original principal amount of the loans comprising the aggregate balance of the loan pool at securitization. The maximum exposure under this reimbursement obligation is $28.0 million. The Bank has pledged $28.0 million of pass-through MBS issued by GSEs as collateral.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of Lending Activities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Non-owner occupied commercial real estate loans and multifamily residential and residential mixed-use loans have collectively represented the largest percentage of the Company’s loan portfolio, accounting for 64% and 65% of total loans held for investment as of March 31, 2025 and December 31, 2024, respectively. Non-owner occupied commercial real estate loans represent 29% and 30% of total loans held for investment as of March 31, 2025 and December 31, 2024, respectively. Multifamily residential and residential mixed-use loans made up 35% of total loans held for investment as of March 31, 2025 and December 31, 2024, respectively. The Company expects that non-owner occupied commercial real estate loans and multifamily residential and residential mixed-use loans will continue to be a significant portion of the Company’s total loan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Non-owner occupied commercial real estate loans and multifamily residential and residential mixed-use loans are subject to a varying degree of risk associated with changing general economic conditions. The Company employs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appropriate capital levels as needed to support lending activities.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Despite the Company's concentration in non-owner occupied commercial real estate and multifamily residential and residential mixed-use loans, the properties securing these portfolios are diversified in terms of type and geographic location. This diversity helps reduce the exposure to adverse economic events that affect any single market or industry. As a matter of policy, the non-owner occupied commercial real estate loan and the multifamily residential and residential mixed-use loan portfolios are subject to risk exposure limits by individual asset classes as well as geographic collateral locations outside of our market areas.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regularly identify and assess concentration levels through ongoing reporting to our Board of Directors as well as committees at both the Board and Management levels. The management team has extensive knowledge and experience in underwriting non-owner occupied commercial real estate loans and multifamily residential and residential mixed-use loans. Management has established the Credit Risk Management Committee which meets quarterly to review all policies and procedures, large lending exposures, and emerging trends including trends related to delinquency, debt service coverage ratios, loan-to-value, and loan ratings to aid in early detection and escalation of potential issues. The Company has a dedicated team responsible for conducting comprehensive annual reviews of the portfolios, ensuring consistent oversight. Credit underwriting standards are periodically reviewed and adjusted based upon observations from our ongoing monitoring of economic conditions in major real estate markets in which we lend. In response to the current dynamic interest rate environment and changes in the benchmark rates that determine loan pricing, the Company has enhanced its stress testing and loan review activities to mitigate interest rate reset risk with a specific emphasis on borrowers' abilities to absorb the impact of higher interest loan rates and measure the resiliency of the portfolios. As a general rule, Management takes a selective approach to originating non-owner occupied commercial real estate and multifamily residential and residential mixed-use loans, prioritizing quality and strategic alignment.</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composition by property type and weighted average loan-to-value (“LTV”)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non-owner occupied commercial real estate loans: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NY</w:t>
            </w:r>
          </w:p>
        </w:tc>
        <w:tc>
          <w:tcPr>
            <w:tcW w:w="140" w:type="dxa"/>
            <w:vAlign w:val="bottom"/>
          </w:tcPr>
          <w:p>
            <w:pPr>
              <w:spacing w:after="0"/>
              <w:rPr>
                <w:sz w:val="12"/>
                <w:szCs w:val="12"/>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NJ</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Rate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LTV</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commercial real estate:</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1,060,170</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67,252</w:t>
            </w:r>
          </w:p>
        </w:tc>
        <w:tc>
          <w:tcPr>
            <w:tcW w:w="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3,561</w:t>
            </w:r>
          </w:p>
        </w:tc>
        <w:tc>
          <w:tcPr>
            <w:tcW w:w="1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1,130,983</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442,701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135,243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581,052</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Warehouse/ Industrial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336,783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41,459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447,266</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354,287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11,877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366,588</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Supportive housing</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160,278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160,278</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101,537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28,314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129,851</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Educational facility or library</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113,755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113,755</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facility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60,745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60,745</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194,944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2,738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2,698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200,380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investor commercial real estate</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2,825,200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247,116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118,582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3,190,898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w:t>
            </w:r>
          </w:p>
        </w:tc>
        <w:tc>
          <w:tcPr>
            <w:tcW w:w="16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line="224" w:lineRule="auto"/>
        <w:tabs>
          <w:tab w:leader="none" w:pos="38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200" w:lineRule="exact"/>
        <w:rPr>
          <w:rFonts w:ascii="Times New Roman" w:cs="Times New Roman" w:eastAsia="Times New Roman" w:hAnsi="Times New Roman"/>
          <w:sz w:val="27"/>
          <w:szCs w:val="27"/>
          <w:color w:val="auto"/>
          <w:vertAlign w:val="superscript"/>
        </w:rPr>
      </w:pPr>
    </w:p>
    <w:p>
      <w:pPr>
        <w:spacing w:after="0" w:line="220" w:lineRule="exact"/>
        <w:rPr>
          <w:rFonts w:ascii="Times New Roman" w:cs="Times New Roman" w:eastAsia="Times New Roman" w:hAnsi="Times New Roman"/>
          <w:sz w:val="27"/>
          <w:szCs w:val="27"/>
          <w:color w:val="auto"/>
          <w:vertAlign w:val="superscript"/>
        </w:rPr>
      </w:pPr>
    </w:p>
    <w:p>
      <w:pPr>
        <w:ind w:left="442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NY</w:t>
            </w:r>
          </w:p>
        </w:tc>
        <w:tc>
          <w:tcPr>
            <w:tcW w:w="14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NJ</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Rate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LTV</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commercial real estate:</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1,085,618</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62,990</w:t>
            </w:r>
          </w:p>
        </w:tc>
        <w:tc>
          <w:tcPr>
            <w:tcW w:w="3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3,594</w:t>
            </w:r>
          </w:p>
        </w:tc>
        <w:tc>
          <w:tcPr>
            <w:tcW w:w="1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1,152,202</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49"/>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439,359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135,584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3,127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578,070</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Warehouse/ Industrial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337,288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43,458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69,314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450,060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356,450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11,934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368,809</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Supportive housing</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161,207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161,207</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106,403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28,470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134,873</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Educational facility or library</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120,719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120,719</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facility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60,866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60,866</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196,304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4,662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203,729</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investor commercial real estate</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2,864,214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245,220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121,101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3,230,535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w:t>
            </w:r>
          </w:p>
        </w:tc>
        <w:tc>
          <w:tcPr>
            <w:tcW w:w="16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line="224" w:lineRule="auto"/>
        <w:tabs>
          <w:tab w:leader="none" w:pos="38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20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composition by property type and weighted average LTV of the Company’s multifamily residential and residential mixed-use loans: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86"/>
        </w:trPr>
        <w:tc>
          <w:tcPr>
            <w:tcW w:w="22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Rate</w:t>
            </w:r>
          </w:p>
        </w:tc>
      </w:tr>
      <w:tr>
        <w:trPr>
          <w:trHeight w:val="215"/>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LTV</w:t>
            </w:r>
          </w:p>
        </w:tc>
      </w:tr>
      <w:tr>
        <w:trPr>
          <w:trHeight w:val="199"/>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561,283</w:t>
            </w:r>
          </w:p>
        </w:tc>
        <w:tc>
          <w:tcPr>
            <w:tcW w:w="13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57 </w:t>
            </w:r>
            <w:r>
              <w:rPr>
                <w:rFonts w:ascii="Arial" w:cs="Arial" w:eastAsia="Arial" w:hAnsi="Arial"/>
                <w:sz w:val="16"/>
                <w:szCs w:val="16"/>
                <w:color w:val="auto"/>
              </w:rPr>
              <w:t>%</w:t>
            </w:r>
          </w:p>
        </w:tc>
      </w:tr>
      <w:tr>
        <w:trPr>
          <w:trHeight w:val="203"/>
        </w:trPr>
        <w:tc>
          <w:tcPr>
            <w:tcW w:w="646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638,100</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1,839,105</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55</w:t>
            </w:r>
          </w:p>
        </w:tc>
        <w:tc>
          <w:tcPr>
            <w:tcW w:w="180" w:type="dxa"/>
            <w:vAlign w:val="bottom"/>
            <w:shd w:val="clear" w:color="auto" w:fill="CCEEFF"/>
          </w:tcPr>
          <w:p>
            <w:pPr>
              <w:spacing w:after="0"/>
              <w:rPr>
                <w:sz w:val="17"/>
                <w:szCs w:val="17"/>
                <w:color w:val="auto"/>
              </w:rPr>
            </w:pPr>
          </w:p>
        </w:tc>
      </w:tr>
      <w:tr>
        <w:trPr>
          <w:trHeight w:val="196"/>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3,038,488</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56</w:t>
            </w:r>
          </w:p>
        </w:tc>
        <w:tc>
          <w:tcPr>
            <w:tcW w:w="18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741,435</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r>
      <w:tr>
        <w:trPr>
          <w:trHeight w:val="196"/>
        </w:trPr>
        <w:tc>
          <w:tcPr>
            <w:tcW w:w="6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multifamily residential and residential mixed-use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3,779,923</w:t>
            </w:r>
          </w:p>
        </w:tc>
        <w:tc>
          <w:tcPr>
            <w:tcW w:w="13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57 </w:t>
            </w: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r>
    </w:tbl>
    <w:p>
      <w:pPr>
        <w:ind w:left="380" w:hanging="330"/>
        <w:spacing w:after="0" w:line="224" w:lineRule="auto"/>
        <w:tabs>
          <w:tab w:leader="none" w:pos="38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New York City includes the Bronx, Brooklyn, Queens, Staten Island and Manhattan.</w:t>
      </w:r>
    </w:p>
    <w:p>
      <w:pPr>
        <w:spacing w:after="0" w:line="11"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22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Rate</w:t>
            </w:r>
          </w:p>
        </w:tc>
      </w:tr>
      <w:tr>
        <w:trPr>
          <w:trHeight w:val="215"/>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LTV</w:t>
            </w:r>
          </w:p>
        </w:tc>
      </w:tr>
      <w:tr>
        <w:trPr>
          <w:trHeight w:val="199"/>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572,054</w:t>
            </w:r>
          </w:p>
        </w:tc>
        <w:tc>
          <w:tcPr>
            <w:tcW w:w="13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58 </w:t>
            </w:r>
            <w:r>
              <w:rPr>
                <w:rFonts w:ascii="Arial" w:cs="Arial" w:eastAsia="Arial" w:hAnsi="Arial"/>
                <w:sz w:val="16"/>
                <w:szCs w:val="16"/>
                <w:color w:val="auto"/>
              </w:rPr>
              <w:t>%</w:t>
            </w:r>
          </w:p>
        </w:tc>
      </w:tr>
      <w:tr>
        <w:trPr>
          <w:trHeight w:val="203"/>
        </w:trPr>
        <w:tc>
          <w:tcPr>
            <w:tcW w:w="646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643,908</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1,846,525</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55</w:t>
            </w:r>
          </w:p>
        </w:tc>
        <w:tc>
          <w:tcPr>
            <w:tcW w:w="180" w:type="dxa"/>
            <w:vAlign w:val="bottom"/>
            <w:shd w:val="clear" w:color="auto" w:fill="CCEEFF"/>
          </w:tcPr>
          <w:p>
            <w:pPr>
              <w:spacing w:after="0"/>
              <w:rPr>
                <w:sz w:val="17"/>
                <w:szCs w:val="17"/>
                <w:color w:val="auto"/>
              </w:rPr>
            </w:pPr>
          </w:p>
        </w:tc>
      </w:tr>
      <w:tr>
        <w:trPr>
          <w:trHeight w:val="196"/>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3,062,487</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56</w:t>
            </w:r>
          </w:p>
        </w:tc>
        <w:tc>
          <w:tcPr>
            <w:tcW w:w="18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757,796</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r>
      <w:tr>
        <w:trPr>
          <w:trHeight w:val="196"/>
        </w:trPr>
        <w:tc>
          <w:tcPr>
            <w:tcW w:w="6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multifamily residential and residential mixed-use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3,820,283</w:t>
            </w:r>
          </w:p>
        </w:tc>
        <w:tc>
          <w:tcPr>
            <w:tcW w:w="13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57 </w:t>
            </w: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r>
    </w:tbl>
    <w:p>
      <w:pPr>
        <w:ind w:left="380" w:hanging="330"/>
        <w:spacing w:after="0" w:line="214" w:lineRule="auto"/>
        <w:tabs>
          <w:tab w:leader="none" w:pos="3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New York City includes the Bronx, Brooklyn, Queens, Staten Island and Manhattan.</w:t>
      </w:r>
    </w:p>
    <w:p>
      <w:pPr>
        <w:spacing w:after="0" w:line="10"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Additional information related to the granularity in the non-owner occupied commercial real estate and multifamily residential and residential mixed-use portfolios is presented in the tables below as of March 31, 2025 and December 31, 2024:</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83"/>
        </w:trPr>
        <w:tc>
          <w:tcPr>
            <w:tcW w:w="22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03"/>
        </w:trPr>
        <w:tc>
          <w:tcPr>
            <w:tcW w:w="2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&gt; $20 million</w:t>
            </w:r>
          </w:p>
        </w:tc>
      </w:tr>
      <w:tr>
        <w:trPr>
          <w:trHeight w:val="199"/>
        </w:trPr>
        <w:tc>
          <w:tcPr>
            <w:tcW w:w="6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Investor commercial real estate:</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2,606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Warehouse/ Industrial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3,958</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Hotels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8,728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Supportive housing</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20,035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6,183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Educational facility or library</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10,341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facility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7,593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03"/>
        </w:trPr>
        <w:tc>
          <w:tcPr>
            <w:tcW w:w="670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1,908</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24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70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2"/>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3,921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r>
      <w:tr>
        <w:trPr>
          <w:trHeight w:val="20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r>
      <w:tr>
        <w:trPr>
          <w:trHeight w:val="108"/>
        </w:trPr>
        <w:tc>
          <w:tcPr>
            <w:tcW w:w="224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ind w:left="380" w:hanging="330"/>
        <w:spacing w:after="0" w:line="224" w:lineRule="auto"/>
        <w:tabs>
          <w:tab w:leader="none" w:pos="38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11"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 York City includes the Bronx, Brooklyn, Queens, Staten Island and Manhattan.</w:t>
      </w:r>
    </w:p>
    <w:p>
      <w:pPr>
        <w:spacing w:after="0" w:line="10" w:lineRule="exact"/>
        <w:rPr>
          <w:rFonts w:ascii="Times New Roman" w:cs="Times New Roman" w:eastAsia="Times New Roman" w:hAnsi="Times New Roman"/>
          <w:sz w:val="22"/>
          <w:szCs w:val="22"/>
          <w:color w:val="auto"/>
          <w:vertAlign w:val="superscript"/>
        </w:rPr>
      </w:pPr>
    </w:p>
    <w:p>
      <w:pPr>
        <w:ind w:left="380" w:hanging="330"/>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3"/>
        </w:trPr>
        <w:tc>
          <w:tcPr>
            <w:tcW w:w="22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03"/>
        </w:trPr>
        <w:tc>
          <w:tcPr>
            <w:tcW w:w="2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&gt; $20 million</w:t>
            </w:r>
          </w:p>
        </w:tc>
      </w:tr>
      <w:tr>
        <w:trPr>
          <w:trHeight w:val="199"/>
        </w:trPr>
        <w:tc>
          <w:tcPr>
            <w:tcW w:w="6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Investor commercial real estate:</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Warehouse/ Industrial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Hotels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Supportive housing</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Educational facility or library</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facility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70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4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08"/>
        </w:trPr>
        <w:tc>
          <w:tcPr>
            <w:tcW w:w="224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ind w:left="380" w:hanging="330"/>
        <w:spacing w:after="0" w:line="224" w:lineRule="auto"/>
        <w:tabs>
          <w:tab w:leader="none" w:pos="38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11"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 York City includes the Bronx, Brooklyn, Queens, Staten Island and Manhattan.</w:t>
      </w:r>
    </w:p>
    <w:p>
      <w:pPr>
        <w:spacing w:after="0" w:line="10" w:lineRule="exact"/>
        <w:rPr>
          <w:rFonts w:ascii="Times New Roman" w:cs="Times New Roman" w:eastAsia="Times New Roman" w:hAnsi="Times New Roman"/>
          <w:sz w:val="22"/>
          <w:szCs w:val="22"/>
          <w:color w:val="auto"/>
          <w:vertAlign w:val="superscript"/>
        </w:rPr>
      </w:pPr>
    </w:p>
    <w:p>
      <w:pPr>
        <w:ind w:left="380" w:hanging="330"/>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We do not originate or purchase loans, either whole loans or loans underlying MBS, which would have been considered subprime loans at origination,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real estate loans advanced to borrowers who did not qualify for market interest rates because of problems with their income or credit history. See Note 6 to our unaudited condensed Consolidated Financial Statements for a discussion of evaluation for impaired securities.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Monitoring and Collection of Delinquent Loans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management reviews delinquent loans on a monthly basis and reports to our Board of Directors or Committees of the Board of Directors at each regularly scheduled Board or Committee meeting regarding the status of all non-performing and otherwise delinquent loans in our loan portfolio.</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loan servicing policies and procedures require that an automated late notice be sent to a delinquent borrower as soon as possible after a payment is ten days late in the case of business loans, multifamily residential and mixed use, non-owner-occupied commercial real estate loans, and ADC loans, or fifteen days late in connection with one-to-four family and consumer loans. Thereafter, periodic letters are mailed and phone calls placed to the borrower until payment is received or the loan is transferred to workout. When contact is made with the borrower at any time prior to foreclosure, we will attempt to obtain the full payment due or negotiate a repayment schedule with the borrower to avoid foreclosure.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Accrual of interest is generally discontinued on a loan that meets any of the following three criteria: (i) full payment of principal or interest is not expected; (ii) principal or interest has been in default for a period of 90 days or more (unless the loan is both deemed to be well secured and in the process of collection); or (iii) an election has otherwise been made to maintain the loan on a cash basis due to deterioration in the financial condition of the borrower. Such non-accrual determination practices are applied consistently to all loans regardless of their internal classification or designation. Upon entering non-accrual status, the system will reverse all outstanding accrued interest receivable.</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generally initiate foreclosure proceedings on real estate loans when a loan enters non-accrual status based upon non-payment, unless the borrower is paying in accordance with an agreed upon modified payment agreement. We obtain an updated appraisal upon the commencement of legal action to calculate a potential collateral shortfall and to reserve appropriately for the potential loss. If a foreclosure action is instituted and the loan is not brought current, paid in full, or refinanced before the foreclosure action is completed, the property securing the loan is transferred to Other Real Estate Owned (“OREO”) status. We generally attempt to utilize all available remedies, such as note sales in lieu of foreclosure, in an effort to resolve non-accrual loans and OREO properties as quickly and prudently as possible in consideration of market conditions, the physical condition of the property and any other mitigating circumstances. We have not initiated any expected or imminent foreclosure proceedings that are likely to have a material adverse impact on our consolidated financial statements. In the event that a non-accrual loan is subsequently brought current, it is returned to accrual status once the doubt concerning collectability has been removed and the borrower has demonstrated performance in accordance with the loan terms and has made at least six months of payments.</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C&amp;I portfolio, which is within our business loans, is actively managed by our lenders. Most credit facilities typically require an annual review of the exposure and borrowers are required to submit annual financial reporting and loans are structured with financial covenants to indicate expected performance levels. Smaller C&amp;I loans are monitored based on performance and the ability to draw against a credit line is curtailed if there are any indications of credit deterioration. Guarantors are also required to update their financial reporting on an annual basis or alternative schedule as provided in their loan documents. All exposures are credit risk rated and those entering adverse ratings due to financial performance concerns of the borrower or material delinquency of any payments or financial reporting are subjected to added management scrutiny and monitoring. Measures taken typically include amendments to the amount of the available credit facility, requirements for increased collateral, additional guarantor support or a material enhancement to the frequency and quality of financial reporting. Loans determined to reach adverse risk rating standards are monitored closely by Credit Administration to identify any potential credit losses. When warranted, loans reaching a Substandard rating could be reassigned to the Workout Group for direct handling.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Non-accrual Loans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Within our held-for-investment loan portfolio, non-accrual loans totaled $58.0 million at March 31, 2025 and $49.5 million at December 31,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non-accrual loans as of the dates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r>
      <w:tr>
        <w:trPr>
          <w:trHeight w:val="173"/>
        </w:trPr>
        <w:tc>
          <w:tcPr>
            <w:tcW w:w="5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28"/>
        </w:trPr>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w w:val="89"/>
              </w:rPr>
              <w:t>(Dollars in thousands)</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Non-accrual loans: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5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21,944</w:t>
            </w:r>
          </w:p>
        </w:tc>
        <w:tc>
          <w:tcPr>
            <w:tcW w:w="20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22,624</w:t>
            </w:r>
          </w:p>
        </w:tc>
        <w:tc>
          <w:tcPr>
            <w:tcW w:w="3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18,213</w:t>
            </w:r>
          </w:p>
        </w:tc>
        <w:tc>
          <w:tcPr>
            <w:tcW w:w="120" w:type="dxa"/>
            <w:vAlign w:val="bottom"/>
          </w:tcPr>
          <w:p>
            <w:pPr>
              <w:spacing w:after="0"/>
              <w:rPr>
                <w:sz w:val="12"/>
                <w:szCs w:val="12"/>
                <w:color w:val="auto"/>
              </w:rPr>
            </w:pPr>
          </w:p>
        </w:tc>
      </w:tr>
      <w:tr>
        <w:trPr>
          <w:trHeight w:val="148"/>
        </w:trPr>
        <w:tc>
          <w:tcPr>
            <w:tcW w:w="54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One-to-four family residential, including condominium and cooperative apartment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3,763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3,689</w:t>
            </w:r>
          </w:p>
        </w:tc>
        <w:tc>
          <w:tcPr>
            <w:tcW w:w="120" w:type="dxa"/>
            <w:vAlign w:val="bottom"/>
            <w:shd w:val="clear" w:color="auto" w:fill="CCEEFF"/>
          </w:tcPr>
          <w:p>
            <w:pPr>
              <w:spacing w:after="0"/>
              <w:rPr>
                <w:sz w:val="12"/>
                <w:szCs w:val="12"/>
                <w:color w:val="auto"/>
              </w:rPr>
            </w:pPr>
          </w:p>
        </w:tc>
      </w:tr>
      <w:tr>
        <w:trPr>
          <w:trHeight w:val="149"/>
        </w:trPr>
        <w:tc>
          <w:tcPr>
            <w:tcW w:w="5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0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r>
      <w:tr>
        <w:trPr>
          <w:trHeight w:val="148"/>
        </w:trPr>
        <w:tc>
          <w:tcPr>
            <w:tcW w:w="54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31,677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2"/>
                <w:szCs w:val="12"/>
                <w:color w:val="auto"/>
              </w:rPr>
            </w:pPr>
          </w:p>
        </w:tc>
      </w:tr>
      <w:tr>
        <w:trPr>
          <w:trHeight w:val="148"/>
        </w:trPr>
        <w:tc>
          <w:tcPr>
            <w:tcW w:w="5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12,910</w:t>
            </w:r>
          </w:p>
        </w:tc>
        <w:tc>
          <w:tcPr>
            <w:tcW w:w="120" w:type="dxa"/>
            <w:vAlign w:val="bottom"/>
          </w:tcPr>
          <w:p>
            <w:pPr>
              <w:spacing w:after="0"/>
              <w:rPr>
                <w:sz w:val="12"/>
                <w:szCs w:val="12"/>
                <w:color w:val="auto"/>
              </w:rPr>
            </w:pPr>
          </w:p>
        </w:tc>
      </w:tr>
      <w:tr>
        <w:trPr>
          <w:trHeight w:val="148"/>
        </w:trPr>
        <w:tc>
          <w:tcPr>
            <w:tcW w:w="54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r>
      <w:tr>
        <w:trPr>
          <w:trHeight w:val="182"/>
        </w:trPr>
        <w:tc>
          <w:tcPr>
            <w:tcW w:w="548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 non-accrual loans</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58,041</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49,479</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34,827</w:t>
            </w:r>
          </w:p>
        </w:tc>
        <w:tc>
          <w:tcPr>
            <w:tcW w:w="120" w:type="dxa"/>
            <w:vAlign w:val="bottom"/>
            <w:tcBorders>
              <w:bottom w:val="single" w:sz="8" w:color="CCEEFF"/>
            </w:tcBorders>
          </w:tcPr>
          <w:p>
            <w:pPr>
              <w:spacing w:after="0"/>
              <w:rPr>
                <w:sz w:val="15"/>
                <w:szCs w:val="15"/>
                <w:color w:val="auto"/>
              </w:rPr>
            </w:pPr>
          </w:p>
        </w:tc>
      </w:tr>
      <w:tr>
        <w:trPr>
          <w:trHeight w:val="129"/>
        </w:trPr>
        <w:tc>
          <w:tcPr>
            <w:tcW w:w="54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Ratios:</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8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non-accrual loans to total loans</w:t>
            </w:r>
          </w:p>
        </w:tc>
        <w:tc>
          <w:tcPr>
            <w:tcW w:w="100" w:type="dxa"/>
            <w:vAlign w:val="bottom"/>
          </w:tcPr>
          <w:p>
            <w:pPr>
              <w:spacing w:after="0"/>
              <w:rPr>
                <w:sz w:val="16"/>
                <w:szCs w:val="16"/>
                <w:color w:val="auto"/>
              </w:rPr>
            </w:pPr>
          </w:p>
        </w:tc>
        <w:tc>
          <w:tcPr>
            <w:tcW w:w="10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0.53 %</w:t>
            </w:r>
          </w:p>
        </w:tc>
        <w:tc>
          <w:tcPr>
            <w:tcW w:w="200" w:type="dxa"/>
            <w:vAlign w:val="bottom"/>
          </w:tcPr>
          <w:p>
            <w:pPr>
              <w:spacing w:after="0"/>
              <w:rPr>
                <w:sz w:val="16"/>
                <w:szCs w:val="16"/>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29"/>
        </w:trPr>
        <w:tc>
          <w:tcPr>
            <w:tcW w:w="54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Total non-performing assets to total assets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0.41</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0.34</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0.26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Loan Restructurings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Within the allowance for credit losses, losses are estimated for restructured loans on accrual status as well as restructured loans on non-accrual status that are one-to-four family loans or consumer loans, on a pooled basis with loans that share similar risk characteristics. Restructured loans on non-accrual status excluding one-to-four family and consumer loans are individually evaluated to determine expected credit losses. For restructured loans that are collateral-dependent where the Bank has determined that foreclosure of the collateral is probable, or where the borrower is experiencing financial difficulty and we expect repayment of the loan to be provided substantially through the operation or sale of the collateral, the allowance for credit losses is measured based on the difference between the fair value of collateral, less the estimated costs to sell, and the amortized cost basis of the loan as of the measurement date. For non-collateral-dependent loans, the allowance for credit losses is measured based on the difference between the present value of expected cash flows and the amortized cost basis of the loan as of the measurement date.</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OREO</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Property acquired by the Bank, or a subsidiary, as a result of foreclosure on a mortgage loan or a deed in lieu of foreclosure is classified as OREO. Upon entering OREO status, we obtain a current appraisal on the property and reassess the likely realizable value (</w:t>
      </w:r>
      <w:r>
        <w:rPr>
          <w:rFonts w:ascii="Times New Roman" w:cs="Times New Roman" w:eastAsia="Times New Roman" w:hAnsi="Times New Roman"/>
          <w:sz w:val="18"/>
          <w:szCs w:val="18"/>
          <w:i w:val="1"/>
          <w:iCs w:val="1"/>
          <w:color w:val="auto"/>
        </w:rPr>
        <w:t>a/k/a</w:t>
      </w:r>
      <w:r>
        <w:rPr>
          <w:rFonts w:ascii="Times New Roman" w:cs="Times New Roman" w:eastAsia="Times New Roman" w:hAnsi="Times New Roman"/>
          <w:sz w:val="18"/>
          <w:szCs w:val="18"/>
          <w:color w:val="auto"/>
        </w:rPr>
        <w:t xml:space="preserve"> fair value) of the property quarterly thereafter. OREO is carried at the lower of the fair value or book balance, with any write downs recognized through a provision recorded in non-interest expense. Only the appraised value, or either a contractual or formal marketed value that falls below the appraised value, is used when determining the likely realizable value of OREO at each reporting period. We typically seek to dispose of OREO properties in a timely manner. As a result, OREO properties have generally not warranted subsequent independent appraisals.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no carrying value of OREO properties on our Consolidated Statement of Financial Condition at March 31, 2025 or December 31, 2024. We did not recognize any provisions for losses on OREO properties during the three months ended March 31, 2025 or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Past Due Loans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30 to 59 Days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March 31, 2025, there were $46.0 million of loans that were past due between 30 and 59 days, compared to $10.3 million at December 31, 2024. The 30 to 59-day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60 to 89 Days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At March 31, 2025, there were $2.5 million of loans that were past due between 60 and 89 days past due, compared to $31.3 million at December 31, 2024. The 60 to 89-day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accruing loans 90 days or more past due at March 31, 2025 or at December 31,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Reserve for Unfunded Loan Commitments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Bank maintains a reserve, recorded in other liabilities, associated with unfunded loan commitments accepted by the borrower. The amount of our reserve was $2.6 million and $2.7 million at March 31, 2025 and December 31, 2024, respectively. This reserve is determined based upon the outstanding volume of unfunded loan commitments at each period end. Any increases or reductions in this reserve are recognized in provision for credit losses.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Provision for credit losses for the three months ended March 31, 2025 and 2024 was $9.6 million and $5.2 million, respectively. The $9.6 million credit loss provision for the three months ended March 31, 2025, was primarily associated with provisioning for individually analyzed loans. The $5.2 million credit loss provision for the three months ended March 31, 2024, was primarily associated with provisioning for the Bank’s pooled multifamily loan portfolio.</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a further discussion of the allowance for credit losses and related activity during the three months ended March 31, 2025 and 2024, please see Note 7 to the condensed Consolidated Financial Statements.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allowance for credit losses allocated by loan type and the percent of loans in each category to total loans as of the dates indicated.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174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5"/>
              </w:rPr>
              <w:t>of Loans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Loans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4"/>
              </w:rPr>
              <w:t>in Each</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Each</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7"/>
              </w:rPr>
              <w:t>Category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Category</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Allocated</w:t>
            </w: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6"/>
              </w:rPr>
              <w:t>to Total</w:t>
            </w:r>
          </w:p>
        </w:tc>
        <w:tc>
          <w:tcPr>
            <w:tcW w:w="14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Allocated</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 Total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12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43,915</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25.66</w:t>
            </w:r>
          </w:p>
        </w:tc>
        <w:tc>
          <w:tcPr>
            <w:tcW w:w="3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42,898</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25.08</w:t>
            </w:r>
          </w:p>
        </w:tc>
        <w:tc>
          <w:tcPr>
            <w:tcW w:w="30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4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9,745</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13,087</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34.79</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21,075</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29.36</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21,876</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2,360</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1.29</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273</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0.06</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90,455</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100.00</w:t>
            </w:r>
          </w:p>
        </w:tc>
        <w:tc>
          <w:tcPr>
            <w:tcW w:w="320" w:type="dxa"/>
            <w:vAlign w:val="bottom"/>
            <w:tcBorders>
              <w:bottom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88,751</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information about our allowance for credit losses at or for the dates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or for the Three Months Ended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loans outstanding at end of period </w:t>
            </w:r>
            <w:r>
              <w:rPr>
                <w:rFonts w:ascii="Times New Roman" w:cs="Times New Roman" w:eastAsia="Times New Roman" w:hAnsi="Times New Roman"/>
                <w:sz w:val="16"/>
                <w:szCs w:val="16"/>
                <w:color w:val="auto"/>
                <w:vertAlign w:val="superscript"/>
              </w:rPr>
              <w:t>(1)</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10,866,802</w:t>
            </w: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10,763,265</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Average total loans outstanding during the period </w:t>
            </w:r>
            <w:r>
              <w:rPr>
                <w:rFonts w:ascii="Times New Roman" w:cs="Times New Roman" w:eastAsia="Times New Roman" w:hAnsi="Times New Roman"/>
                <w:sz w:val="17"/>
                <w:szCs w:val="17"/>
                <w:color w:val="auto"/>
                <w:vertAlign w:val="superscript"/>
              </w:rPr>
              <w:t>(2)</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10,865,868</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10,742,050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balance at end of period</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90,455</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loans at end of period</w:t>
            </w: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0.83 %</w:t>
            </w:r>
          </w:p>
        </w:tc>
        <w:tc>
          <w:tcPr>
            <w:tcW w:w="4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0.71</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61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Non-performing loans to total loans at end of period</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0.53</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non-performing loans at end of period</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155.85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Ratio of net charge-offs to average loans outstanding during the period: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(0.01)%</w:t>
            </w: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0.27</w:t>
            </w:r>
          </w:p>
        </w:tc>
        <w:tc>
          <w:tcPr>
            <w:tcW w:w="2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6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0.02</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0.88</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0.26</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30"/>
        <w:spacing w:after="0" w:line="224" w:lineRule="auto"/>
        <w:tabs>
          <w:tab w:leader="none" w:pos="3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loans represent gross loans (excluding loans held for sale), inclusive of deferred fees/costs and premiums/discounts.</w:t>
      </w:r>
    </w:p>
    <w:p>
      <w:pPr>
        <w:spacing w:after="0" w:line="11" w:lineRule="exact"/>
        <w:rPr>
          <w:rFonts w:ascii="Times New Roman" w:cs="Times New Roman" w:eastAsia="Times New Roman" w:hAnsi="Times New Roman"/>
          <w:sz w:val="27"/>
          <w:szCs w:val="27"/>
          <w:color w:val="auto"/>
          <w:vertAlign w:val="superscript"/>
        </w:rPr>
      </w:pPr>
    </w:p>
    <w:p>
      <w:pPr>
        <w:ind w:left="380" w:right="79" w:hanging="330"/>
        <w:spacing w:after="0" w:line="191" w:lineRule="auto"/>
        <w:tabs>
          <w:tab w:leader="none" w:pos="3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average loans represent gross loans (including loans held for sale), inclusive of deferred loan fees/costs and premiums/discounts.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March 31, 2025 and December 31, 2024</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totaled $14.10 billion at March 31, 2025, $255.6 million below their level at December 31, 2024,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decreases of $252.9 million in cash and due from banks, $68.3 million in other assets, $20.1 million in loans held for sale, $17.8 million in derivative assets and $4.9 million in the loan portfolio, partially offset by increases of $98.5 million in BOLI and $13.9 million in total investment securities.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Total loans, net of allowance decreased $4.9 million during the three months ended March 31, 2025, to $10.78 billion at period end. During the three months ended March 31, 2025, we had loan originations of $71.5 million.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investment securities increased $13.9 million during the three months ended March 31, 2025, to $1.34 billion at period end, primarily due to purchases of $29.7 million and a decrease in unrealized losses of $8.9 million, offset by proceeds from principal payments, calls and maturities of $23.8 million. There were no transfers to or from securities held-to-maturity during the three months ended March 31, 2025.</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BOLI increased $98.5 million during the three months ended March 31, 2025, to $389.2 million. The increase in BOLI is primarily due to completion of the restructuring initiative that begun in late 2024, as well as purchases of new BOLI assets.</w:t>
      </w:r>
    </w:p>
    <w:p>
      <w:pPr>
        <w:spacing w:after="0" w:line="15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liabilities decreased $271.1 million during the three months ended March 31, 2025, to $12.69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 primarily due to decreases of $100.0 million in FHLBNY advances, $70.2 million in deposits (including mortgage escrow accounts), $50.0 million in short-term borrowings, $27.2 million in derivative cash collateral, $15.8 million in derivative liabilities and $7.3 million in other liabilities.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 increased $15.5 million during the three months ended March 31, 2025,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$1.41 billion at period end, primarily due to net income of $21.5 million and other comprehensive income of $6.0 million, partially offset by common stock dividends of $11.0 million, and preferred stock dividends of $1.8 million.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Months Ended March 31, 2025 and 2024</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Net income was $21.5 million during the three months ended March 31, 2025, compared to net income of $17.7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2024. During the three months ended March 31, 2025, net interest income increased by $22.7 million, non-interest expense increased by $13.0 million, the credit loss provision increased by $4.4 million, non-interest income decreased by $834 thousand and income tax expense increased by $666 thousand, compared to the three months ended March 31, 2024.</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discussion of net interest income for the three months ended March 31, 2025 and 2024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$1.1 million during the three months ended March 31, 2025, compared to a net loan cost of $297 thousand during the three months ended March 31, 2024. The increase in net loan fees was primarily due to increases in prepayment penalty fees and deferred fees on loans in 2025.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Net Interest Income</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0" w:type="dxa"/>
            <w:vAlign w:val="bottom"/>
          </w:tcPr>
          <w:p>
            <w:pPr>
              <w:spacing w:after="0"/>
              <w:rPr>
                <w:sz w:val="13"/>
                <w:szCs w:val="13"/>
                <w:color w:val="auto"/>
              </w:rPr>
            </w:pPr>
          </w:p>
        </w:tc>
        <w:tc>
          <w:tcPr>
            <w:tcW w:w="760" w:type="dxa"/>
            <w:vAlign w:val="bottom"/>
            <w:gridSpan w:val="3"/>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62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3"/>
              </w:rPr>
              <w:t>(Dollars</w:t>
            </w:r>
          </w:p>
        </w:tc>
        <w:tc>
          <w:tcPr>
            <w:tcW w:w="20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6"/>
              </w:rPr>
              <w:t>in</w:t>
            </w:r>
          </w:p>
        </w:tc>
        <w:tc>
          <w:tcPr>
            <w:tcW w:w="72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thousands)</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5"/>
                <w:szCs w:val="15"/>
                <w:color w:val="auto"/>
                <w:vertAlign w:val="superscript"/>
              </w:rPr>
              <w:t>(1) (3) (6)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2,748,142</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45,047</w:t>
            </w:r>
          </w:p>
        </w:tc>
        <w:tc>
          <w:tcPr>
            <w:tcW w:w="8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6.65 % </w:t>
            </w: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2,308,319</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39,224</w:t>
            </w:r>
          </w:p>
        </w:tc>
        <w:tc>
          <w:tcPr>
            <w:tcW w:w="72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6.83 %</w:t>
            </w: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One-to-four family residential, including condo and coop </w:t>
            </w:r>
            <w:r>
              <w:rPr>
                <w:rFonts w:ascii="Times New Roman" w:cs="Times New Roman" w:eastAsia="Times New Roman" w:hAnsi="Times New Roman"/>
                <w:sz w:val="15"/>
                <w:szCs w:val="15"/>
                <w:color w:val="auto"/>
                <w:vertAlign w:val="superscript"/>
              </w:rPr>
              <w:t>(3) (6)</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962,046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11,069</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886,588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9,770</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Multifamily residential and residential mixed-use </w:t>
            </w:r>
            <w:r>
              <w:rPr>
                <w:rFonts w:ascii="Times New Roman" w:cs="Times New Roman" w:eastAsia="Times New Roman" w:hAnsi="Times New Roman"/>
                <w:sz w:val="15"/>
                <w:szCs w:val="15"/>
                <w:color w:val="auto"/>
                <w:vertAlign w:val="superscript"/>
              </w:rPr>
              <w:t>(3) (6)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3,796,754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42,329</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4,000,510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46,019</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Non-owner-occupied commercial real estate </w:t>
            </w:r>
            <w:r>
              <w:rPr>
                <w:rFonts w:ascii="Times New Roman" w:cs="Times New Roman" w:eastAsia="Times New Roman" w:hAnsi="Times New Roman"/>
                <w:sz w:val="15"/>
                <w:szCs w:val="15"/>
                <w:color w:val="auto"/>
                <w:vertAlign w:val="superscript"/>
              </w:rPr>
              <w:t>(3) (6)</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3,214,758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41,326</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3,371,438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44,776</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5.34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5"/>
                <w:szCs w:val="15"/>
                <w:color w:val="auto"/>
                <w:vertAlign w:val="subscript"/>
              </w:rPr>
              <w:t>ADC</w:t>
            </w:r>
            <w:r>
              <w:rPr>
                <w:rFonts w:ascii="Times New Roman" w:cs="Times New Roman" w:eastAsia="Times New Roman" w:hAnsi="Times New Roman"/>
                <w:sz w:val="7"/>
                <w:szCs w:val="7"/>
                <w:color w:val="auto"/>
              </w:rPr>
              <w:t xml:space="preserve"> (3)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138,428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2,906</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8.51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169,775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3,692</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Other loans </w:t>
            </w:r>
            <w:r>
              <w:rPr>
                <w:rFonts w:ascii="Times New Roman" w:cs="Times New Roman" w:eastAsia="Times New Roman" w:hAnsi="Times New Roman"/>
                <w:sz w:val="15"/>
                <w:szCs w:val="15"/>
                <w:color w:val="auto"/>
                <w:vertAlign w:val="superscript"/>
              </w:rPr>
              <w:t>(3)</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5,740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5,420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6.23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Securities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1,372,563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11,323</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1,578,330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7,880</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short-term investments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724,889</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7,837</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4.38</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695,375</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9,564</w:t>
            </w:r>
          </w:p>
        </w:tc>
        <w:tc>
          <w:tcPr>
            <w:tcW w:w="5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5.53</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12,963,320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161,865</w:t>
            </w:r>
          </w:p>
        </w:tc>
        <w:tc>
          <w:tcPr>
            <w:tcW w:w="720" w:type="dxa"/>
            <w:vAlign w:val="bottom"/>
            <w:gridSpan w:val="3"/>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5.06 %</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13,015,755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161,009</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4.98</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8"/>
        </w:trPr>
        <w:tc>
          <w:tcPr>
            <w:tcW w:w="462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Non-interest earning assets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814,345</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779,169</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13,777,665</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13,794,924</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Liabilities and Stockholders' Equity:</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liabilities: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Interest-bearing checking </w:t>
            </w:r>
            <w:r>
              <w:rPr>
                <w:rFonts w:ascii="Times New Roman" w:cs="Times New Roman" w:eastAsia="Times New Roman" w:hAnsi="Times New Roman"/>
                <w:sz w:val="15"/>
                <w:szCs w:val="15"/>
                <w:color w:val="auto"/>
                <w:vertAlign w:val="superscript"/>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912,852</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4,164</w:t>
            </w:r>
          </w:p>
        </w:tc>
        <w:tc>
          <w:tcPr>
            <w:tcW w:w="8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1.85 % </w:t>
            </w: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582,047</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1,223</w:t>
            </w:r>
          </w:p>
        </w:tc>
        <w:tc>
          <w:tcPr>
            <w:tcW w:w="72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0.85 %</w:t>
            </w: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Money market</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4,076,612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31,294</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3,359,884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30,638</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3.67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5"/>
                <w:szCs w:val="15"/>
                <w:color w:val="auto"/>
                <w:vertAlign w:val="superscript"/>
              </w:rPr>
              <w:t>(2)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1,970,338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14,185</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2,368,946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22,810</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CDs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973,108</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8,431</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3.51</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1,655,882</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18,398</w:t>
            </w:r>
          </w:p>
        </w:tc>
        <w:tc>
          <w:tcPr>
            <w:tcW w:w="5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4.47</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7,932,910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58,074</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7,966,759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73,069</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3.69</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auto"/>
              </w:rPr>
              <w:t>FHLBNY advances</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509,111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4,066</w:t>
            </w:r>
          </w:p>
        </w:tc>
        <w:tc>
          <w:tcPr>
            <w:tcW w:w="5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1,094,209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12,143</w:t>
            </w: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4.46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net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272,341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4,302</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6.41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200,188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2,553</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bottom w:val="single" w:sz="8" w:color="CCEEFF"/>
            </w:tcBorders>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short-term borrowings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633</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8.33</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5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5.22</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borrowings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782,085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8,381</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4.35</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1,294,474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14,697</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tcBorders>
              <w:bottom w:val="single" w:sz="8" w:color="CCEEFF"/>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Derivative cash collateral</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104,126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1,197</w:t>
            </w:r>
          </w:p>
        </w:tc>
        <w:tc>
          <w:tcPr>
            <w:tcW w:w="52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4.66</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130,166</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1,713</w:t>
            </w:r>
          </w:p>
        </w:tc>
        <w:tc>
          <w:tcPr>
            <w:tcW w:w="54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5.29</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8,819,121</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67,652</w:t>
            </w:r>
          </w:p>
        </w:tc>
        <w:tc>
          <w:tcPr>
            <w:tcW w:w="720" w:type="dxa"/>
            <w:vAlign w:val="bottom"/>
            <w:gridSpan w:val="3"/>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3.11 %</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9,391,399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89,479</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3.83</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9"/>
        </w:trPr>
        <w:tc>
          <w:tcPr>
            <w:tcW w:w="46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0"/>
                <w:szCs w:val="10"/>
                <w:color w:val="auto"/>
              </w:rPr>
              <w:t xml:space="preserve">Non-interest-bearing checking </w:t>
            </w:r>
            <w:r>
              <w:rPr>
                <w:rFonts w:ascii="Times New Roman" w:cs="Times New Roman" w:eastAsia="Times New Roman" w:hAnsi="Times New Roman"/>
                <w:sz w:val="14"/>
                <w:szCs w:val="14"/>
                <w:color w:val="auto"/>
                <w:vertAlign w:val="superscript"/>
              </w:rPr>
              <w:t>(2)</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3,322,583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2,909,776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213,876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247,717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12,355,580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12,548,892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1,422,085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1,246,032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2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13,777,665</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13,794,924</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2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income</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gridSpan w:val="2"/>
            <w:shd w:val="clear" w:color="auto" w:fill="CCEEFF"/>
          </w:tcPr>
          <w:p>
            <w:pPr>
              <w:ind w:left="140"/>
              <w:spacing w:after="0" w:line="102"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94,213</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60"/>
              <w:spacing w:after="0" w:line="102"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71,530</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rate spread </w:t>
            </w:r>
            <w:r>
              <w:rPr>
                <w:rFonts w:ascii="Times New Roman" w:cs="Times New Roman" w:eastAsia="Times New Roman" w:hAnsi="Times New Roman"/>
                <w:sz w:val="18"/>
                <w:szCs w:val="18"/>
                <w:color w:val="auto"/>
                <w:vertAlign w:val="superscript"/>
              </w:rPr>
              <w:t>(4)</w:t>
            </w: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3"/>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1.95 %</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tcBorders>
              <w:top w:val="single" w:sz="8" w:color="CCEEFF"/>
              <w:bottom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line="20" w:lineRule="exact"/>
              <w:rPr>
                <w:sz w:val="1"/>
                <w:szCs w:val="1"/>
                <w:color w:val="auto"/>
              </w:rPr>
            </w:pPr>
          </w:p>
        </w:tc>
      </w:tr>
      <w:tr>
        <w:trPr>
          <w:trHeight w:val="115"/>
        </w:trPr>
        <w:tc>
          <w:tcPr>
            <w:tcW w:w="4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interest-earning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4,144,199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gridSpan w:val="4"/>
            <w:shd w:val="clear" w:color="auto" w:fill="CCEEFF"/>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3,624,356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8"/>
                <w:szCs w:val="18"/>
                <w:color w:val="auto"/>
                <w:vertAlign w:val="superscript"/>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3"/>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2.95 %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2.21 %</w:t>
            </w:r>
          </w:p>
        </w:tc>
        <w:tc>
          <w:tcPr>
            <w:tcW w:w="0" w:type="dxa"/>
            <w:vAlign w:val="bottom"/>
          </w:tcPr>
          <w:p>
            <w:pPr>
              <w:spacing w:after="0" w:line="20" w:lineRule="exact"/>
              <w:rPr>
                <w:sz w:val="1"/>
                <w:szCs w:val="1"/>
                <w:color w:val="auto"/>
              </w:rPr>
            </w:pPr>
          </w:p>
        </w:tc>
      </w:tr>
      <w:tr>
        <w:trPr>
          <w:trHeight w:val="115"/>
        </w:trPr>
        <w:tc>
          <w:tcPr>
            <w:tcW w:w="4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Ratio of interest-earning assets to interest-bearing liabilities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146.99 %</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138.59</w:t>
            </w:r>
          </w:p>
        </w:tc>
        <w:tc>
          <w:tcPr>
            <w:tcW w:w="18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35"/>
        </w:trPr>
        <w:tc>
          <w:tcPr>
            <w:tcW w:w="46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Deposits (including non-interest-bearing checking accounts) </w:t>
            </w:r>
            <w:r>
              <w:rPr>
                <w:rFonts w:ascii="Times New Roman" w:cs="Times New Roman" w:eastAsia="Times New Roman" w:hAnsi="Times New Roman"/>
                <w:sz w:val="15"/>
                <w:szCs w:val="15"/>
                <w:color w:val="auto"/>
                <w:vertAlign w:val="superscript"/>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11,255,493</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58,074</w:t>
            </w:r>
          </w:p>
        </w:tc>
        <w:tc>
          <w:tcPr>
            <w:tcW w:w="82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2.09 % </w:t>
            </w: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10,876,535</w:t>
            </w:r>
          </w:p>
        </w:tc>
        <w:tc>
          <w:tcPr>
            <w:tcW w:w="80" w:type="dxa"/>
            <w:vAlign w:val="bottom"/>
          </w:tcPr>
          <w:p>
            <w:pPr>
              <w:spacing w:after="0"/>
              <w:rPr>
                <w:sz w:val="11"/>
                <w:szCs w:val="11"/>
                <w:color w:val="auto"/>
              </w:rPr>
            </w:pPr>
          </w:p>
        </w:tc>
        <w:tc>
          <w:tcPr>
            <w:tcW w:w="1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73,069</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1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owner-occupied commercial real estate loans and PPP loans.</w:t>
      </w:r>
    </w:p>
    <w:p>
      <w:pPr>
        <w:spacing w:after="0" w:line="5" w:lineRule="exact"/>
        <w:rPr>
          <w:rFonts w:ascii="Times New Roman" w:cs="Times New Roman" w:eastAsia="Times New Roman" w:hAnsi="Times New Roman"/>
          <w:sz w:val="13"/>
          <w:szCs w:val="13"/>
          <w:color w:val="auto"/>
        </w:rPr>
      </w:pPr>
    </w:p>
    <w:p>
      <w:pPr>
        <w:ind w:left="380" w:hanging="330"/>
        <w:spacing w:after="0" w:line="225"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Includes mortgage escrow deposits.</w:t>
      </w:r>
    </w:p>
    <w:p>
      <w:pPr>
        <w:ind w:left="380" w:hanging="330"/>
        <w:spacing w:after="0" w:line="225"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ind w:left="380" w:right="79" w:hanging="330"/>
        <w:spacing w:after="0" w:line="225"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rate spread represents the difference between the yield on average interest-earning assets and the cost of average interest-bearing liabilities.</w:t>
      </w:r>
    </w:p>
    <w:p>
      <w:pPr>
        <w:ind w:left="380" w:hanging="330"/>
        <w:spacing w:after="0" w:line="225"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margin represents net interest income divided by average-interest earning assets.</w:t>
      </w:r>
    </w:p>
    <w:p>
      <w:pPr>
        <w:jc w:val="both"/>
        <w:ind w:left="380" w:right="79" w:hanging="330"/>
        <w:spacing w:after="0"/>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At March 31, 2025, 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2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r>
      <w:tr>
        <w:trPr>
          <w:trHeight w:val="148"/>
        </w:trPr>
        <w:tc>
          <w:tcPr>
            <w:tcW w:w="22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9"/>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Three Months Ended March 31, 2024</w:t>
            </w:r>
          </w:p>
        </w:tc>
      </w:tr>
      <w:tr>
        <w:trPr>
          <w:trHeight w:val="173"/>
        </w:trPr>
        <w:tc>
          <w:tcPr>
            <w:tcW w:w="22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Increase / (Decrease) Due to:</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2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55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Interest-earning assets: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Business loans </w:t>
            </w:r>
            <w:r>
              <w:rPr>
                <w:rFonts w:ascii="Times New Roman" w:cs="Times New Roman" w:eastAsia="Times New Roman" w:hAnsi="Times New Roman"/>
                <w:sz w:val="17"/>
                <w:szCs w:val="17"/>
                <w:color w:val="auto"/>
                <w:vertAlign w:val="superscript"/>
              </w:rPr>
              <w:t>(1) (2)</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7,128</w:t>
            </w:r>
          </w:p>
        </w:tc>
        <w:tc>
          <w:tcPr>
            <w:tcW w:w="20" w:type="dxa"/>
            <w:vAlign w:val="bottom"/>
          </w:tcPr>
          <w:p>
            <w:pPr>
              <w:spacing w:after="0"/>
              <w:rPr>
                <w:sz w:val="12"/>
                <w:szCs w:val="12"/>
                <w:color w:val="auto"/>
              </w:rPr>
            </w:pPr>
          </w:p>
        </w:tc>
        <w:tc>
          <w:tcPr>
            <w:tcW w:w="40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(1,305)</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5,823</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One-to-four family residential, including condo and coop</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w:t>
            </w:r>
          </w:p>
        </w:tc>
        <w:tc>
          <w:tcPr>
            <w:tcW w:w="20" w:type="dxa"/>
            <w:vAlign w:val="bottom"/>
          </w:tcPr>
          <w:p>
            <w:pPr>
              <w:spacing w:after="0"/>
              <w:rPr>
                <w:sz w:val="12"/>
                <w:szCs w:val="12"/>
                <w:color w:val="auto"/>
              </w:rPr>
            </w:pPr>
          </w:p>
        </w:tc>
      </w:tr>
      <w:tr>
        <w:trPr>
          <w:trHeight w:val="149"/>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(2,466)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(1,226)</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(3,692)</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(1,234)</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w:t>
            </w: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3,443</w:t>
            </w:r>
          </w:p>
        </w:tc>
        <w:tc>
          <w:tcPr>
            <w:tcW w:w="20" w:type="dxa"/>
            <w:vAlign w:val="bottom"/>
          </w:tcPr>
          <w:p>
            <w:pPr>
              <w:spacing w:after="0"/>
              <w:rPr>
                <w:sz w:val="12"/>
                <w:szCs w:val="12"/>
                <w:color w:val="auto"/>
              </w:rPr>
            </w:pPr>
          </w:p>
        </w:tc>
      </w:tr>
      <w:tr>
        <w:trPr>
          <w:trHeight w:val="149"/>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investments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(2,051)</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(1,728)</w:t>
            </w:r>
          </w:p>
        </w:tc>
        <w:tc>
          <w:tcPr>
            <w:tcW w:w="20" w:type="dxa"/>
            <w:vAlign w:val="bottom"/>
          </w:tcPr>
          <w:p>
            <w:pPr>
              <w:spacing w:after="0"/>
              <w:rPr>
                <w:sz w:val="12"/>
                <w:szCs w:val="12"/>
                <w:color w:val="auto"/>
              </w:rPr>
            </w:pPr>
          </w:p>
        </w:tc>
      </w:tr>
      <w:tr>
        <w:trPr>
          <w:trHeight w:val="142"/>
        </w:trPr>
        <w:tc>
          <w:tcPr>
            <w:tcW w:w="550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1,494</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(641)</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853</w:t>
            </w:r>
          </w:p>
        </w:tc>
        <w:tc>
          <w:tcPr>
            <w:tcW w:w="20" w:type="dxa"/>
            <w:vAlign w:val="bottom"/>
          </w:tcPr>
          <w:p>
            <w:pPr>
              <w:spacing w:after="0"/>
              <w:rPr>
                <w:sz w:val="12"/>
                <w:szCs w:val="12"/>
                <w:color w:val="auto"/>
              </w:rPr>
            </w:pPr>
          </w:p>
        </w:tc>
      </w:tr>
      <w:tr>
        <w:trPr>
          <w:trHeight w:val="142"/>
        </w:trPr>
        <w:tc>
          <w:tcPr>
            <w:tcW w:w="55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Interest-bearing checking</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w:t>
            </w:r>
          </w:p>
        </w:tc>
        <w:tc>
          <w:tcPr>
            <w:tcW w:w="20" w:type="dxa"/>
            <w:vAlign w:val="bottom"/>
          </w:tcPr>
          <w:p>
            <w:pPr>
              <w:spacing w:after="0"/>
              <w:rPr>
                <w:sz w:val="12"/>
                <w:szCs w:val="12"/>
                <w:color w:val="auto"/>
              </w:rPr>
            </w:pPr>
          </w:p>
        </w:tc>
        <w:tc>
          <w:tcPr>
            <w:tcW w:w="40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20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2,941</w:t>
            </w:r>
          </w:p>
        </w:tc>
        <w:tc>
          <w:tcPr>
            <w:tcW w:w="20" w:type="dxa"/>
            <w:vAlign w:val="bottom"/>
          </w:tcPr>
          <w:p>
            <w:pPr>
              <w:spacing w:after="0"/>
              <w:rPr>
                <w:sz w:val="12"/>
                <w:szCs w:val="12"/>
                <w:color w:val="auto"/>
              </w:rPr>
            </w:pPr>
          </w:p>
        </w:tc>
      </w:tr>
      <w:tr>
        <w:trPr>
          <w:trHeight w:val="149"/>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(5,235)</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(3,440)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(5,185)</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(8,625)</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CDs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(3,181)</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(9,967)</w:t>
            </w: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FHLBNY advances</w:t>
            </w: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(2,468)</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(8,077)</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w:t>
            </w:r>
          </w:p>
        </w:tc>
        <w:tc>
          <w:tcPr>
            <w:tcW w:w="20" w:type="dxa"/>
            <w:vAlign w:val="bottom"/>
          </w:tcPr>
          <w:p>
            <w:pPr>
              <w:spacing w:after="0"/>
              <w:rPr>
                <w:sz w:val="12"/>
                <w:szCs w:val="12"/>
                <w:color w:val="auto"/>
              </w:rPr>
            </w:pPr>
          </w:p>
        </w:tc>
      </w:tr>
      <w:tr>
        <w:trPr>
          <w:trHeight w:val="149"/>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20" w:type="dxa"/>
            <w:vAlign w:val="bottom"/>
          </w:tcPr>
          <w:p>
            <w:pPr>
              <w:spacing w:after="0"/>
              <w:rPr>
                <w:sz w:val="12"/>
                <w:szCs w:val="12"/>
                <w:color w:val="auto"/>
              </w:rPr>
            </w:pPr>
          </w:p>
        </w:tc>
      </w:tr>
      <w:tr>
        <w:trPr>
          <w:trHeight w:val="142"/>
        </w:trPr>
        <w:tc>
          <w:tcPr>
            <w:tcW w:w="550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(8,146)</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(13,682)</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(21,828)</w:t>
            </w:r>
          </w:p>
        </w:tc>
        <w:tc>
          <w:tcPr>
            <w:tcW w:w="20" w:type="dxa"/>
            <w:vAlign w:val="bottom"/>
          </w:tcPr>
          <w:p>
            <w:pPr>
              <w:spacing w:after="0"/>
              <w:rPr>
                <w:sz w:val="12"/>
                <w:szCs w:val="12"/>
                <w:color w:val="auto"/>
              </w:rPr>
            </w:pPr>
          </w:p>
        </w:tc>
      </w:tr>
      <w:tr>
        <w:trPr>
          <w:trHeight w:val="142"/>
        </w:trPr>
        <w:tc>
          <w:tcPr>
            <w:tcW w:w="55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net interest income</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9,640</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13,041</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22,681</w:t>
            </w:r>
          </w:p>
        </w:tc>
        <w:tc>
          <w:tcPr>
            <w:tcW w:w="20" w:type="dxa"/>
            <w:vAlign w:val="bottom"/>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64"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owner-occupied commercial real estate loans and PPP loans.</w:t>
      </w:r>
    </w:p>
    <w:p>
      <w:pPr>
        <w:spacing w:after="0" w:line="5" w:lineRule="exact"/>
        <w:rPr>
          <w:rFonts w:ascii="Times New Roman" w:cs="Times New Roman" w:eastAsia="Times New Roman" w:hAnsi="Times New Roman"/>
          <w:sz w:val="13"/>
          <w:szCs w:val="13"/>
          <w:color w:val="auto"/>
        </w:rPr>
      </w:pPr>
    </w:p>
    <w:p>
      <w:pPr>
        <w:ind w:left="380" w:hanging="330"/>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spacing w:after="0" w:line="18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was $94.2 million during the three months ended March 31, 2025,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$22.7 million from the three months ended March 31, 2024. Average interest-earning assets were $12.96 billion for the three months ended March 31, 2025, a decrease of $52.4 million from $13.02 billion for the three months ended March 31, 2024. Net interest margin was 2.95% during the three months ended March 31, 2025, up from 2.21% during the three months ended March 31, 2024.</w:t>
      </w:r>
    </w:p>
    <w:p>
      <w:pPr>
        <w:spacing w:after="0" w:line="183"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$161.9 million during the three months ended March 31, 2025, compared to $161.0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three months ended March 31, 2024. During the three months ended March 31, 2025, interest income increased $856 thousand from the three months ended March 31, 2024, primarily reflecting increases in interest income of $5.8 million on business loans, $3.4 million in securities and $1.3 million on one-to-four family loans, partially offset by a decrease of $3.7 million on multifamily residential and residential mixed-use loans and a decrease of $3.5 million on non-owner-occupied commercial real estate loans.</w:t>
      </w:r>
    </w:p>
    <w:p>
      <w:pPr>
        <w:spacing w:after="0" w:line="18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increased interest income on business loans was due to a $439.8 million increase in the average balances, partially offset by an 18-basis point decrease in the yield of such loans in the period. The increased interest income on one-to-four family loans was related to a $75.5 million increase in the average balances and a 24-basis point increase in the yield of such loans in the period. The increased interest income on securities was related to a 134-basis point increase in the yield, partially offset by a decrease of $205.8 million in the average balances of such securities in the period. The decreased interest income on multifamily residential and residential mixed-use loans was related to a $203.8 million decrease in the average balance and an 11-basis point decrease in the yield of such loans in the period. The decreased interest income on non-owner-occupied commercial real estate loans reflected a $156.7 million decrease in the average balance and a 13-basis point decrease in the yield of such loans in the period.</w:t>
      </w:r>
    </w:p>
    <w:p>
      <w:pPr>
        <w:spacing w:after="0" w:line="18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$67.7 million during the three months ended March 31, 2025, compared to $89.5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three months ended March 31, 2024. During the three months ended March 31, 2025, interest expense decreased $21.8 million, primarily reflecting a decrease in interest expense of $15.0 million on deposits, a decrease in interest expense of $8.1 million on FHLBNY advances and a decrease of $516 thousand in interest expense on derivative cash collateral, partially offset by a $1.7 million increase in interest expense on subordinated debt. The decreased interest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expense on deposits was primarily due to a $682.8 million decrease in the average balance of CDs and a 96-basis point decrease in such deposits in the period, and due to a 95-basis point decrease in rates paid on savings accounts and a $398.6 million decrease in average balances of such deposits. The decreased interest expense on FHLBNY advances was due to a $585.1 million decrease in the average balance of such advances and a 122-basis point decrease in the cost of FHLBNY advances in the period. The decreased interest expense on derivative cash collateral was due to a $26.0 million decrease in the average balance and a 63-basis point decrease in the cost of such derivatives in the period. The increased interest expense on subordinated debt was due to a $72.2 million increase in the average balance and a 127-basis point increase in the cost of such debt in the period.</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We recorded a credit loss provision of $9.6 million and $5.2 million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and 2024, respectively. The $9.6 million credit loss provision for the three months ended March 31, 2025, was primarily associated with provisioning for individually analyzed loans. The $5.2 million credit loss provision for the three months ended March 31, 2024, was primarily associated with increased provisioning for our pooled multifamily loan portfolio.</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was $9.6 million during the three months ended March 31,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$10.5 million during the three months ended March 31, 2024. During the three months ended March 31, 2025, non-interest income decreased $834 thousand from the three months ended March 31, 2024, reflecting a decrease of $3.0 million related to a gain on sale of other assets, partially offset by an increase of $1.5 million in BOLI income.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was $65.5 million during the three months ended March 31,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$52.5 million during the three months ended March 31, 2024. During the three months ended March 31, 2025, non-interest expense increased $13.0 million from the three months ended March 31, 2024, primarily due to the Company recording a $7.2 million loss due to pension settlement and a $3.6 million increase in salaries and employee benefits.</w:t>
      </w:r>
    </w:p>
    <w:p>
      <w:pPr>
        <w:spacing w:after="0" w:line="18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Non-interest expense was 1.90% and 1.52% of average assets during the three months ended March 31, 2025 and 2024, respectively.</w:t>
      </w:r>
    </w:p>
    <w:p>
      <w:pPr>
        <w:spacing w:after="0" w:line="160"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$7.3 million during the three months ended March 31,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of $6.6 million during the three months ended March 31, 2024. The reported effective tax rate for the three months ended March 31, 2025 was 25.3%, and 27.1% for the three months ended March 31, 2024.</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were presented at December 31, 2024 in Item 7A of the Holding Company’s Annual Report on Form 10-K, filed with the SEC on February 20, 2025. The following is an update of the discussion provided therein.</w:t>
      </w:r>
    </w:p>
    <w:p>
      <w:pPr>
        <w:spacing w:after="0" w:line="174"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Company’s largest component of market risk remains interest rate risk. The Company is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exchange or commodity price risk. During the three months ended March 31, 2025, we conducted zero transactions involving derivative instruments requiring bifurcation in order to hedge interest rate or market risk.</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 Exposure Analysis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Economic Value of Equity (“EVE”) Analysis</w:t>
      </w:r>
      <w:r>
        <w:rPr>
          <w:rFonts w:ascii="Times New Roman" w:cs="Times New Roman" w:eastAsia="Times New Roman" w:hAnsi="Times New Roman"/>
          <w:sz w:val="18"/>
          <w:szCs w:val="18"/>
          <w:color w:val="auto"/>
        </w:rPr>
        <w:t>. In accordance with agency regulatory guidelines, the Company simulates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interest rate volatility upon EVE using several interest rate scenarios. EVE is the difference between the present value of the expected future cash flows of the Company’s assets and liabilities and the value of any off-balance sheet items, such as derivatives, if applicable.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Traditionally, the fair value of fixed-rate instruments fluctuates inversely with changes in interest rates. Increases in interest rates thus result in decreases in the fair value of interest-earning assets, which could adversely affect the Company’s consolidated results of operations in the event they were to be sold, or, in the case of interest-earning assets classified as available-for-sale, reduce the Company’s consolidated stockholders’ equity, if retained. The changes in the value of assets and liabilities due to fluctuations in interest rates measure the interest rate sensitivity of those assets and liabilities.</w:t>
      </w:r>
    </w:p>
    <w:p>
      <w:pPr>
        <w:spacing w:after="0" w:line="16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order to measure the Company’s sensitivity to changes in interest rates, EVE is calculated under market interest rates prevailing at a given quarter-end (“Pre-Shock Scenario”), and under various other interest rate scenarios (“Rate Shock Scenarios”) representing immediate, permanent, parallel shifts in the term structure of interest rates from the actual term structure observed in the Pre-Shock Scenario, with this shift occurring equally across all points on the yield curve. An increase in the EVE is considered favorable, while a decline is considered unfavorable. The changes in EVE between the Pre-Shock Scenario and various Rate Shock Scenarios due to fluctuations in interest rates reflect the interest rate sensitivity of the Company’s assets, liabilities, and off-balance sheet items that are included in the EVE. Management reports the EVE results to the Board of Directors on a quarterly basis. The report compares the Company’s estimated Pre-Shock Scenario EVE to the estimated EVE calculated under the various Rate Shock Scenarios.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valuation model makes various estimates regarding cash flows from principal repayments on loans and deposit decay rates at each level of interest rate change. The Company’s estimates for loan repayment levels are influenced by the recent history of prepayment activity in its loan portfolio, as well as the interest rate composition of the existing portfolio, especially in relation to the existing interest rate environment. Regarding deposit decay rates, the Company tracks and analyzes the decay rate of its deposits over time, with the assistance of a reputable third-party, and over various interest rate scenarios. Such results are utilized in determining estimates of deposit decay rates in the valuation model. The Company also generates a series of spot discount rates that are integral to the valuation of the projected monthly cash flows of its assets and liabilities. The valuation model employs discount rates that it considers representative of prevailing market rates of interest with appropriate adjustments it believes are suited to the heterogeneous characteristics of the Company’s various asset and liability portfolios. No matter the care and precision with which the estimates are derived, actual cash flows could differ significantly from the Company’s estimates resulting in significantly different EVE calculations.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analysis that follows presents, as of March 31, 2025 and December 31, 2024, the estimated EVE at both the Pre-Shock Scenario and the -200 Basis Point, -100 Basis Point, +100 Basis Point, and +200 Basis Point Rate Shock Scenarios.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8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8"/>
                <w:szCs w:val="18"/>
                <w:color w:val="auto"/>
              </w:rPr>
            </w:pPr>
          </w:p>
        </w:tc>
      </w:tr>
      <w:tr>
        <w:trPr>
          <w:trHeight w:val="183"/>
        </w:trPr>
        <w:tc>
          <w:tcPr>
            <w:tcW w:w="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20" w:type="dxa"/>
            <w:vAlign w:val="bottom"/>
          </w:tcPr>
          <w:p>
            <w:pPr>
              <w:spacing w:after="0"/>
              <w:rPr>
                <w:sz w:val="15"/>
                <w:szCs w:val="15"/>
                <w:color w:val="auto"/>
              </w:rPr>
            </w:pPr>
          </w:p>
        </w:tc>
      </w:tr>
      <w:tr>
        <w:trPr>
          <w:trHeight w:val="215"/>
        </w:trPr>
        <w:tc>
          <w:tcPr>
            <w:tcW w:w="2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EVE</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80" w:type="dxa"/>
            <w:vAlign w:val="bottom"/>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EVE</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8"/>
                <w:szCs w:val="18"/>
                <w:color w:val="auto"/>
              </w:rPr>
            </w:pPr>
          </w:p>
        </w:tc>
      </w:tr>
      <w:tr>
        <w:trPr>
          <w:trHeight w:val="19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Rate Shock Scenarios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97"/>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$ 1,850,089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142,980</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112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6"/>
                <w:szCs w:val="16"/>
                <w:color w:val="auto"/>
              </w:rPr>
              <w:t xml:space="preserve">  $ 1,862,712</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101,644</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1,810,693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103,584</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1,843,160</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82,092</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Pre-Shock Scenario</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1,707,109</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1,761,068</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9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1,573,858</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(133,251)</w:t>
            </w:r>
          </w:p>
        </w:tc>
        <w:tc>
          <w:tcPr>
            <w:tcW w:w="1080" w:type="dxa"/>
            <w:vAlign w:val="bottom"/>
            <w:gridSpan w:val="2"/>
            <w:shd w:val="clear" w:color="auto" w:fill="CCEEFF"/>
          </w:tcPr>
          <w:p>
            <w:pPr>
              <w:jc w:val="right"/>
              <w:ind w:right="44"/>
              <w:spacing w:after="0" w:line="297" w:lineRule="exact"/>
              <w:rPr>
                <w:sz w:val="20"/>
                <w:szCs w:val="20"/>
                <w:color w:val="auto"/>
              </w:rPr>
            </w:pPr>
            <w:r>
              <w:rPr>
                <w:rFonts w:ascii="Times New Roman" w:cs="Times New Roman" w:eastAsia="Times New Roman" w:hAnsi="Times New Roman"/>
                <w:sz w:val="16"/>
                <w:szCs w:val="16"/>
                <w:b w:val="1"/>
                <w:bCs w:val="1"/>
                <w:color w:val="auto"/>
              </w:rPr>
              <w:t xml:space="preserve">(7.8) </w:t>
            </w:r>
            <w:r>
              <w:rPr>
                <w:rFonts w:ascii="Times New Roman" w:cs="Times New Roman" w:eastAsia="Times New Roman" w:hAnsi="Times New Roman"/>
                <w:sz w:val="28"/>
                <w:szCs w:val="28"/>
                <w:b w:val="1"/>
                <w:bCs w:val="1"/>
                <w:color w:val="auto"/>
                <w:vertAlign w:val="subscript"/>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1,636,011</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(125,057)</w:t>
            </w:r>
          </w:p>
        </w:tc>
        <w:tc>
          <w:tcPr>
            <w:tcW w:w="1000" w:type="dxa"/>
            <w:vAlign w:val="bottom"/>
            <w:gridSpan w:val="2"/>
            <w:shd w:val="clear" w:color="auto" w:fill="CCEEFF"/>
          </w:tcPr>
          <w:p>
            <w:pPr>
              <w:jc w:val="right"/>
              <w:spacing w:after="0" w:line="297" w:lineRule="exact"/>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28"/>
                <w:szCs w:val="28"/>
                <w:color w:val="auto"/>
                <w:vertAlign w:val="subscript"/>
              </w:rPr>
              <w:t>%</w:t>
            </w:r>
          </w:p>
        </w:tc>
      </w:tr>
      <w:tr>
        <w:trPr>
          <w:trHeight w:val="38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1,358,991</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(348,118)</w:t>
            </w:r>
          </w:p>
        </w:tc>
        <w:tc>
          <w:tcPr>
            <w:tcW w:w="10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 xml:space="preserve">(20.4) </w:t>
            </w:r>
            <w:r>
              <w:rPr>
                <w:rFonts w:ascii="Times New Roman" w:cs="Times New Roman" w:eastAsia="Times New Roman" w:hAnsi="Times New Roman"/>
                <w:sz w:val="28"/>
                <w:szCs w:val="28"/>
                <w:b w:val="1"/>
                <w:bCs w:val="1"/>
                <w:color w:val="auto"/>
                <w:vertAlign w:val="sub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1,439,251</w:t>
            </w:r>
          </w:p>
        </w:tc>
        <w:tc>
          <w:tcPr>
            <w:tcW w:w="1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(321,817)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(18.3) </w:t>
            </w:r>
            <w:r>
              <w:rPr>
                <w:rFonts w:ascii="Times New Roman" w:cs="Times New Roman" w:eastAsia="Times New Roman" w:hAnsi="Times New Roman"/>
                <w:sz w:val="28"/>
                <w:szCs w:val="28"/>
                <w:color w:val="auto"/>
                <w:vertAlign w:val="subscript"/>
              </w:rPr>
              <w:t>%</w:t>
            </w:r>
          </w:p>
        </w:tc>
      </w:tr>
    </w:tbl>
    <w:p>
      <w:pPr>
        <w:spacing w:after="0" w:line="11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Pre-Shock Scenario EVE decreased from $1.76 billion at December 31, 2024 to $1.71 billion at March 31, 2025. The primary factor contributing to the decrease in EVE is a decrease in the value of the Bank’s non-maturity deposit base, partially offset by an increase in value of the loan portfolio.</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EVE in the +100 Basis Point Rate and +200 Basis Point Rate Shock Scenarios decreased from $1.84 billion and $1.86 billion, respectively, at December 31, 2024, to $1.81 billion and $1.85 billion, respectively, at March 31, 2025. In the -100 Basis Point Rate and -200 Basis Point Rate Shock Scenario the Company’s EVE decreased from $1.64 billion and $1.44 billion, respectively, at December 31, 2024, to $1.57 billion and $1.36 billion, respectively, at March 31, 2025.</w:t>
      </w:r>
    </w:p>
    <w:p>
      <w:pPr>
        <w:spacing w:after="0" w:line="181"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Income Simulation Analysis</w:t>
      </w:r>
      <w:r>
        <w:rPr>
          <w:rFonts w:ascii="Times New Roman" w:cs="Times New Roman" w:eastAsia="Times New Roman" w:hAnsi="Times New Roman"/>
          <w:sz w:val="18"/>
          <w:szCs w:val="18"/>
          <w:color w:val="auto"/>
        </w:rPr>
        <w:t>. As of the end of each quarterly period, the Company also monitors the impact of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through a net interest income simulation model. This model estimates the impact of interest rate changes on the Company’s net interest income over forward-looking periods typically not exceeding 36 months (a considerably shorter</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period than measured through the EVE analysis). Management reports the net interest income simulation results to the Company’s Board of Directors on a quarterly basis. The following table discloses the estimated changes to the Company’s net interest income in various time periods assuming gradual changes in interest rates occurring equally across all points on the yield curve over a 12-month period beginning March 31, 2025, for the given rate scenarios: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Gradual Change in Interest rates of:</w:t>
            </w: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20" w:type="dxa"/>
            <w:vAlign w:val="bottom"/>
            <w:tcBorders>
              <w:top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1"/>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(1.4) </w:t>
            </w:r>
            <w:r>
              <w:rPr>
                <w:rFonts w:ascii="Times New Roman" w:cs="Times New Roman" w:eastAsia="Times New Roman" w:hAnsi="Times New Roman"/>
                <w:sz w:val="28"/>
                <w:szCs w:val="28"/>
                <w:color w:val="auto"/>
                <w:vertAlign w:val="subscript"/>
              </w:rPr>
              <w:t>%</w:t>
            </w:r>
          </w:p>
        </w:tc>
      </w:tr>
    </w:tbl>
    <w:p>
      <w:pPr>
        <w:spacing w:after="0" w:line="2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also examines the potential impact to net interest income by simulating the impact of instantaneous changes to interest rates occurring equally across all points on the yield curve. The following table discloses the estimated changes to the Company’s net interest income in various time periods associated with the given interest rate shock scenarios.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Instantaneous Rate Shock Scenarios</w:t>
            </w: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38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20" w:type="dxa"/>
            <w:vAlign w:val="bottom"/>
            <w:tcBorders>
              <w:top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 xml:space="preserve">(1.8) </w:t>
            </w:r>
            <w:r>
              <w:rPr>
                <w:rFonts w:ascii="Times New Roman" w:cs="Times New Roman" w:eastAsia="Times New Roman" w:hAnsi="Times New Roman"/>
                <w:sz w:val="23"/>
                <w:szCs w:val="23"/>
                <w:color w:val="auto"/>
                <w:vertAlign w:val="subscript"/>
              </w:rPr>
              <w:t>%</w:t>
            </w:r>
          </w:p>
        </w:tc>
      </w:tr>
      <w:tr>
        <w:trPr>
          <w:trHeight w:val="381"/>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28"/>
                <w:szCs w:val="28"/>
                <w:color w:val="auto"/>
                <w:vertAlign w:val="subscript"/>
              </w:rPr>
              <w:t>%</w:t>
            </w:r>
          </w:p>
        </w:tc>
      </w:tr>
    </w:tbl>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of the Company, with the participation of its Principal Executive Officer and Principal Financial Officer, conducted an evaluation of the effectiveness, as of March 31, 2025, of the Company’s disclosure controls and procedures, as defined in Rules 13a-15(e) and 15(d)-15(e) under the Exchange Act. Based upon this evaluation, the Principal Executive Officer and Principal Financial Officer concluded that the Company’s disclosure controls and procedures were effective as of March 31, 2025 in ensuring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as appropriate to allow timely decisions regarding required disclosures.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March 31, 2025, that has materially affected, or is reasonably likely to materially affect, such controls.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routinely named as a defendant in or party to various pending or threatened legal actions or proceedings. Certain of these matters may seek substantial monetary damages. In the opinion of management, the Company was not involved in any actions or proceedings that were likely to have a material adverse impact on its financial condition and results of operations as of March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Company’s risk factors, see Part 1, Item 1A “Risk Factors” in the Company’s Annual Report on Form 10-K for fiscal year ended December 31, 2024, and Part II, Item 1A “Risk Factors” in our subsequent Quarterly Reports on Form 10-Q, each as filed with the Securities and Exchange Commission.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both"/>
        <w:ind w:left="380" w:right="59" w:hanging="330"/>
        <w:spacing w:after="0" w:line="258" w:lineRule="auto"/>
        <w:tabs>
          <w:tab w:leader="none" w:pos="39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announced the adoption of a new stock repurchase program of up to 1,948,314 shares, upon the completion of our existing authorized stock repurchase program. The stock repurchase program may be suspended, terminated, or modified at any time for any reason, and has no termination date. As of March 31, 2025, there were 1,566,947 shares remaining to be purchased in the program. There were no repurchases of common stock during the quarter ended March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March 6, 2025, Kenneth J. Mahon, Chairman of the Board, adopted a Rule 10b5-1 trading plan for the purpose of selling up to 75,000 shares of the Company’s common stock. The plan was adopted in accordance with Rule 10b5-1 of the Securities Exchange Act of 1924 and is designed to allow for transaction to be made according to the pre-established terms without violating insider trading laws. The adoption of the plan was made at a time when Chairman Mahon was not in possession of any material non-public information regarding the Company. The plan specifies the transactions may occur beginning on or after March 6, 2025, and ending on the earlier of December 31, 2025, or the date on which all shares authorized for sale have been sold in conformance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300" w:type="dxa"/>
            <w:vAlign w:val="bottom"/>
            <w:gridSpan w:val="19"/>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0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7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Restated Certificate of Incorporation of the Registrant (incorporated by reference to Exhibit 3.1 to the</w:t>
              </w:r>
            </w:hyperlink>
          </w:p>
        </w:tc>
        <w:tc>
          <w:tcPr>
            <w:tcW w:w="700" w:type="dxa"/>
            <w:vAlign w:val="bottom"/>
            <w:gridSpan w:val="7"/>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Registrant’s Current Report on Form 8-K, filed February 2, 2021 (File No. 001-34096))</w:t>
              </w:r>
            </w:hyperlink>
          </w:p>
        </w:tc>
        <w:tc>
          <w:tcPr>
            <w:tcW w:w="1700" w:type="dxa"/>
            <w:vAlign w:val="bottom"/>
            <w:gridSpan w:val="11"/>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7"/>
                <w:szCs w:val="17"/>
                <w:color w:val="auto"/>
              </w:rPr>
            </w:pPr>
          </w:p>
        </w:tc>
        <w:tc>
          <w:tcPr>
            <w:tcW w:w="8020" w:type="dxa"/>
            <w:vAlign w:val="bottom"/>
            <w:gridSpan w:val="1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Amended and Restated Bylaws of Dime Community Bancshares, Inc. (incorporated by reference to Exhibit 3.2</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to the Registrant’s Current Report on Form 8-K, filed October 25, 2024 (File No. 001-34096))</w:t>
              </w:r>
            </w:hyperlink>
          </w:p>
        </w:tc>
        <w:tc>
          <w:tcPr>
            <w:tcW w:w="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7"/>
                <w:szCs w:val="17"/>
                <w:color w:val="auto"/>
              </w:rPr>
            </w:pPr>
          </w:p>
        </w:tc>
        <w:tc>
          <w:tcPr>
            <w:tcW w:w="77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Indenture, dated May 6, 2022, between Dime Community Bancshares, Inc. and Wilmington Trust National</w:t>
              </w:r>
            </w:hyperlink>
          </w:p>
        </w:tc>
        <w:tc>
          <w:tcPr>
            <w:tcW w:w="32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Association, as trustee (incorporated by reference to Exhibit 4.1 to the Registrant’s Current Report on Form 8-</w:t>
              </w:r>
            </w:hyperlink>
          </w:p>
        </w:tc>
        <w:tc>
          <w:tcPr>
            <w:tcW w:w="80" w:type="dxa"/>
            <w:vAlign w:val="bottom"/>
            <w:gridSpan w:val="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18"/>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K, filed May 6, 2022 (File No. 001-34096))</w:t>
              </w:r>
            </w:hyperlink>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7"/>
                <w:szCs w:val="17"/>
                <w:color w:val="auto"/>
              </w:rPr>
            </w:pPr>
          </w:p>
        </w:tc>
        <w:tc>
          <w:tcPr>
            <w:tcW w:w="80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First Supplemental Indenture, dated May 6, 2022, between Dime Community Bancshares, Inc. and Wilmington</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1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Trust National Association, as trustee (incorporated by reference to Exhibit 4.2 to the Registrant’s Current</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Report on Form 8-K, filed May 6, 2022 (File No. 001-34096))</w:t>
              </w:r>
            </w:hyperlink>
          </w:p>
        </w:tc>
        <w:tc>
          <w:tcPr>
            <w:tcW w:w="3120" w:type="dxa"/>
            <w:vAlign w:val="bottom"/>
            <w:tcBorders>
              <w:top w:val="single" w:sz="8" w:color="0000EE"/>
            </w:tcBorders>
            <w:gridSpan w:val="11"/>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7"/>
                <w:szCs w:val="17"/>
                <w:color w:val="auto"/>
              </w:rPr>
            </w:pPr>
          </w:p>
        </w:tc>
        <w:tc>
          <w:tcPr>
            <w:tcW w:w="74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Second Supplemental Indenture, dated June 28, 2024, between Dime Community Bancshares, Inc. and</w:t>
              </w:r>
            </w:hyperlink>
          </w:p>
        </w:tc>
        <w:tc>
          <w:tcPr>
            <w:tcW w:w="620" w:type="dxa"/>
            <w:vAlign w:val="bottom"/>
            <w:gridSpan w:val="6"/>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18"/>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Wilmington Trust National Association, as trustee (incorporated by reference to Exhibit 4.2 to the Registrant’s</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Current Report on Form 8-K, filed June 28, 2024 (File No. 001-34096))</w:t>
              </w:r>
            </w:hyperlink>
          </w:p>
        </w:tc>
        <w:tc>
          <w:tcPr>
            <w:tcW w:w="2760" w:type="dxa"/>
            <w:vAlign w:val="bottom"/>
            <w:tcBorders>
              <w:top w:val="single" w:sz="8" w:color="0000EE"/>
            </w:tcBorders>
            <w:gridSpan w:val="10"/>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7"/>
                <w:szCs w:val="17"/>
                <w:color w:val="auto"/>
              </w:rPr>
            </w:pPr>
          </w:p>
        </w:tc>
        <w:tc>
          <w:tcPr>
            <w:tcW w:w="8020" w:type="dxa"/>
            <w:vAlign w:val="bottom"/>
            <w:gridSpan w:val="18"/>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Amendment Two to the Dime Community Bancshares, Inc. 2021 Equity Incentive Plan (incorporated by</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reference to the Registrant’s Definitive Proxy Statement, File No. 001-34096, filed April 4, 2024)</w:t>
              </w:r>
            </w:hyperlink>
          </w:p>
        </w:tc>
        <w:tc>
          <w:tcPr>
            <w:tcW w:w="480" w:type="dxa"/>
            <w:vAlign w:val="bottom"/>
            <w:tcBorders>
              <w:top w:val="single" w:sz="8" w:color="0000EE"/>
            </w:tcBorders>
            <w:gridSpan w:val="3"/>
          </w:tcPr>
          <w:p>
            <w:pPr>
              <w:spacing w:after="0"/>
              <w:rPr>
                <w:sz w:val="17"/>
                <w:szCs w:val="17"/>
                <w:color w:val="auto"/>
              </w:rPr>
            </w:pPr>
          </w:p>
        </w:tc>
        <w:tc>
          <w:tcPr>
            <w:tcW w:w="500" w:type="dxa"/>
            <w:vAlign w:val="bottom"/>
            <w:gridSpan w:val="5"/>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Three to the Dime Community Bancshares, Inc. 2021 Equity Incentive Plan</w:t>
            </w:r>
          </w:p>
        </w:tc>
        <w:tc>
          <w:tcPr>
            <w:tcW w:w="1620" w:type="dxa"/>
            <w:vAlign w:val="bottom"/>
            <w:gridSpan w:val="10"/>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7"/>
                <w:szCs w:val="17"/>
                <w:color w:val="auto"/>
              </w:rPr>
            </w:pPr>
          </w:p>
        </w:tc>
        <w:tc>
          <w:tcPr>
            <w:tcW w:w="8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w:t>
            </w:r>
          </w:p>
        </w:tc>
        <w:tc>
          <w:tcPr>
            <w:tcW w:w="40" w:type="dxa"/>
            <w:vAlign w:val="bottom"/>
            <w:tcBorders>
              <w:top w:val="single" w:sz="8" w:color="0000EE"/>
            </w:tcBorders>
          </w:tcPr>
          <w:p>
            <w:pPr>
              <w:spacing w:after="0"/>
              <w:rPr>
                <w:sz w:val="17"/>
                <w:szCs w:val="17"/>
                <w:color w:val="auto"/>
              </w:rPr>
            </w:pPr>
          </w:p>
        </w:tc>
        <w:tc>
          <w:tcPr>
            <w:tcW w:w="2920" w:type="dxa"/>
            <w:vAlign w:val="bottom"/>
            <w:gridSpan w:val="13"/>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7"/>
                <w:szCs w:val="17"/>
                <w:color w:val="auto"/>
              </w:rPr>
            </w:pPr>
          </w:p>
        </w:tc>
        <w:tc>
          <w:tcPr>
            <w:tcW w:w="8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Rule 13a-14(b) and 18 U.S.C.</w:t>
            </w: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Section 1350</w:t>
            </w:r>
          </w:p>
        </w:tc>
        <w:tc>
          <w:tcPr>
            <w:tcW w:w="80" w:type="dxa"/>
            <w:vAlign w:val="bottom"/>
            <w:gridSpan w:val="2"/>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920" w:right="139" w:hanging="864"/>
        <w:spacing w:after="0" w:line="254"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Dime Community Bancshares, Inc.'s Quarterly Report on Form 10-Q for the Quarter Ended March 31, 2025, filed on May 6, 2025, formatted in XBRL: (i) Consolidated Statements of Financial Condition as of March 31, 2025 and December 31, 2024, (ii) Consolidated Statements of Operations for the Three Months Ended March 31, 2025 and 2024, (iii) Consolidated Statements of Comprehensive Income for the Three Months Ended March 31, 2025 and 2024, (iv) Consolidated Statements</w:t>
      </w:r>
    </w:p>
    <w:tbl>
      <w:tblPr>
        <w:tblLayout w:type="fixed"/>
        <w:tblInd w:w="60" w:type="dxa"/>
        <w:tblCellMar>
          <w:top w:w="0" w:type="dxa"/>
          <w:left w:w="0" w:type="dxa"/>
          <w:bottom w:w="0" w:type="dxa"/>
          <w:right w:w="0" w:type="dxa"/>
        </w:tblCellMar>
      </w:tblPr>
      <w:tr>
        <w:trPr>
          <w:trHeight w:val="201"/>
        </w:trPr>
        <w:tc>
          <w:tcPr>
            <w:tcW w:w="760" w:type="dxa"/>
            <w:vAlign w:val="bottom"/>
          </w:tcPr>
          <w:p>
            <w:pPr>
              <w:spacing w:after="0"/>
              <w:rPr>
                <w:sz w:val="17"/>
                <w:szCs w:val="17"/>
                <w:color w:val="auto"/>
              </w:rPr>
            </w:pPr>
          </w:p>
        </w:tc>
        <w:tc>
          <w:tcPr>
            <w:tcW w:w="810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9"/>
              </w:rPr>
              <w:t>of Stockholders' Equity for the Three Months Ended March 31, 2025 and 2024, (v) Consolidated Statements of</w:t>
            </w:r>
          </w:p>
        </w:tc>
      </w:tr>
      <w:tr>
        <w:trPr>
          <w:trHeight w:val="216"/>
        </w:trPr>
        <w:tc>
          <w:tcPr>
            <w:tcW w:w="760" w:type="dxa"/>
            <w:vAlign w:val="bottom"/>
          </w:tcPr>
          <w:p>
            <w:pPr>
              <w:spacing w:after="0"/>
              <w:rPr>
                <w:sz w:val="18"/>
                <w:szCs w:val="18"/>
                <w:color w:val="auto"/>
              </w:rPr>
            </w:pP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Flows for the Three Months Ended March 31, 2025 and 2024, and (vi) the Condensed Notes to</w:t>
            </w:r>
          </w:p>
        </w:tc>
      </w:tr>
      <w:tr>
        <w:trPr>
          <w:trHeight w:val="216"/>
        </w:trPr>
        <w:tc>
          <w:tcPr>
            <w:tcW w:w="760" w:type="dxa"/>
            <w:vAlign w:val="bottom"/>
          </w:tcPr>
          <w:p>
            <w:pPr>
              <w:spacing w:after="0"/>
              <w:rPr>
                <w:sz w:val="18"/>
                <w:szCs w:val="18"/>
                <w:color w:val="auto"/>
              </w:rPr>
            </w:pP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Definitions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Cover page to this Quarterly Report on Form 10-Q,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360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w w:val="99"/>
              </w:rPr>
              <w:t>Dime Community Bancshares, Inc.</w:t>
            </w:r>
          </w:p>
        </w:tc>
      </w:tr>
      <w:tr>
        <w:trPr>
          <w:trHeight w:val="41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2025</w:t>
            </w:r>
          </w:p>
        </w:tc>
        <w:tc>
          <w:tcPr>
            <w:tcW w:w="36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By: /s/ Stuart H. Lubow</w:t>
            </w:r>
          </w:p>
        </w:tc>
      </w:tr>
      <w:tr>
        <w:trPr>
          <w:trHeight w:val="191"/>
        </w:trPr>
        <w:tc>
          <w:tcPr>
            <w:tcW w:w="2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Stuart H. Lubow</w:t>
            </w:r>
          </w:p>
        </w:tc>
        <w:tc>
          <w:tcPr>
            <w:tcW w:w="40" w:type="dxa"/>
            <w:vAlign w:val="bottom"/>
          </w:tcPr>
          <w:p>
            <w:pPr>
              <w:spacing w:after="0"/>
              <w:rPr>
                <w:sz w:val="16"/>
                <w:szCs w:val="16"/>
                <w:color w:val="auto"/>
              </w:rPr>
            </w:pPr>
          </w:p>
        </w:tc>
      </w:tr>
      <w:tr>
        <w:trPr>
          <w:trHeight w:val="216"/>
        </w:trPr>
        <w:tc>
          <w:tcPr>
            <w:tcW w:w="2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w:t>
            </w:r>
          </w:p>
        </w:tc>
      </w:tr>
      <w:tr>
        <w:trPr>
          <w:trHeight w:val="234"/>
        </w:trPr>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64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2025</w:t>
            </w:r>
          </w:p>
        </w:tc>
        <w:tc>
          <w:tcPr>
            <w:tcW w:w="36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By: /s/ Avinash Reddy</w:t>
            </w:r>
          </w:p>
        </w:tc>
      </w:tr>
      <w:tr>
        <w:trPr>
          <w:trHeight w:val="191"/>
        </w:trPr>
        <w:tc>
          <w:tcPr>
            <w:tcW w:w="2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Avinash Reddy</w:t>
            </w:r>
          </w:p>
        </w:tc>
        <w:tc>
          <w:tcPr>
            <w:tcW w:w="40" w:type="dxa"/>
            <w:vAlign w:val="bottom"/>
          </w:tcPr>
          <w:p>
            <w:pPr>
              <w:spacing w:after="0"/>
              <w:rPr>
                <w:sz w:val="16"/>
                <w:szCs w:val="16"/>
                <w:color w:val="auto"/>
              </w:rPr>
            </w:pPr>
          </w:p>
        </w:tc>
      </w:tr>
      <w:tr>
        <w:trPr>
          <w:trHeight w:val="216"/>
        </w:trPr>
        <w:tc>
          <w:tcPr>
            <w:tcW w:w="2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Executive Vice President</w:t>
            </w:r>
          </w:p>
        </w:tc>
      </w:tr>
      <w:tr>
        <w:trPr>
          <w:trHeight w:val="234"/>
        </w:trPr>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200"/>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THREE</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DIME COMMUNITY BANCSHARES, INC.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Dime Community Bancshares, Inc. (the “Company”) maintains the Dime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Community Bancshares, Inc. 2021 Equity Incentive Plan (“the “Plan”); and</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 Section 2.8 of the Plan provides generally that a Participant will hold a 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or shares of Stock received upon exercise of a Stock Option for the later of twelve (12) months or the date a Participant meets the minimum ownership requirements, if any; and</w:t>
      </w:r>
    </w:p>
    <w:p>
      <w:pPr>
        <w:spacing w:after="0" w:line="16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the Company (the “Board”) desires to amend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2.8 of the Plan to eliminate the minimum holding period restriction of twelve (12) months; and</w:t>
      </w:r>
    </w:p>
    <w:p>
      <w:pPr>
        <w:spacing w:after="0" w:line="167"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6.1 of the Plan provides generally that the Board may amend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any time, and may amend any Award Agreement, provided, however, that the Board shall not amend the Plan without approval of the stockholders of the Company if such amendment may materially increase the benefits accruing to Participants under the Plan, materially increase the aggregate number of securities which may be issued under the Plan, or materially modify the requirements for participation in the Plan; and</w:t>
      </w:r>
    </w:p>
    <w:p>
      <w:pPr>
        <w:spacing w:after="0" w:line="175"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Company’s common stock is traded on The Nasdaq Stock Market, LLC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“NASDAQ”); and</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NASDAQ Rule 5635(c) generally requires stockholder approval when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plan is established or materially amended; and</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 NASDAQ Rule 5635(c) provides that a material amendment would include,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is not limited to, any material increase in benefits to participants; and</w:t>
      </w:r>
    </w:p>
    <w:p>
      <w:pPr>
        <w:spacing w:after="0" w:line="150"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 NASDAQ guidance provides that an elimination of the holding period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award is not a material amendment provided that the change does not result in either an extension in the term of an equity award beyond the maximum allowable term under the equity plan or in an addition to the aggregate shares available under the equity plan; and</w:t>
      </w:r>
    </w:p>
    <w:p>
      <w:pPr>
        <w:spacing w:after="0" w:line="17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Internal Revenue Code of 1986, as amended, does not require shareholder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of this Amendment Three.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Plan is hereby amended as follows:</w:t>
      </w:r>
    </w:p>
    <w:p>
      <w:pPr>
        <w:spacing w:after="0" w:line="21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Section 2.8 of the Plan</w:t>
      </w:r>
      <w:r>
        <w:rPr>
          <w:rFonts w:ascii="Times New Roman" w:cs="Times New Roman" w:eastAsia="Times New Roman" w:hAnsi="Times New Roman"/>
          <w:sz w:val="22"/>
          <w:szCs w:val="22"/>
          <w:color w:val="auto"/>
        </w:rPr>
        <w:t>. Section 2.8 of the Plan is hereby amended and restated to read as follows:</w:t>
      </w:r>
    </w:p>
    <w:p>
      <w:pPr>
        <w:spacing w:after="0" w:line="15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“Holding Period for Vested Awards</w:t>
      </w:r>
      <w:r>
        <w:rPr>
          <w:rFonts w:ascii="Times New Roman" w:cs="Times New Roman" w:eastAsia="Times New Roman" w:hAnsi="Times New Roman"/>
          <w:sz w:val="22"/>
          <w:szCs w:val="22"/>
          <w:color w:val="auto"/>
        </w:rPr>
        <w:t>. As a condition of receipt of an Award,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must agree to hold shares of Stock received upon exercise of a Stock Option or upon vesting of a Restricted Stock Award or Restricted Stock Unit until the date the individual meets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p>
      <w:pPr>
        <w:ind w:left="200"/>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99"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the minimum ownership requirements (if any) applicable to that individual. The foregoing limitation shall not apply to the extent that an Award vests due to death, Disability or an Involuntary Termination following a Change in Control, or to the extent that (i) a Participant directs the Company to withhold or the Company elects to withhold shares of Stock with respect to the vesting or exercise, or, in lieu thereof, to retain, or to sell without notice, a sufficient number of shares of Stock to cover the amount required to be withheld or (ii) a Participant exercises a Stock Option by a net settlement, and in the case of (i) and (ii) herein, only to the extent of the shares are withheld for tax purposes or for purposes of the net settlement.”</w:t>
      </w:r>
    </w:p>
    <w:p>
      <w:pPr>
        <w:spacing w:after="0" w:line="178"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Amendment Three shall be deemed effective as of July 24, 2024. In addition, the Plan Award Agreements entered into between the Company and a Participant prior to July 24, 2024 shall be automatically amended to incorporate the terms of this Amendment Two. Notwithstanding the foregoing, for Named Executive Officers Stuart H. Lubow, Avinash Reddy, Michael Fegan, Conrad J. Gunther and Christopher Porzelt, the Plan Award Agreements shall not be retroactively amended and Amendment Two shall apply only to Awards granted to such Named Executive Officers after July 24, 2024.</w:t>
      </w:r>
    </w:p>
    <w:p>
      <w:pPr>
        <w:spacing w:after="0" w:line="183"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which are not defined herein shall have the same meaning as set forth in the Plan.</w:t>
      </w:r>
    </w:p>
    <w:p>
      <w:pPr>
        <w:spacing w:after="0" w:line="158" w:lineRule="exact"/>
        <w:rPr>
          <w:sz w:val="20"/>
          <w:szCs w:val="20"/>
          <w:color w:val="auto"/>
        </w:rPr>
      </w:pPr>
    </w:p>
    <w:p>
      <w:pPr>
        <w:jc w:val="both"/>
        <w:ind w:left="200" w:right="219" w:firstLine="702"/>
        <w:spacing w:after="0" w:line="244"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Three and the rights and obligations hereunder shall be governed by and construed in accordance with the laws of the State of New York.</w:t>
      </w:r>
    </w:p>
    <w:p>
      <w:pPr>
        <w:spacing w:after="0" w:line="17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Three may be executed in any number of counterparts, each of which shall for all purposes be deemed an original, and all of which together shall constitute but one and the same instrument.</w:t>
      </w:r>
    </w:p>
    <w:p>
      <w:pPr>
        <w:spacing w:after="0" w:line="173"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This Amendment shall be interpreted and administered consistent with Section 409A of the Code.</w:t>
      </w:r>
    </w:p>
    <w:p>
      <w:pPr>
        <w:spacing w:after="0" w:line="154"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Board has adopted this Amendment Three on the date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below.</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860" w:type="dxa"/>
            <w:vAlign w:val="bottom"/>
          </w:tcPr>
          <w:p>
            <w:pPr>
              <w:spacing w:after="0"/>
              <w:rPr>
                <w:sz w:val="21"/>
                <w:szCs w:val="21"/>
                <w:color w:val="auto"/>
              </w:rPr>
            </w:pPr>
          </w:p>
        </w:tc>
        <w:tc>
          <w:tcPr>
            <w:tcW w:w="5740" w:type="dxa"/>
            <w:vAlign w:val="bottom"/>
          </w:tcPr>
          <w:p>
            <w:pPr>
              <w:ind w:left="1680"/>
              <w:spacing w:after="0"/>
              <w:rPr>
                <w:sz w:val="20"/>
                <w:szCs w:val="20"/>
                <w:color w:val="auto"/>
              </w:rPr>
            </w:pPr>
            <w:r>
              <w:rPr>
                <w:rFonts w:ascii="Times New Roman" w:cs="Times New Roman" w:eastAsia="Times New Roman" w:hAnsi="Times New Roman"/>
                <w:sz w:val="22"/>
                <w:szCs w:val="22"/>
                <w:b w:val="1"/>
                <w:bCs w:val="1"/>
                <w:color w:val="auto"/>
              </w:rPr>
              <w:t>DIME  COMMUNITY  BANCSHARES,</w:t>
            </w:r>
          </w:p>
        </w:tc>
      </w:tr>
      <w:tr>
        <w:trPr>
          <w:trHeight w:val="286"/>
        </w:trPr>
        <w:tc>
          <w:tcPr>
            <w:tcW w:w="2860" w:type="dxa"/>
            <w:vAlign w:val="bottom"/>
          </w:tcPr>
          <w:p>
            <w:pPr>
              <w:spacing w:after="0"/>
              <w:rPr>
                <w:sz w:val="24"/>
                <w:szCs w:val="24"/>
                <w:color w:val="auto"/>
              </w:rPr>
            </w:pPr>
          </w:p>
        </w:tc>
        <w:tc>
          <w:tcPr>
            <w:tcW w:w="5740" w:type="dxa"/>
            <w:vAlign w:val="bottom"/>
          </w:tcPr>
          <w:p>
            <w:pPr>
              <w:ind w:left="1680"/>
              <w:spacing w:after="0"/>
              <w:rPr>
                <w:sz w:val="20"/>
                <w:szCs w:val="20"/>
                <w:color w:val="auto"/>
              </w:rPr>
            </w:pPr>
            <w:r>
              <w:rPr>
                <w:rFonts w:ascii="Times New Roman" w:cs="Times New Roman" w:eastAsia="Times New Roman" w:hAnsi="Times New Roman"/>
                <w:sz w:val="22"/>
                <w:szCs w:val="22"/>
                <w:b w:val="1"/>
                <w:bCs w:val="1"/>
                <w:color w:val="auto"/>
              </w:rPr>
              <w:t>INC.</w:t>
            </w:r>
          </w:p>
        </w:tc>
      </w:tr>
      <w:tr>
        <w:trPr>
          <w:trHeight w:val="1594"/>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July 24, 2024</w:t>
            </w:r>
          </w:p>
        </w:tc>
        <w:tc>
          <w:tcPr>
            <w:tcW w:w="574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By:</w:t>
            </w:r>
          </w:p>
        </w:tc>
      </w:t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574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Stuart Lubow, Chief Executive Officer</w:t>
            </w:r>
          </w:p>
        </w:tc>
      </w:tr>
      <w:tr>
        <w:trPr>
          <w:trHeight w:val="535"/>
        </w:trPr>
        <w:tc>
          <w:tcPr>
            <w:tcW w:w="28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-1122680</wp:posOffset>
            </wp:positionV>
            <wp:extent cx="1620520" cy="574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620520" cy="57467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9" w:name="page60"/>
    <w:bookmarkEnd w:id="59"/>
    <w:p>
      <w:pPr>
        <w:ind w:left="76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EXECUTIVE OFFICER PURSUANT TO RULE 13a-14(a)</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Stuart H. Lubow, certify that:</w:t>
      </w:r>
    </w:p>
    <w:p>
      <w:pPr>
        <w:spacing w:after="0" w:line="225" w:lineRule="exact"/>
        <w:rPr>
          <w:sz w:val="20"/>
          <w:szCs w:val="20"/>
          <w:color w:val="auto"/>
        </w:rPr>
      </w:pPr>
    </w:p>
    <w:p>
      <w:pPr>
        <w:ind w:left="540" w:hanging="331"/>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Dime Community Bancshares, Inc.;</w:t>
      </w:r>
    </w:p>
    <w:p>
      <w:pPr>
        <w:spacing w:after="0" w:line="184"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860" w:right="239" w:hanging="327"/>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540" w:right="239" w:hanging="331"/>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May 6, 2025</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Stuart H. Lubow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8632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Stuart H. Lubow</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0" w:name="page61"/>
    <w:bookmarkEnd w:id="60"/>
    <w:p>
      <w:pPr>
        <w:ind w:left="768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FINANCIAL OFFICER PURSUANT TO RULE 13a-14(a)</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Avinash Reddy, certify that:</w:t>
      </w:r>
    </w:p>
    <w:p>
      <w:pPr>
        <w:spacing w:after="0" w:line="185" w:lineRule="exact"/>
        <w:rPr>
          <w:sz w:val="20"/>
          <w:szCs w:val="20"/>
          <w:color w:val="auto"/>
        </w:rPr>
      </w:pPr>
    </w:p>
    <w:p>
      <w:pPr>
        <w:ind w:left="540" w:hanging="331"/>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Dime Community Bancshares, Inc.;</w:t>
      </w:r>
    </w:p>
    <w:p>
      <w:pPr>
        <w:spacing w:after="0" w:line="184"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860" w:right="239" w:hanging="327"/>
        <w:spacing w:after="0" w:line="266"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540" w:right="239" w:hanging="331"/>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May 6, 2025</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Avinash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Avinash Reddy</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Senior Executive Vice President and Chief Financial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1" w:name="page62"/>
    <w:bookmarkEnd w:id="61"/>
    <w:p>
      <w:pPr>
        <w:ind w:left="768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PURSUANT TO RULE 13a-14(b) 18 U.S.C. SECTION 1350,</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As adopted pursuant to</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SECTION 906 OF THE SARBANES-OXLEY ACT OF 2002</w:t>
      </w:r>
    </w:p>
    <w:p>
      <w:pPr>
        <w:spacing w:after="0" w:line="20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Dime Community Bancshares, Inc. (the “Company”) on Form 10-Q for the period ended March 31, 2025 as filed with the Securities and Exchange Commission, (the “Report”), we, Stuart H. Lubow, President and Chief Executive Officer of the Company and, Avinash Reddy, Senior Executive Vice President and Chief Financial Officer of the Company, hereby certify, pursuant to 18 U.S.C. Section 1350, as adopted pursuant to Section 906 of the Sarbanes-Oxley Act of 2002, that:</w:t>
      </w:r>
    </w:p>
    <w:p>
      <w:pPr>
        <w:spacing w:after="0" w:line="143" w:lineRule="exact"/>
        <w:rPr>
          <w:sz w:val="20"/>
          <w:szCs w:val="20"/>
          <w:color w:val="auto"/>
        </w:rPr>
      </w:pPr>
    </w:p>
    <w:p>
      <w:pPr>
        <w:ind w:left="860" w:right="239" w:hanging="327"/>
        <w:spacing w:after="0" w:line="282" w:lineRule="auto"/>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860" w:right="239" w:hanging="327"/>
        <w:spacing w:after="0" w:line="282" w:lineRule="auto"/>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H. Lubow</w:t>
            </w: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Stuart H. Lubow</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Avinash Reddy</w:t>
            </w: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Avinash Reddy</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tc>
      </w:tr>
      <w:tr>
        <w:trPr>
          <w:trHeight w:val="763"/>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4"/>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jpe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67" Type="http://schemas.openxmlformats.org/officeDocument/2006/relationships/hyperlink" Target="https://www.sec.gov/Archives/edgar/data/846617/000110465921010989/tm214955d1_ex3-1.htm" TargetMode="External"/><Relationship Id="rId68" Type="http://schemas.openxmlformats.org/officeDocument/2006/relationships/hyperlink" Target="https://www.sec.gov/Archives/edgar/data/846617/000094337424000436/ex3-2_8k102424.htm" TargetMode="External"/><Relationship Id="rId69" Type="http://schemas.openxmlformats.org/officeDocument/2006/relationships/hyperlink" Target="https://www.sec.gov/Archives/edgar/data/0000846617/000110465922056846/tm2214585d1_ex4-1.htm" TargetMode="External"/><Relationship Id="rId70" Type="http://schemas.openxmlformats.org/officeDocument/2006/relationships/hyperlink" Target="https://www.sec.gov/Archives/edgar/data/846617/000110465922056846/tm2214585d1_ex4-2.htm" TargetMode="External"/><Relationship Id="rId71" Type="http://schemas.openxmlformats.org/officeDocument/2006/relationships/hyperlink" Target="https://www.sec.gov/Archives/edgar/data/846617/000110465924076292/tm2417725d4_ex4-2.htm" TargetMode="External"/><Relationship Id="rId72" Type="http://schemas.openxmlformats.org/officeDocument/2006/relationships/hyperlink" Target="https://www.sec.gov/ix?doc=/Archives/edgar/data/846617/000114036124019078/ny20018390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2025-05-06T15:52:48Z</dcterms:created>
  <dcterms:modified xsi:type="dcterms:W3CDTF">2025-05-06T15:52:48Z</dcterms:modified>
</cp:coreProperties>
</file>