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MGS Partners, LLC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BASSWOOD CAPITAL MANAGEMENT,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BRIDGE BANCORP,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BDGE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120" w:space="6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645 MADISON AVENUE, 10TH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68,937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See Exhibit 99.1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MGS PARTNERS, LLC,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88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Nathan Lindenbaum,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Managing Member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Designated Filer: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Issuer &amp; Ticker Symbol: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 of Event Requiring Statement: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MGS Partners, LLC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Bridge Bancorp, Inc. [BDGE]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17, 2020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80" w:space="720"/>
            <w:col w:w="5460"/>
          </w:cols>
          <w:pgMar w:left="460" w:top="127" w:right="479" w:bottom="1440" w:gutter="0" w:footer="0" w:header="0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Explanation of Responses: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480" w:hanging="307"/>
        <w:spacing w:after="0" w:line="267" w:lineRule="auto"/>
        <w:tabs>
          <w:tab w:leader="none" w:pos="4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17, 2020, MGS Partners, LLC transferred 68,937 shares of common stock of Bridge Bancorp, Inc. through a voluntary transfer for no consideration. Such shares are now held directly by Etzioni Partners, LLC.</w:t>
      </w:r>
    </w:p>
    <w:sectPr>
      <w:pgSz w:w="11900" w:h="16838" w:orient="portrait"/>
      <w:cols w:equalWidth="0" w:num="1">
        <w:col w:w="10960"/>
      </w:cols>
      <w:pgMar w:left="460" w:top="127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645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2020-11-24T17:09:31Z</dcterms:created>
  <dcterms:modified xsi:type="dcterms:W3CDTF">2020-11-24T17:09:31Z</dcterms:modified>
</cp:coreProperties>
</file>