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0001085394</w:t>
            </w:r>
          </w:p>
        </w:tc>
        <w:tc>
          <w:tcPr>
            <w:tcW w:w="4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DIME COMMUNITY BANCSHARES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001-39211</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898 Veterans Memorial Highway</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Suite 560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4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Hauppauge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11788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6315371000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BASSWOOD OPPORTUNITY PARTNERS,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KEEFE, BRUYETTE &amp;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WOODS,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par value</w:t>
            </w: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787 7TH AVENUE, 4TH</w:t>
            </w:r>
          </w:p>
        </w:tc>
        <w:tc>
          <w:tcPr>
            <w:tcW w:w="12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10040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399692.00</w:t>
            </w:r>
          </w:p>
        </w:tc>
        <w:tc>
          <w:tcPr>
            <w:tcW w:w="0" w:type="dxa"/>
            <w:vAlign w:val="bottom"/>
          </w:tcPr>
          <w:p>
            <w:pPr>
              <w:spacing w:after="0"/>
              <w:rPr>
                <w:sz w:val="1"/>
                <w:szCs w:val="1"/>
                <w:color w:val="auto"/>
              </w:rPr>
            </w:pPr>
          </w:p>
        </w:tc>
      </w:tr>
      <w:tr>
        <w:trPr>
          <w:trHeight w:val="148"/>
        </w:trPr>
        <w:tc>
          <w:tcPr>
            <w:tcW w:w="23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$0.10 ("Common Stock")</w:t>
            </w:r>
          </w:p>
        </w:tc>
        <w:tc>
          <w:tcPr>
            <w:tcW w:w="2380" w:type="dxa"/>
            <w:vAlign w:val="bottom"/>
          </w:tcPr>
          <w:p>
            <w:pPr>
              <w:ind w:left="100"/>
              <w:spacing w:after="0" w:line="148" w:lineRule="exact"/>
              <w:rPr>
                <w:sz w:val="20"/>
                <w:szCs w:val="20"/>
                <w:color w:val="auto"/>
              </w:rPr>
            </w:pPr>
            <w:r>
              <w:rPr>
                <w:rFonts w:ascii="Times New Roman" w:cs="Times New Roman" w:eastAsia="Times New Roman" w:hAnsi="Times New Roman"/>
                <w:sz w:val="17"/>
                <w:szCs w:val="17"/>
                <w:color w:val="auto"/>
              </w:rPr>
              <w:t>FLOOR</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43886835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8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8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08/06/2014 (3)</w:t>
            </w:r>
          </w:p>
        </w:tc>
        <w:tc>
          <w:tcPr>
            <w:tcW w:w="1280" w:type="dxa"/>
            <w:vAlign w:val="bottom"/>
          </w:tcPr>
          <w:p>
            <w:pPr>
              <w:spacing w:after="0"/>
              <w:rPr>
                <w:sz w:val="21"/>
                <w:szCs w:val="21"/>
                <w:color w:val="auto"/>
              </w:rPr>
            </w:pPr>
          </w:p>
        </w:tc>
        <w:tc>
          <w:tcPr>
            <w:tcW w:w="162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8"/>
              </w:rPr>
              <w:t>and/or Transfers</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w w:val="99"/>
              </w:rPr>
              <w:t>491166</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08/06/2014 Cash (3)</w:t>
            </w:r>
          </w:p>
        </w:tc>
      </w:tr>
      <w:tr>
        <w:trPr>
          <w:trHeight w:val="282"/>
        </w:trPr>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from Affiliate</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260" w:hanging="1"/>
        <w:spacing w:after="0" w:line="238"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Market Value is based on the closing price of $39.81 of the Common Stock on June 11, 2026. (2) The Number of Shares Outstanding is based on the number of shares of Common Stock outstanding as of May 28, 2026, as reported by the issuer in its 8-K, which was filed with the Commission on June 1,2026. (3) BASSWOOD OPPORTUNITY PARTNERS, L.P obtained the shares of Common Stock listed in Table I through open market purchases and/or Transfers from Affiliates, from January 2014 through November 2025.</w:t>
      </w:r>
    </w:p>
    <w:p>
      <w:pPr>
        <w:spacing w:after="0" w:line="13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06/12/2026</w:t>
      </w:r>
    </w:p>
    <w:p>
      <w:pPr>
        <w:spacing w:after="0" w:line="159" w:lineRule="exact"/>
        <w:rPr>
          <w:sz w:val="20"/>
          <w:szCs w:val="20"/>
          <w:color w:val="auto"/>
        </w:rPr>
      </w:pPr>
    </w:p>
    <w:p>
      <w:pPr>
        <w:sectPr>
          <w:pgSz w:w="11900" w:h="16838" w:orient="portrait"/>
          <w:cols w:equalWidth="0" w:num="2">
            <w:col w:w="820" w:space="119"/>
            <w:col w:w="10301"/>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jc w:val="both"/>
        <w:ind w:left="940" w:right="4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By: Basswood Capital Management L.L.C, its investment manager; By: /s/ Marc Samit, Principal and Chief Operating Officer</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2026-06-12T20:32:13Z</dcterms:created>
  <dcterms:modified xsi:type="dcterms:W3CDTF">2026-06-12T20:32:13Z</dcterms:modified>
</cp:coreProperties>
</file>