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1.xml.htm"/>
      <w:bookmarkStart w:id="1" w:name="ksdoc1"/>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BASSWOOD CAPITAL MANAGEMENT,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645 MADISON AVENUE, 10TH FLOOR</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10022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BRIDGE BANCORP INC</w:t>
              </w:r>
            </w:hyperlink>
            <w:r>
              <w:rPr/>
              <w:t xml:space="preserve"> [ </w:t>
            </w:r>
            <w:r>
              <w:rPr>
                <w:rFonts w:ascii="Times;serif" w:hAnsi="Times;serif"/>
                <w:color w:val="0000FF"/>
                <w:sz w:val="24"/>
                <w:highlight w:val="white"/>
              </w:rPr>
              <w:t>BDGE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Director-by-Deputization</w:t>
                  </w:r>
                  <w:r>
                    <w:rPr/>
                    <w:t xml:space="preserve"> </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05/01/2019</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228"/>
        <w:gridCol w:w="901"/>
        <w:gridCol w:w="773"/>
        <w:gridCol w:w="598"/>
        <w:gridCol w:w="338"/>
        <w:gridCol w:w="903"/>
        <w:gridCol w:w="426"/>
        <w:gridCol w:w="647"/>
        <w:gridCol w:w="1334"/>
        <w:gridCol w:w="962"/>
        <w:gridCol w:w="109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76"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0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4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33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6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95"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228"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$0.01 per share ("Common Stock")</w:t>
            </w:r>
          </w:p>
        </w:tc>
        <w:tc>
          <w:tcPr>
            <w:tcW w:w="9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05/01/2019</w:t>
            </w:r>
          </w:p>
        </w:tc>
        <w:tc>
          <w:tcPr>
            <w:tcW w:w="77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(2)</w:t>
            </w:r>
            <w:r>
              <w:rPr/>
              <w:t xml:space="preserve"> </w:t>
            </w:r>
          </w:p>
        </w:tc>
        <w:tc>
          <w:tcPr>
            <w:tcW w:w="33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37,946</w:t>
            </w:r>
          </w:p>
        </w:tc>
        <w:tc>
          <w:tcPr>
            <w:tcW w:w="42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64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0.00</w:t>
            </w:r>
            <w:r>
              <w:rPr/>
              <w:t xml:space="preserve"> </w:t>
            </w:r>
          </w:p>
        </w:tc>
        <w:tc>
          <w:tcPr>
            <w:tcW w:w="133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682,342</w:t>
            </w:r>
          </w:p>
        </w:tc>
        <w:tc>
          <w:tcPr>
            <w:tcW w:w="96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9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(1)(2)(3)</w:t>
            </w:r>
            <w:r>
              <w:rPr/>
              <w:t xml:space="preserve"> </w:t>
            </w:r>
          </w:p>
        </w:tc>
      </w:tr>
      <w:tr>
        <w:trPr/>
        <w:tc>
          <w:tcPr>
            <w:tcW w:w="2228"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05/03/2019</w:t>
            </w:r>
          </w:p>
        </w:tc>
        <w:tc>
          <w:tcPr>
            <w:tcW w:w="77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(4)</w:t>
            </w:r>
            <w:r>
              <w:rPr/>
              <w:t xml:space="preserve"> </w:t>
            </w:r>
          </w:p>
        </w:tc>
        <w:tc>
          <w:tcPr>
            <w:tcW w:w="33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52,741</w:t>
            </w:r>
          </w:p>
        </w:tc>
        <w:tc>
          <w:tcPr>
            <w:tcW w:w="42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64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0.00</w:t>
            </w:r>
            <w:r>
              <w:rPr/>
              <w:t xml:space="preserve"> </w:t>
            </w:r>
          </w:p>
        </w:tc>
        <w:tc>
          <w:tcPr>
            <w:tcW w:w="133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21,597</w:t>
            </w:r>
          </w:p>
        </w:tc>
        <w:tc>
          <w:tcPr>
            <w:tcW w:w="96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9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(1)(4)(5)</w:t>
            </w:r>
            <w:r>
              <w:rPr/>
              <w:t xml:space="preserve"> </w:t>
            </w:r>
          </w:p>
        </w:tc>
      </w:tr>
      <w:tr>
        <w:trPr/>
        <w:tc>
          <w:tcPr>
            <w:tcW w:w="2228"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3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2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33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30,136</w:t>
            </w:r>
          </w:p>
        </w:tc>
        <w:tc>
          <w:tcPr>
            <w:tcW w:w="96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9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(1)(6)</w:t>
            </w:r>
            <w:r>
              <w:rPr/>
              <w:t xml:space="preserve"> </w:t>
            </w:r>
          </w:p>
        </w:tc>
      </w:tr>
      <w:tr>
        <w:trPr/>
        <w:tc>
          <w:tcPr>
            <w:tcW w:w="2228"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3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2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33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115,726</w:t>
            </w:r>
          </w:p>
        </w:tc>
        <w:tc>
          <w:tcPr>
            <w:tcW w:w="96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9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(1)(7)</w:t>
            </w:r>
            <w:r>
              <w:rPr/>
              <w:t xml:space="preserve"> </w:t>
            </w:r>
          </w:p>
        </w:tc>
      </w:tr>
      <w:tr>
        <w:trPr/>
        <w:tc>
          <w:tcPr>
            <w:tcW w:w="2228"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3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2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33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314,229</w:t>
            </w:r>
          </w:p>
        </w:tc>
        <w:tc>
          <w:tcPr>
            <w:tcW w:w="96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9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(1)(8)</w:t>
            </w:r>
            <w:r>
              <w:rPr/>
              <w:t xml:space="preserve"> </w:t>
            </w:r>
          </w:p>
        </w:tc>
      </w:tr>
      <w:tr>
        <w:trPr/>
        <w:tc>
          <w:tcPr>
            <w:tcW w:w="2228"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3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2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33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543,670</w:t>
            </w:r>
          </w:p>
        </w:tc>
        <w:tc>
          <w:tcPr>
            <w:tcW w:w="96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9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(1)(9)</w:t>
            </w:r>
            <w:r>
              <w:rPr/>
              <w:t xml:space="preserve"> </w:t>
            </w:r>
          </w:p>
        </w:tc>
      </w:tr>
      <w:tr>
        <w:trPr/>
        <w:tc>
          <w:tcPr>
            <w:tcW w:w="2228"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3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2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33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33,941</w:t>
            </w:r>
          </w:p>
        </w:tc>
        <w:tc>
          <w:tcPr>
            <w:tcW w:w="96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9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(1)(10)</w:t>
            </w:r>
            <w:r>
              <w:rPr/>
              <w:t xml:space="preserve"> </w:t>
            </w:r>
          </w:p>
        </w:tc>
      </w:tr>
      <w:tr>
        <w:trPr/>
        <w:tc>
          <w:tcPr>
            <w:tcW w:w="2228"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3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2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33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138,282</w:t>
            </w:r>
          </w:p>
        </w:tc>
        <w:tc>
          <w:tcPr>
            <w:tcW w:w="96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D</w:t>
            </w:r>
            <w:r>
              <w:rPr>
                <w:rFonts w:ascii="Times;serif" w:hAnsi="Times;serif"/>
                <w:color w:val="008000"/>
                <w:position w:val="7"/>
                <w:sz w:val="16"/>
                <w:sz w:val="20"/>
                <w:highlight w:val="white"/>
              </w:rPr>
              <w:t>(1)(11)</w:t>
            </w:r>
            <w:r>
              <w:rPr/>
              <w:t xml:space="preserve"> </w:t>
            </w:r>
          </w:p>
        </w:tc>
        <w:tc>
          <w:tcPr>
            <w:tcW w:w="109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28"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3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2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4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33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161,941.75</w:t>
            </w:r>
          </w:p>
        </w:tc>
        <w:tc>
          <w:tcPr>
            <w:tcW w:w="96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D</w:t>
            </w:r>
            <w:r>
              <w:rPr>
                <w:rFonts w:ascii="Times;serif" w:hAnsi="Times;serif"/>
                <w:color w:val="008000"/>
                <w:position w:val="7"/>
                <w:sz w:val="16"/>
                <w:sz w:val="20"/>
                <w:highlight w:val="white"/>
              </w:rPr>
              <w:t>(1)(12)</w:t>
            </w:r>
            <w:r>
              <w:rPr/>
              <w:t xml:space="preserve"> </w:t>
            </w:r>
          </w:p>
        </w:tc>
        <w:tc>
          <w:tcPr>
            <w:tcW w:w="109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2000" w:type="pct"/>
        <w:jc w:val="left"/>
        <w:tblInd w:w="0" w:type="dxa"/>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5">
                    <w:r>
                      <w:rPr>
                        <w:rStyle w:val="InternetLink"/>
                      </w:rPr>
                      <w:t>BASSWOOD CAPITAL MANAGEMENT,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645 MADISON AVENUE, 10TH FLOOR</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10022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6">
                    <w:r>
                      <w:rPr>
                        <w:rStyle w:val="InternetLink"/>
                      </w:rPr>
                      <w:t>LINDENBAUM MATTHEW A</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BASSWOOD CAPITAL MANAGEMENT L.L.C.</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645 MADISON AVENUE 10TH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10022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7">
                    <w:r>
                      <w:rPr>
                        <w:rStyle w:val="InternetLink"/>
                      </w:rPr>
                      <w:t>LINDENBAUM BENNETT D</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BASSWOOD CAPITAL MANAGEMENT, L.L.C.</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645 MADISON AVENUE, 10TH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10022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8">
                    <w:r>
                      <w:rPr>
                        <w:rStyle w:val="InternetLink"/>
                      </w:rPr>
                      <w:t>BASSWOOD FINANCIAL FUND, INC.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BASSWOOD CAPITAL MANAGEMENT L.L.C.</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645 MADISON AVENUE, 10TH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10022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See Exhibit 99.1</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See Exhibit 99.1</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See Exhibit 99.1</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See Exhibit 99.1</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See Exhibit 99.1</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6. See Exhibit 99.1</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7. See Exhibit 99.1</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8. See Exhibit 99.1</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9. See Exhibit 99.1</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10. See Exhibit 99.1</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11. See Exhibit 99.1</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12. See Exhibit 99.1</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Exhibit List: ------------- Exhibit 99.1 - Explanation of Responses Exhibit 99.2 - Joint Filer Information Exhibit 99.3 - Joint Filers' Signatures</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BASSWOOD CAPITAL MANAGEMENT, L.L.C., /s/ Matthew Lindenbaum</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05/03/2019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Normal"/>
        <w:spacing w:before="0" w:after="0"/>
        <w:rPr>
          <w:sz w:val="4"/>
          <w:szCs w:val="4"/>
        </w:rPr>
      </w:pPr>
      <w:r>
        <w:br w:type="page"/>
      </w:r>
      <w:r>
        <w:rPr>
          <w:sz w:val="4"/>
          <w:szCs w:val="4"/>
        </w:rPr>
      </w:r>
      <w:bookmarkStart w:id="2" w:name="z097ef92f6a25415d850a1ad8c574e368"/>
      <w:bookmarkStart w:id="3" w:name="b29360056a.htm"/>
      <w:bookmarkStart w:id="4" w:name="ksb29360056a"/>
      <w:bookmarkStart w:id="5" w:name="z097ef92f6a25415d850a1ad8c574e368"/>
      <w:bookmarkStart w:id="6" w:name="b29360056a.htm"/>
      <w:bookmarkStart w:id="7" w:name="ksb29360056a"/>
      <w:bookmarkEnd w:id="5"/>
      <w:bookmarkEnd w:id="6"/>
      <w:bookmarkEnd w:id="7"/>
    </w:p>
    <w:tbl>
      <w:tblPr>
        <w:tblW w:w="5260" w:type="dxa"/>
        <w:jc w:val="left"/>
        <w:tblInd w:w="0" w:type="dxa"/>
        <w:tblCellMar>
          <w:top w:w="0" w:type="dxa"/>
          <w:left w:w="0" w:type="dxa"/>
          <w:bottom w:w="0" w:type="dxa"/>
          <w:right w:w="0" w:type="dxa"/>
        </w:tblCellMar>
      </w:tblPr>
      <w:tblGrid>
        <w:gridCol w:w="2480"/>
        <w:gridCol w:w="2780"/>
      </w:tblGrid>
      <w:tr>
        <w:trPr/>
        <w:tc>
          <w:tcPr>
            <w:tcW w:w="2480" w:type="dxa"/>
            <w:tcBorders/>
            <w:shd w:fill="auto" w:val="clear"/>
            <w:vAlign w:val="center"/>
          </w:tcPr>
          <w:p>
            <w:pPr>
              <w:pStyle w:val="TableContents"/>
              <w:spacing w:before="0" w:after="283"/>
              <w:rPr>
                <w:sz w:val="17"/>
              </w:rPr>
            </w:pPr>
            <w:r>
              <w:rPr>
                <w:sz w:val="17"/>
              </w:rPr>
              <w:t>Designated Filer:</w:t>
            </w:r>
          </w:p>
        </w:tc>
        <w:tc>
          <w:tcPr>
            <w:tcW w:w="2780" w:type="dxa"/>
            <w:tcBorders/>
            <w:shd w:fill="auto" w:val="clear"/>
            <w:vAlign w:val="center"/>
          </w:tcPr>
          <w:p>
            <w:pPr>
              <w:pStyle w:val="TableContents"/>
              <w:spacing w:before="0" w:after="283"/>
              <w:rPr/>
            </w:pPr>
            <w:r>
              <w:rPr>
                <w:rFonts w:ascii="Times New Roman;Times;serif" w:hAnsi="Times New Roman;Times;serif"/>
                <w:sz w:val="17"/>
              </w:rPr>
              <w:t>Basswood Capital Management, L.L.C.</w:t>
            </w:r>
            <w:r>
              <w:rPr/>
              <w:t xml:space="preserve"> </w:t>
            </w:r>
          </w:p>
        </w:tc>
      </w:tr>
      <w:tr>
        <w:trPr/>
        <w:tc>
          <w:tcPr>
            <w:tcW w:w="2480" w:type="dxa"/>
            <w:tcBorders/>
            <w:shd w:fill="auto" w:val="clear"/>
            <w:vAlign w:val="center"/>
          </w:tcPr>
          <w:p>
            <w:pPr>
              <w:pStyle w:val="TableContents"/>
              <w:spacing w:before="0" w:after="283"/>
              <w:rPr/>
            </w:pPr>
            <w:r>
              <w:rPr>
                <w:rFonts w:ascii="Times New Roman;Times;serif" w:hAnsi="Times New Roman;Times;serif"/>
                <w:sz w:val="17"/>
              </w:rPr>
              <w:t>Issuer &amp; Ticker Symbol:</w:t>
            </w:r>
            <w:r>
              <w:rPr/>
              <w:t xml:space="preserve"> </w:t>
            </w:r>
          </w:p>
        </w:tc>
        <w:tc>
          <w:tcPr>
            <w:tcW w:w="2780" w:type="dxa"/>
            <w:tcBorders/>
            <w:shd w:fill="auto" w:val="clear"/>
            <w:vAlign w:val="center"/>
          </w:tcPr>
          <w:p>
            <w:pPr>
              <w:pStyle w:val="TableContents"/>
              <w:spacing w:before="0" w:after="283"/>
              <w:rPr/>
            </w:pPr>
            <w:r>
              <w:rPr>
                <w:rFonts w:ascii="Times New Roman;Times;serif" w:hAnsi="Times New Roman;Times;serif"/>
                <w:sz w:val="17"/>
              </w:rPr>
              <w:t>Bridge Bancorp, Inc. [BDGE]</w:t>
            </w:r>
            <w:r>
              <w:rPr/>
              <w:t xml:space="preserve"> </w:t>
            </w:r>
          </w:p>
        </w:tc>
      </w:tr>
      <w:tr>
        <w:trPr/>
        <w:tc>
          <w:tcPr>
            <w:tcW w:w="2480" w:type="dxa"/>
            <w:tcBorders/>
            <w:shd w:fill="auto" w:val="clear"/>
            <w:vAlign w:val="center"/>
          </w:tcPr>
          <w:p>
            <w:pPr>
              <w:pStyle w:val="TableContents"/>
              <w:spacing w:lineRule="atLeast" w:line="228" w:before="0" w:after="0"/>
              <w:jc w:val="left"/>
              <w:rPr>
                <w:rFonts w:ascii="Times New Roman;Times;serif" w:hAnsi="Times New Roman;Times;serif"/>
                <w:sz w:val="17"/>
              </w:rPr>
            </w:pPr>
            <w:r>
              <w:rPr>
                <w:rFonts w:ascii="Times New Roman;Times;serif" w:hAnsi="Times New Roman;Times;serif"/>
                <w:sz w:val="17"/>
              </w:rPr>
              <w:t>Date of Event Requiring Statement:</w:t>
            </w:r>
          </w:p>
        </w:tc>
        <w:tc>
          <w:tcPr>
            <w:tcW w:w="2780" w:type="dxa"/>
            <w:tcBorders/>
            <w:shd w:fill="auto" w:val="clear"/>
            <w:vAlign w:val="center"/>
          </w:tcPr>
          <w:p>
            <w:pPr>
              <w:pStyle w:val="TableContents"/>
              <w:spacing w:before="0" w:after="283"/>
              <w:rPr>
                <w:sz w:val="17"/>
              </w:rPr>
            </w:pPr>
            <w:r>
              <w:rPr>
                <w:sz w:val="17"/>
              </w:rPr>
              <w:t>May 1, 2019</w:t>
            </w:r>
          </w:p>
        </w:tc>
      </w:tr>
    </w:tbl>
    <w:p>
      <w:pPr>
        <w:pStyle w:val="TextBody"/>
        <w:spacing w:before="0" w:after="0"/>
        <w:rPr/>
      </w:pPr>
      <w:r>
        <w:rPr/>
      </w:r>
    </w:p>
    <w:p>
      <w:pPr>
        <w:pStyle w:val="TextBody"/>
        <w:spacing w:before="0" w:after="240"/>
        <w:jc w:val="both"/>
        <w:rPr>
          <w:rFonts w:ascii="Times New Roman;Times;serif" w:hAnsi="Times New Roman;Times;serif"/>
          <w:sz w:val="17"/>
        </w:rPr>
      </w:pPr>
      <w:r>
        <w:rPr>
          <w:rFonts w:ascii="Times New Roman;Times;serif" w:hAnsi="Times New Roman;Times;serif"/>
          <w:sz w:val="17"/>
        </w:rPr>
        <w:t>Explanation of Responses:</w:t>
      </w:r>
    </w:p>
    <w:p>
      <w:pPr>
        <w:pStyle w:val="Normal"/>
        <w:spacing w:before="0" w:after="0"/>
        <w:rPr>
          <w:sz w:val="4"/>
          <w:szCs w:val="4"/>
        </w:rPr>
      </w:pPr>
      <w:r>
        <w:rPr>
          <w:sz w:val="4"/>
          <w:szCs w:val="4"/>
        </w:rPr>
      </w:r>
      <w:bookmarkStart w:id="8" w:name="z2df00d4a71aa4b4da8f96e82cefc3a33"/>
      <w:bookmarkStart w:id="9" w:name="z2df00d4a71aa4b4da8f96e82cefc3a33"/>
      <w:bookmarkEnd w:id="9"/>
    </w:p>
    <w:tbl>
      <w:tblPr>
        <w:tblW w:w="10205" w:type="dxa"/>
        <w:jc w:val="left"/>
        <w:tblInd w:w="0" w:type="dxa"/>
        <w:tblCellMar>
          <w:top w:w="0" w:type="dxa"/>
          <w:left w:w="0" w:type="dxa"/>
          <w:bottom w:w="0" w:type="dxa"/>
          <w:right w:w="0" w:type="dxa"/>
        </w:tblCellMar>
      </w:tblPr>
      <w:tblGrid>
        <w:gridCol w:w="127"/>
        <w:gridCol w:w="10078"/>
      </w:tblGrid>
      <w:tr>
        <w:trPr/>
        <w:tc>
          <w:tcPr>
            <w:tcW w:w="127" w:type="dxa"/>
            <w:tcBorders/>
            <w:shd w:fill="auto" w:val="clear"/>
            <w:vAlign w:val="center"/>
          </w:tcPr>
          <w:p>
            <w:pPr>
              <w:pStyle w:val="TableContents"/>
              <w:spacing w:before="120" w:after="240"/>
              <w:ind w:left="187" w:right="0" w:hanging="0"/>
              <w:jc w:val="left"/>
              <w:rPr>
                <w:rFonts w:ascii="Times New Roman;Times;serif" w:hAnsi="Times New Roman;Times;serif"/>
                <w:sz w:val="17"/>
              </w:rPr>
            </w:pPr>
            <w:r>
              <w:rPr>
                <w:rFonts w:ascii="Times New Roman;Times;serif" w:hAnsi="Times New Roman;Times;serif"/>
                <w:sz w:val="17"/>
              </w:rPr>
              <w:t>1.</w:t>
            </w:r>
          </w:p>
        </w:tc>
        <w:tc>
          <w:tcPr>
            <w:tcW w:w="10078" w:type="dxa"/>
            <w:tcBorders/>
            <w:shd w:fill="auto" w:val="clear"/>
            <w:vAlign w:val="center"/>
          </w:tcPr>
          <w:p>
            <w:pPr>
              <w:pStyle w:val="TableContents"/>
              <w:spacing w:before="120" w:after="240"/>
              <w:jc w:val="both"/>
              <w:rPr>
                <w:rFonts w:ascii="Times New Roman;Times;serif" w:hAnsi="Times New Roman;Times;serif"/>
                <w:sz w:val="17"/>
              </w:rPr>
            </w:pPr>
            <w:r>
              <w:rPr>
                <w:rFonts w:ascii="Times New Roman;Times;serif" w:hAnsi="Times New Roman;Times;serif"/>
                <w:sz w:val="17"/>
              </w:rPr>
              <w:t>This Form 4 is filed on behalf of Matthew Lindenbaum, Bennett Lindenbaum, Basswood Capital Management, L.L.C. (“BCM”), and Basswood Financial Fund, Inc. (“BFF, Inc.”) (collectively, the “Reporting Persons”). BCM is the investment manager or adviser to BFF, Inc., Basswood Opportunity Partners, LP (“BOP”), Basswood Enhanced Long Short Fund, L.P. (“BELS”), Basswood Financial Fund, LP (“BFF”), Basswood Financial Long Only Fund, LP (“BFLOF”) and Basswood Opportunity Fund, Inc. (“BOF”) (collectively, the “Funds”) and certain separate managed accounts managed by BCM (the “Managed Accounts”) and may be deemed to have a pecuniary interest in the Common Stock directly held by the Funds and held in the Managed Accounts. Basswood Partners, L.L.C. is the general partner of BFF, BOP and BFLOF, and may be deemed to have a pecuniary interest in the Common Stock held directly by BFF, BOP and BFLOF. Basswood Enhanced Long Short GP, LLC is the general partner of BELS and may be deemed to have a pecuniary interest in the Common Stock held directly by BELS. Matthew Lindenbaum and Bennett Lindenbaum are the managing members of BCM and may be deemed to have a pecuniary interest in the Common Stock directly held by the Funds and held in the Managed Accounts, and also directly hold shares of Common Stock.  In accordance with Instruction 4(b)(iv), the entire amount of Common Stock held by the Funds or Managed Accounts are reported herein. Each Reporting Person disclaims beneficial ownership of all shares of Common Stock that are beneficially owned by the Funds or Managed Accounts, except to the extent of any direct or indirect pecuniary interest therein. BCM and Basswood Partners, L.L.C. also disclaim beneficial ownership of the shares held directly by Matthew Lindenbaum and Bennett Lindenbaum. Matthew Lindenbaum and Bennett Lindenbaum each disclaim beneficial ownership of the shares held directly by the other.</w:t>
            </w:r>
          </w:p>
        </w:tc>
      </w:tr>
    </w:tbl>
    <w:p>
      <w:pPr>
        <w:pStyle w:val="TextBody"/>
        <w:spacing w:before="120" w:after="240"/>
        <w:ind w:left="547" w:right="0" w:hanging="0"/>
        <w:jc w:val="both"/>
        <w:rPr>
          <w:rFonts w:ascii="Times New Roman;Times;serif" w:hAnsi="Times New Roman;Times;serif"/>
          <w:sz w:val="17"/>
        </w:rPr>
      </w:pPr>
      <w:r>
        <w:rPr>
          <w:rFonts w:ascii="Times New Roman;Times;serif" w:hAnsi="Times New Roman;Times;serif"/>
          <w:sz w:val="17"/>
        </w:rPr>
        <w:t>Matthew Lindenbaum, a managing member of BCM, serves on the board of directors of the Issuer as a representative of the Reporting Persons.  As a result, each of the Reporting Persons is a “director-by-deputization” solely for purposes of Section 16 of the Exchange Act.  By reason of the provisions of Rule 16a-1 of the Securities Exchange Act of 1934, as amended (the “Exchange Act”), each of the Reporting Persons may be deemed to be a beneficial owner of the shares of Common Stock issued to Matthew Lindenbaum. </w:t>
      </w:r>
    </w:p>
    <w:p>
      <w:pPr>
        <w:pStyle w:val="Normal"/>
        <w:spacing w:before="0" w:after="0"/>
        <w:rPr>
          <w:sz w:val="4"/>
          <w:szCs w:val="4"/>
        </w:rPr>
      </w:pPr>
      <w:r>
        <w:rPr>
          <w:sz w:val="4"/>
          <w:szCs w:val="4"/>
        </w:rPr>
      </w:r>
      <w:bookmarkStart w:id="10" w:name="z46faec78bc2d43738ba427eb04a0f642"/>
      <w:bookmarkStart w:id="11" w:name="z46faec78bc2d43738ba427eb04a0f642"/>
      <w:bookmarkEnd w:id="11"/>
    </w:p>
    <w:tbl>
      <w:tblPr>
        <w:tblW w:w="10205" w:type="dxa"/>
        <w:jc w:val="left"/>
        <w:tblInd w:w="0" w:type="dxa"/>
        <w:tblCellMar>
          <w:top w:w="0" w:type="dxa"/>
          <w:left w:w="0" w:type="dxa"/>
          <w:bottom w:w="0" w:type="dxa"/>
          <w:right w:w="0" w:type="dxa"/>
        </w:tblCellMar>
      </w:tblPr>
      <w:tblGrid>
        <w:gridCol w:w="149"/>
        <w:gridCol w:w="10056"/>
      </w:tblGrid>
      <w:tr>
        <w:trPr/>
        <w:tc>
          <w:tcPr>
            <w:tcW w:w="149" w:type="dxa"/>
            <w:tcBorders/>
            <w:shd w:fill="auto" w:val="clear"/>
            <w:vAlign w:val="center"/>
          </w:tcPr>
          <w:p>
            <w:pPr>
              <w:pStyle w:val="TableContents"/>
              <w:spacing w:before="0" w:after="240"/>
              <w:ind w:left="187" w:right="0" w:hanging="0"/>
              <w:jc w:val="left"/>
              <w:rPr>
                <w:rFonts w:ascii="Times New Roman;Times;serif" w:hAnsi="Times New Roman;Times;serif"/>
                <w:sz w:val="17"/>
              </w:rPr>
            </w:pPr>
            <w:r>
              <w:rPr>
                <w:rFonts w:ascii="Times New Roman;Times;serif" w:hAnsi="Times New Roman;Times;serif"/>
                <w:sz w:val="17"/>
              </w:rPr>
              <w:t>2.</w:t>
            </w:r>
          </w:p>
        </w:tc>
        <w:tc>
          <w:tcPr>
            <w:tcW w:w="10056" w:type="dxa"/>
            <w:tcBorders/>
            <w:shd w:fill="auto" w:val="clear"/>
            <w:vAlign w:val="center"/>
          </w:tcPr>
          <w:p>
            <w:pPr>
              <w:pStyle w:val="TableContents"/>
              <w:spacing w:before="0" w:after="240"/>
              <w:jc w:val="both"/>
              <w:rPr>
                <w:rFonts w:ascii="Times New Roman;Times;serif" w:hAnsi="Times New Roman;Times;serif"/>
                <w:sz w:val="17"/>
              </w:rPr>
            </w:pPr>
            <w:r>
              <w:rPr>
                <w:rFonts w:ascii="Times New Roman;Times;serif" w:hAnsi="Times New Roman;Times;serif"/>
                <w:sz w:val="17"/>
              </w:rPr>
              <w:t>Common Stock was  held in a separate Managed Account managed by BCM pursuant to an investment management agreement that was terminated on May 1, 2019. Accordingly, the Reporting Persons no longer beneficially own such Common Stock.</w:t>
            </w:r>
          </w:p>
        </w:tc>
      </w:tr>
    </w:tbl>
    <w:p>
      <w:pPr>
        <w:pStyle w:val="Normal"/>
        <w:spacing w:before="0" w:after="0"/>
        <w:rPr>
          <w:sz w:val="4"/>
          <w:szCs w:val="4"/>
        </w:rPr>
      </w:pPr>
      <w:r>
        <w:rPr>
          <w:sz w:val="4"/>
          <w:szCs w:val="4"/>
        </w:rPr>
      </w:r>
      <w:bookmarkStart w:id="12" w:name="za12fad30781944edbb3d75eaae6700be"/>
      <w:bookmarkStart w:id="13" w:name="za12fad30781944edbb3d75eaae6700be"/>
      <w:bookmarkEnd w:id="13"/>
    </w:p>
    <w:tbl>
      <w:tblPr>
        <w:tblW w:w="6265" w:type="dxa"/>
        <w:jc w:val="left"/>
        <w:tblInd w:w="0" w:type="dxa"/>
        <w:tblCellMar>
          <w:top w:w="0" w:type="dxa"/>
          <w:left w:w="0" w:type="dxa"/>
          <w:bottom w:w="0" w:type="dxa"/>
          <w:right w:w="0" w:type="dxa"/>
        </w:tblCellMar>
      </w:tblPr>
      <w:tblGrid>
        <w:gridCol w:w="170"/>
        <w:gridCol w:w="6095"/>
      </w:tblGrid>
      <w:tr>
        <w:trPr/>
        <w:tc>
          <w:tcPr>
            <w:tcW w:w="170" w:type="dxa"/>
            <w:tcBorders/>
            <w:shd w:fill="auto" w:val="clear"/>
            <w:vAlign w:val="center"/>
          </w:tcPr>
          <w:p>
            <w:pPr>
              <w:pStyle w:val="TableContents"/>
              <w:spacing w:before="0" w:after="240"/>
              <w:ind w:left="187" w:right="0" w:hanging="0"/>
              <w:jc w:val="left"/>
              <w:rPr>
                <w:rFonts w:ascii="Times New Roman;Times;serif" w:hAnsi="Times New Roman;Times;serif"/>
                <w:sz w:val="17"/>
              </w:rPr>
            </w:pPr>
            <w:r>
              <w:rPr>
                <w:rFonts w:ascii="Times New Roman;Times;serif" w:hAnsi="Times New Roman;Times;serif"/>
                <w:sz w:val="17"/>
              </w:rPr>
              <w:t>3.</w:t>
            </w:r>
          </w:p>
        </w:tc>
        <w:tc>
          <w:tcPr>
            <w:tcW w:w="6095" w:type="dxa"/>
            <w:tcBorders/>
            <w:shd w:fill="auto" w:val="clear"/>
            <w:vAlign w:val="center"/>
          </w:tcPr>
          <w:p>
            <w:pPr>
              <w:pStyle w:val="TableContents"/>
              <w:spacing w:before="0" w:after="240"/>
              <w:jc w:val="both"/>
              <w:rPr>
                <w:rFonts w:ascii="Times New Roman;Times;serif" w:hAnsi="Times New Roman;Times;serif"/>
                <w:sz w:val="17"/>
              </w:rPr>
            </w:pPr>
            <w:r>
              <w:rPr>
                <w:rFonts w:ascii="Times New Roman;Times;serif" w:hAnsi="Times New Roman;Times;serif"/>
                <w:sz w:val="17"/>
              </w:rPr>
              <w:t>Common Stock held directly by certain separate Managed Accounts managed by BCM.</w:t>
            </w:r>
          </w:p>
        </w:tc>
      </w:tr>
    </w:tbl>
    <w:p>
      <w:pPr>
        <w:pStyle w:val="Normal"/>
        <w:spacing w:before="0" w:after="0"/>
        <w:rPr>
          <w:sz w:val="4"/>
          <w:szCs w:val="4"/>
        </w:rPr>
      </w:pPr>
      <w:r>
        <w:rPr>
          <w:sz w:val="4"/>
          <w:szCs w:val="4"/>
        </w:rPr>
      </w:r>
      <w:bookmarkStart w:id="14" w:name="z17da93257c444288b75db4fa567e4616"/>
      <w:bookmarkStart w:id="15" w:name="z17da93257c444288b75db4fa567e4616"/>
      <w:bookmarkEnd w:id="15"/>
    </w:p>
    <w:tbl>
      <w:tblPr>
        <w:tblW w:w="3805" w:type="dxa"/>
        <w:jc w:val="left"/>
        <w:tblInd w:w="0" w:type="dxa"/>
        <w:tblCellMar>
          <w:top w:w="0" w:type="dxa"/>
          <w:left w:w="0" w:type="dxa"/>
          <w:bottom w:w="0" w:type="dxa"/>
          <w:right w:w="0" w:type="dxa"/>
        </w:tblCellMar>
      </w:tblPr>
      <w:tblGrid>
        <w:gridCol w:w="170"/>
        <w:gridCol w:w="3635"/>
      </w:tblGrid>
      <w:tr>
        <w:trPr/>
        <w:tc>
          <w:tcPr>
            <w:tcW w:w="170" w:type="dxa"/>
            <w:tcBorders/>
            <w:shd w:fill="auto" w:val="clear"/>
            <w:vAlign w:val="center"/>
          </w:tcPr>
          <w:p>
            <w:pPr>
              <w:pStyle w:val="TableContents"/>
              <w:spacing w:before="0" w:after="240"/>
              <w:ind w:left="187" w:right="0" w:hanging="0"/>
              <w:jc w:val="left"/>
              <w:rPr>
                <w:rFonts w:ascii="Times New Roman;Times;serif" w:hAnsi="Times New Roman;Times;serif"/>
                <w:sz w:val="17"/>
              </w:rPr>
            </w:pPr>
            <w:r>
              <w:rPr>
                <w:rFonts w:ascii="Times New Roman;Times;serif" w:hAnsi="Times New Roman;Times;serif"/>
                <w:sz w:val="17"/>
              </w:rPr>
              <w:t>4.</w:t>
            </w:r>
          </w:p>
        </w:tc>
        <w:tc>
          <w:tcPr>
            <w:tcW w:w="3635" w:type="dxa"/>
            <w:tcBorders/>
            <w:shd w:fill="auto" w:val="clear"/>
            <w:vAlign w:val="center"/>
          </w:tcPr>
          <w:p>
            <w:pPr>
              <w:pStyle w:val="TableContents"/>
              <w:spacing w:before="0" w:after="240"/>
              <w:jc w:val="both"/>
              <w:rPr>
                <w:rFonts w:ascii="Times New Roman;Times;serif" w:hAnsi="Times New Roman;Times;serif"/>
                <w:sz w:val="17"/>
              </w:rPr>
            </w:pPr>
            <w:r>
              <w:rPr>
                <w:rFonts w:ascii="Times New Roman;Times;serif" w:hAnsi="Times New Roman;Times;serif"/>
                <w:sz w:val="17"/>
              </w:rPr>
              <w:t>Common Stock was distributed in-kind to investors.</w:t>
            </w:r>
          </w:p>
        </w:tc>
      </w:tr>
    </w:tbl>
    <w:p>
      <w:pPr>
        <w:pStyle w:val="Normal"/>
        <w:spacing w:before="0" w:after="0"/>
        <w:rPr>
          <w:sz w:val="4"/>
          <w:szCs w:val="4"/>
        </w:rPr>
      </w:pPr>
      <w:r>
        <w:rPr>
          <w:sz w:val="4"/>
          <w:szCs w:val="4"/>
        </w:rPr>
      </w:r>
      <w:bookmarkStart w:id="16" w:name="z083ce414397c412d964eb862de977d37"/>
      <w:bookmarkStart w:id="17" w:name="z083ce414397c412d964eb862de977d37"/>
      <w:bookmarkEnd w:id="17"/>
    </w:p>
    <w:tbl>
      <w:tblPr>
        <w:tblW w:w="3115" w:type="dxa"/>
        <w:jc w:val="left"/>
        <w:tblInd w:w="0" w:type="dxa"/>
        <w:tblCellMar>
          <w:top w:w="0" w:type="dxa"/>
          <w:left w:w="0" w:type="dxa"/>
          <w:bottom w:w="0" w:type="dxa"/>
          <w:right w:w="0" w:type="dxa"/>
        </w:tblCellMar>
      </w:tblPr>
      <w:tblGrid>
        <w:gridCol w:w="170"/>
        <w:gridCol w:w="2945"/>
      </w:tblGrid>
      <w:tr>
        <w:trPr/>
        <w:tc>
          <w:tcPr>
            <w:tcW w:w="170" w:type="dxa"/>
            <w:tcBorders/>
            <w:shd w:fill="auto" w:val="clear"/>
            <w:vAlign w:val="center"/>
          </w:tcPr>
          <w:p>
            <w:pPr>
              <w:pStyle w:val="TableContents"/>
              <w:spacing w:before="0" w:after="240"/>
              <w:ind w:left="187" w:right="0" w:hanging="0"/>
              <w:jc w:val="left"/>
              <w:rPr>
                <w:rFonts w:ascii="Times New Roman;Times;serif" w:hAnsi="Times New Roman;Times;serif"/>
                <w:sz w:val="17"/>
              </w:rPr>
            </w:pPr>
            <w:r>
              <w:rPr>
                <w:rFonts w:ascii="Times New Roman;Times;serif" w:hAnsi="Times New Roman;Times;serif"/>
                <w:sz w:val="17"/>
              </w:rPr>
              <w:t>5.</w:t>
            </w:r>
          </w:p>
        </w:tc>
        <w:tc>
          <w:tcPr>
            <w:tcW w:w="2945" w:type="dxa"/>
            <w:tcBorders/>
            <w:shd w:fill="auto" w:val="clear"/>
            <w:vAlign w:val="center"/>
          </w:tcPr>
          <w:p>
            <w:pPr>
              <w:pStyle w:val="TableContents"/>
              <w:spacing w:before="0" w:after="240"/>
              <w:jc w:val="both"/>
              <w:rPr>
                <w:rFonts w:ascii="Times New Roman;Times;serif" w:hAnsi="Times New Roman;Times;serif"/>
                <w:sz w:val="17"/>
              </w:rPr>
            </w:pPr>
            <w:r>
              <w:rPr>
                <w:rFonts w:ascii="Times New Roman;Times;serif" w:hAnsi="Times New Roman;Times;serif"/>
                <w:sz w:val="17"/>
              </w:rPr>
              <w:t>Common Stock held directly by BFF, Inc.</w:t>
            </w:r>
          </w:p>
        </w:tc>
      </w:tr>
    </w:tbl>
    <w:p>
      <w:pPr>
        <w:pStyle w:val="Normal"/>
        <w:spacing w:before="0" w:after="0"/>
        <w:rPr>
          <w:sz w:val="4"/>
          <w:szCs w:val="4"/>
        </w:rPr>
      </w:pPr>
      <w:r>
        <w:rPr>
          <w:sz w:val="4"/>
          <w:szCs w:val="4"/>
        </w:rPr>
      </w:r>
      <w:bookmarkStart w:id="18" w:name="z51aee29982464da0b473e93498b37873"/>
      <w:bookmarkStart w:id="19" w:name="z51aee29982464da0b473e93498b37873"/>
      <w:bookmarkEnd w:id="19"/>
    </w:p>
    <w:tbl>
      <w:tblPr>
        <w:tblW w:w="2830" w:type="dxa"/>
        <w:jc w:val="left"/>
        <w:tblInd w:w="0" w:type="dxa"/>
        <w:tblCellMar>
          <w:top w:w="0" w:type="dxa"/>
          <w:left w:w="0" w:type="dxa"/>
          <w:bottom w:w="0" w:type="dxa"/>
          <w:right w:w="0" w:type="dxa"/>
        </w:tblCellMar>
      </w:tblPr>
      <w:tblGrid>
        <w:gridCol w:w="170"/>
        <w:gridCol w:w="2660"/>
      </w:tblGrid>
      <w:tr>
        <w:trPr/>
        <w:tc>
          <w:tcPr>
            <w:tcW w:w="170" w:type="dxa"/>
            <w:tcBorders/>
            <w:shd w:fill="auto" w:val="clear"/>
            <w:vAlign w:val="center"/>
          </w:tcPr>
          <w:p>
            <w:pPr>
              <w:pStyle w:val="TableContents"/>
              <w:spacing w:before="0" w:after="240"/>
              <w:ind w:left="187" w:right="0" w:hanging="0"/>
              <w:jc w:val="left"/>
              <w:rPr>
                <w:rFonts w:ascii="Times New Roman;Times;serif" w:hAnsi="Times New Roman;Times;serif"/>
                <w:sz w:val="17"/>
              </w:rPr>
            </w:pPr>
            <w:r>
              <w:rPr>
                <w:rFonts w:ascii="Times New Roman;Times;serif" w:hAnsi="Times New Roman;Times;serif"/>
                <w:sz w:val="17"/>
              </w:rPr>
              <w:t>6.</w:t>
            </w:r>
          </w:p>
        </w:tc>
        <w:tc>
          <w:tcPr>
            <w:tcW w:w="2660" w:type="dxa"/>
            <w:tcBorders/>
            <w:shd w:fill="auto" w:val="clear"/>
            <w:vAlign w:val="center"/>
          </w:tcPr>
          <w:p>
            <w:pPr>
              <w:pStyle w:val="TableContents"/>
              <w:spacing w:before="0" w:after="240"/>
              <w:jc w:val="both"/>
              <w:rPr>
                <w:rFonts w:ascii="Times New Roman;Times;serif" w:hAnsi="Times New Roman;Times;serif"/>
                <w:sz w:val="17"/>
              </w:rPr>
            </w:pPr>
            <w:r>
              <w:rPr>
                <w:rFonts w:ascii="Times New Roman;Times;serif" w:hAnsi="Times New Roman;Times;serif"/>
                <w:sz w:val="17"/>
              </w:rPr>
              <w:t>Common Stock held directly by BOF.</w:t>
            </w:r>
          </w:p>
        </w:tc>
      </w:tr>
    </w:tbl>
    <w:p>
      <w:pPr>
        <w:pStyle w:val="Normal"/>
        <w:spacing w:before="0" w:after="0"/>
        <w:rPr>
          <w:sz w:val="4"/>
          <w:szCs w:val="4"/>
        </w:rPr>
      </w:pPr>
      <w:r>
        <w:rPr>
          <w:sz w:val="4"/>
          <w:szCs w:val="4"/>
        </w:rPr>
      </w:r>
      <w:bookmarkStart w:id="20" w:name="za68eceb2d18f47a39157740e70d15f0a"/>
      <w:bookmarkStart w:id="21" w:name="za68eceb2d18f47a39157740e70d15f0a"/>
      <w:bookmarkEnd w:id="21"/>
    </w:p>
    <w:tbl>
      <w:tblPr>
        <w:tblW w:w="2800" w:type="dxa"/>
        <w:jc w:val="left"/>
        <w:tblInd w:w="0" w:type="dxa"/>
        <w:tblCellMar>
          <w:top w:w="0" w:type="dxa"/>
          <w:left w:w="0" w:type="dxa"/>
          <w:bottom w:w="0" w:type="dxa"/>
          <w:right w:w="0" w:type="dxa"/>
        </w:tblCellMar>
      </w:tblPr>
      <w:tblGrid>
        <w:gridCol w:w="170"/>
        <w:gridCol w:w="2630"/>
      </w:tblGrid>
      <w:tr>
        <w:trPr/>
        <w:tc>
          <w:tcPr>
            <w:tcW w:w="170" w:type="dxa"/>
            <w:tcBorders/>
            <w:shd w:fill="auto" w:val="clear"/>
            <w:vAlign w:val="center"/>
          </w:tcPr>
          <w:p>
            <w:pPr>
              <w:pStyle w:val="TableContents"/>
              <w:spacing w:before="0" w:after="240"/>
              <w:ind w:left="187" w:right="0" w:hanging="0"/>
              <w:jc w:val="left"/>
              <w:rPr>
                <w:rFonts w:ascii="Times New Roman;Times;serif" w:hAnsi="Times New Roman;Times;serif"/>
                <w:sz w:val="17"/>
              </w:rPr>
            </w:pPr>
            <w:r>
              <w:rPr>
                <w:rFonts w:ascii="Times New Roman;Times;serif" w:hAnsi="Times New Roman;Times;serif"/>
                <w:sz w:val="17"/>
              </w:rPr>
              <w:t>7.</w:t>
            </w:r>
          </w:p>
        </w:tc>
        <w:tc>
          <w:tcPr>
            <w:tcW w:w="2630" w:type="dxa"/>
            <w:tcBorders/>
            <w:shd w:fill="auto" w:val="clear"/>
            <w:vAlign w:val="center"/>
          </w:tcPr>
          <w:p>
            <w:pPr>
              <w:pStyle w:val="TableContents"/>
              <w:spacing w:before="0" w:after="240"/>
              <w:jc w:val="both"/>
              <w:rPr>
                <w:rFonts w:ascii="Times New Roman;Times;serif" w:hAnsi="Times New Roman;Times;serif"/>
                <w:sz w:val="17"/>
              </w:rPr>
            </w:pPr>
            <w:r>
              <w:rPr>
                <w:rFonts w:ascii="Times New Roman;Times;serif" w:hAnsi="Times New Roman;Times;serif"/>
                <w:sz w:val="17"/>
              </w:rPr>
              <w:t>Common Stock held directly by BFF.</w:t>
            </w:r>
          </w:p>
        </w:tc>
      </w:tr>
    </w:tbl>
    <w:p>
      <w:pPr>
        <w:pStyle w:val="Normal"/>
        <w:spacing w:before="0" w:after="0"/>
        <w:rPr>
          <w:sz w:val="4"/>
          <w:szCs w:val="4"/>
        </w:rPr>
      </w:pPr>
      <w:r>
        <w:rPr>
          <w:sz w:val="4"/>
          <w:szCs w:val="4"/>
        </w:rPr>
      </w:r>
      <w:bookmarkStart w:id="22" w:name="z3df6095b30314cf1b258a8452a0f1d79"/>
      <w:bookmarkStart w:id="23" w:name="z3df6095b30314cf1b258a8452a0f1d79"/>
      <w:bookmarkEnd w:id="23"/>
    </w:p>
    <w:tbl>
      <w:tblPr>
        <w:tblW w:w="2830" w:type="dxa"/>
        <w:jc w:val="left"/>
        <w:tblInd w:w="0" w:type="dxa"/>
        <w:tblCellMar>
          <w:top w:w="0" w:type="dxa"/>
          <w:left w:w="0" w:type="dxa"/>
          <w:bottom w:w="0" w:type="dxa"/>
          <w:right w:w="0" w:type="dxa"/>
        </w:tblCellMar>
      </w:tblPr>
      <w:tblGrid>
        <w:gridCol w:w="170"/>
        <w:gridCol w:w="2660"/>
      </w:tblGrid>
      <w:tr>
        <w:trPr/>
        <w:tc>
          <w:tcPr>
            <w:tcW w:w="170" w:type="dxa"/>
            <w:tcBorders/>
            <w:shd w:fill="auto" w:val="clear"/>
            <w:vAlign w:val="center"/>
          </w:tcPr>
          <w:p>
            <w:pPr>
              <w:pStyle w:val="TableContents"/>
              <w:spacing w:before="0" w:after="240"/>
              <w:ind w:left="187" w:right="0" w:hanging="0"/>
              <w:jc w:val="left"/>
              <w:rPr>
                <w:rFonts w:ascii="Times New Roman;Times;serif" w:hAnsi="Times New Roman;Times;serif"/>
                <w:sz w:val="17"/>
              </w:rPr>
            </w:pPr>
            <w:r>
              <w:rPr>
                <w:rFonts w:ascii="Times New Roman;Times;serif" w:hAnsi="Times New Roman;Times;serif"/>
                <w:sz w:val="17"/>
              </w:rPr>
              <w:t>8.</w:t>
            </w:r>
          </w:p>
        </w:tc>
        <w:tc>
          <w:tcPr>
            <w:tcW w:w="2660" w:type="dxa"/>
            <w:tcBorders/>
            <w:shd w:fill="auto" w:val="clear"/>
            <w:vAlign w:val="center"/>
          </w:tcPr>
          <w:p>
            <w:pPr>
              <w:pStyle w:val="TableContents"/>
              <w:spacing w:before="0" w:after="240"/>
              <w:jc w:val="both"/>
              <w:rPr>
                <w:rFonts w:ascii="Times New Roman;Times;serif" w:hAnsi="Times New Roman;Times;serif"/>
                <w:sz w:val="17"/>
              </w:rPr>
            </w:pPr>
            <w:r>
              <w:rPr>
                <w:rFonts w:ascii="Times New Roman;Times;serif" w:hAnsi="Times New Roman;Times;serif"/>
                <w:sz w:val="17"/>
              </w:rPr>
              <w:t>Common Stock held directly by BOP.</w:t>
            </w:r>
          </w:p>
        </w:tc>
      </w:tr>
    </w:tbl>
    <w:p>
      <w:pPr>
        <w:pStyle w:val="Normal"/>
        <w:spacing w:before="0" w:after="0"/>
        <w:rPr>
          <w:sz w:val="4"/>
          <w:szCs w:val="4"/>
        </w:rPr>
      </w:pPr>
      <w:r>
        <w:rPr>
          <w:sz w:val="4"/>
          <w:szCs w:val="4"/>
        </w:rPr>
      </w:r>
      <w:bookmarkStart w:id="24" w:name="zf930d41d1c0642ffb7b31e804beae676"/>
      <w:bookmarkStart w:id="25" w:name="zf930d41d1c0642ffb7b31e804beae676"/>
      <w:bookmarkEnd w:id="25"/>
    </w:p>
    <w:tbl>
      <w:tblPr>
        <w:tblW w:w="2890" w:type="dxa"/>
        <w:jc w:val="left"/>
        <w:tblInd w:w="0" w:type="dxa"/>
        <w:tblCellMar>
          <w:top w:w="0" w:type="dxa"/>
          <w:left w:w="0" w:type="dxa"/>
          <w:bottom w:w="0" w:type="dxa"/>
          <w:right w:w="0" w:type="dxa"/>
        </w:tblCellMar>
      </w:tblPr>
      <w:tblGrid>
        <w:gridCol w:w="170"/>
        <w:gridCol w:w="2720"/>
      </w:tblGrid>
      <w:tr>
        <w:trPr/>
        <w:tc>
          <w:tcPr>
            <w:tcW w:w="170" w:type="dxa"/>
            <w:tcBorders/>
            <w:shd w:fill="auto" w:val="clear"/>
            <w:vAlign w:val="center"/>
          </w:tcPr>
          <w:p>
            <w:pPr>
              <w:pStyle w:val="TableContents"/>
              <w:spacing w:before="0" w:after="240"/>
              <w:ind w:left="187" w:right="0" w:hanging="0"/>
              <w:jc w:val="left"/>
              <w:rPr>
                <w:rFonts w:ascii="Times New Roman;Times;serif" w:hAnsi="Times New Roman;Times;serif"/>
                <w:sz w:val="17"/>
              </w:rPr>
            </w:pPr>
            <w:r>
              <w:rPr>
                <w:rFonts w:ascii="Times New Roman;Times;serif" w:hAnsi="Times New Roman;Times;serif"/>
                <w:sz w:val="17"/>
              </w:rPr>
              <w:t>9.</w:t>
            </w:r>
          </w:p>
        </w:tc>
        <w:tc>
          <w:tcPr>
            <w:tcW w:w="2720" w:type="dxa"/>
            <w:tcBorders/>
            <w:shd w:fill="auto" w:val="clear"/>
            <w:vAlign w:val="center"/>
          </w:tcPr>
          <w:p>
            <w:pPr>
              <w:pStyle w:val="TableContents"/>
              <w:spacing w:before="0" w:after="240"/>
              <w:jc w:val="both"/>
              <w:rPr>
                <w:rFonts w:ascii="Times New Roman;Times;serif" w:hAnsi="Times New Roman;Times;serif"/>
                <w:sz w:val="17"/>
              </w:rPr>
            </w:pPr>
            <w:r>
              <w:rPr>
                <w:rFonts w:ascii="Times New Roman;Times;serif" w:hAnsi="Times New Roman;Times;serif"/>
                <w:sz w:val="17"/>
              </w:rPr>
              <w:t>Common stock held directly by BELS.</w:t>
            </w:r>
          </w:p>
        </w:tc>
      </w:tr>
    </w:tbl>
    <w:p>
      <w:pPr>
        <w:pStyle w:val="Normal"/>
        <w:spacing w:before="0" w:after="0"/>
        <w:rPr>
          <w:sz w:val="4"/>
          <w:szCs w:val="4"/>
        </w:rPr>
      </w:pPr>
      <w:r>
        <w:rPr>
          <w:sz w:val="4"/>
          <w:szCs w:val="4"/>
        </w:rPr>
      </w:r>
      <w:bookmarkStart w:id="26" w:name="z99c3efc310bc4c98947da8c76107b2e4"/>
      <w:bookmarkStart w:id="27" w:name="z99c3efc310bc4c98947da8c76107b2e4"/>
      <w:bookmarkEnd w:id="27"/>
    </w:p>
    <w:tbl>
      <w:tblPr>
        <w:tblW w:w="3115" w:type="dxa"/>
        <w:jc w:val="left"/>
        <w:tblInd w:w="0" w:type="dxa"/>
        <w:tblCellMar>
          <w:top w:w="0" w:type="dxa"/>
          <w:left w:w="0" w:type="dxa"/>
          <w:bottom w:w="0" w:type="dxa"/>
          <w:right w:w="0" w:type="dxa"/>
        </w:tblCellMar>
      </w:tblPr>
      <w:tblGrid>
        <w:gridCol w:w="260"/>
        <w:gridCol w:w="2855"/>
      </w:tblGrid>
      <w:tr>
        <w:trPr/>
        <w:tc>
          <w:tcPr>
            <w:tcW w:w="260" w:type="dxa"/>
            <w:tcBorders/>
            <w:shd w:fill="auto" w:val="clear"/>
            <w:vAlign w:val="center"/>
          </w:tcPr>
          <w:p>
            <w:pPr>
              <w:pStyle w:val="TableContents"/>
              <w:spacing w:before="0" w:after="240"/>
              <w:ind w:left="187" w:right="0" w:hanging="0"/>
              <w:jc w:val="left"/>
              <w:rPr>
                <w:rFonts w:ascii="Times New Roman;Times;serif" w:hAnsi="Times New Roman;Times;serif"/>
                <w:sz w:val="17"/>
              </w:rPr>
            </w:pPr>
            <w:r>
              <w:rPr>
                <w:rFonts w:ascii="Times New Roman;Times;serif" w:hAnsi="Times New Roman;Times;serif"/>
                <w:sz w:val="17"/>
              </w:rPr>
              <w:t>10.</w:t>
            </w:r>
          </w:p>
        </w:tc>
        <w:tc>
          <w:tcPr>
            <w:tcW w:w="2855" w:type="dxa"/>
            <w:tcBorders/>
            <w:shd w:fill="auto" w:val="clear"/>
            <w:vAlign w:val="center"/>
          </w:tcPr>
          <w:p>
            <w:pPr>
              <w:pStyle w:val="TableContents"/>
              <w:spacing w:before="0" w:after="240"/>
              <w:jc w:val="both"/>
              <w:rPr>
                <w:rFonts w:ascii="Times New Roman;Times;serif" w:hAnsi="Times New Roman;Times;serif"/>
                <w:sz w:val="17"/>
              </w:rPr>
            </w:pPr>
            <w:r>
              <w:rPr>
                <w:rFonts w:ascii="Times New Roman;Times;serif" w:hAnsi="Times New Roman;Times;serif"/>
                <w:sz w:val="17"/>
              </w:rPr>
              <w:t>Common Stock held directly by BFLOF.</w:t>
            </w:r>
          </w:p>
        </w:tc>
      </w:tr>
    </w:tbl>
    <w:p>
      <w:pPr>
        <w:pStyle w:val="Normal"/>
        <w:spacing w:before="0" w:after="0"/>
        <w:rPr>
          <w:sz w:val="4"/>
          <w:szCs w:val="4"/>
        </w:rPr>
      </w:pPr>
      <w:r>
        <w:rPr>
          <w:sz w:val="4"/>
          <w:szCs w:val="4"/>
        </w:rPr>
      </w:r>
      <w:bookmarkStart w:id="28" w:name="z875728e6e5c44e14881c98fd1ab781bc"/>
      <w:bookmarkStart w:id="29" w:name="z875728e6e5c44e14881c98fd1ab781bc"/>
      <w:bookmarkEnd w:id="29"/>
    </w:p>
    <w:tbl>
      <w:tblPr>
        <w:tblW w:w="4060" w:type="dxa"/>
        <w:jc w:val="left"/>
        <w:tblInd w:w="0" w:type="dxa"/>
        <w:tblCellMar>
          <w:top w:w="0" w:type="dxa"/>
          <w:left w:w="0" w:type="dxa"/>
          <w:bottom w:w="0" w:type="dxa"/>
          <w:right w:w="0" w:type="dxa"/>
        </w:tblCellMar>
      </w:tblPr>
      <w:tblGrid>
        <w:gridCol w:w="260"/>
        <w:gridCol w:w="3800"/>
      </w:tblGrid>
      <w:tr>
        <w:trPr/>
        <w:tc>
          <w:tcPr>
            <w:tcW w:w="260" w:type="dxa"/>
            <w:tcBorders/>
            <w:shd w:fill="auto" w:val="clear"/>
            <w:vAlign w:val="center"/>
          </w:tcPr>
          <w:p>
            <w:pPr>
              <w:pStyle w:val="TableContents"/>
              <w:spacing w:before="120" w:after="240"/>
              <w:ind w:left="187" w:right="0" w:hanging="0"/>
              <w:jc w:val="left"/>
              <w:rPr>
                <w:rFonts w:ascii="Times New Roman;Times;serif" w:hAnsi="Times New Roman;Times;serif"/>
                <w:sz w:val="17"/>
              </w:rPr>
            </w:pPr>
            <w:r>
              <w:rPr>
                <w:rFonts w:ascii="Times New Roman;Times;serif" w:hAnsi="Times New Roman;Times;serif"/>
                <w:sz w:val="17"/>
              </w:rPr>
              <w:t>11.</w:t>
            </w:r>
          </w:p>
        </w:tc>
        <w:tc>
          <w:tcPr>
            <w:tcW w:w="3800" w:type="dxa"/>
            <w:tcBorders/>
            <w:shd w:fill="auto" w:val="clear"/>
            <w:vAlign w:val="center"/>
          </w:tcPr>
          <w:p>
            <w:pPr>
              <w:pStyle w:val="TableContents"/>
              <w:spacing w:before="120" w:after="240"/>
              <w:jc w:val="both"/>
              <w:rPr>
                <w:rFonts w:ascii="Times New Roman;Times;serif" w:hAnsi="Times New Roman;Times;serif"/>
                <w:sz w:val="17"/>
              </w:rPr>
            </w:pPr>
            <w:r>
              <w:rPr>
                <w:rFonts w:ascii="Times New Roman;Times;serif" w:hAnsi="Times New Roman;Times;serif"/>
                <w:sz w:val="17"/>
              </w:rPr>
              <w:t>Common Stock held directly by Bennett Lindenbaum.</w:t>
            </w:r>
          </w:p>
        </w:tc>
      </w:tr>
    </w:tbl>
    <w:p>
      <w:pPr>
        <w:pStyle w:val="Normal"/>
        <w:spacing w:before="0" w:after="0"/>
        <w:rPr>
          <w:sz w:val="4"/>
          <w:szCs w:val="4"/>
        </w:rPr>
      </w:pPr>
      <w:r>
        <w:rPr>
          <w:sz w:val="4"/>
          <w:szCs w:val="4"/>
        </w:rPr>
      </w:r>
      <w:bookmarkStart w:id="30" w:name="z34f7db8e647a488499a97b9f9f7c5b28"/>
      <w:bookmarkStart w:id="31" w:name="z34f7db8e647a488499a97b9f9f7c5b28"/>
      <w:bookmarkEnd w:id="31"/>
    </w:p>
    <w:tbl>
      <w:tblPr>
        <w:tblW w:w="10205" w:type="dxa"/>
        <w:jc w:val="left"/>
        <w:tblInd w:w="0" w:type="dxa"/>
        <w:tblCellMar>
          <w:top w:w="0" w:type="dxa"/>
          <w:left w:w="0" w:type="dxa"/>
          <w:bottom w:w="0" w:type="dxa"/>
          <w:right w:w="0" w:type="dxa"/>
        </w:tblCellMar>
      </w:tblPr>
      <w:tblGrid>
        <w:gridCol w:w="241"/>
        <w:gridCol w:w="9964"/>
      </w:tblGrid>
      <w:tr>
        <w:trPr/>
        <w:tc>
          <w:tcPr>
            <w:tcW w:w="241" w:type="dxa"/>
            <w:tcBorders/>
            <w:shd w:fill="auto" w:val="clear"/>
            <w:vAlign w:val="center"/>
          </w:tcPr>
          <w:p>
            <w:pPr>
              <w:pStyle w:val="TableContents"/>
              <w:spacing w:before="120" w:after="240"/>
              <w:ind w:left="187" w:right="0" w:hanging="0"/>
              <w:jc w:val="left"/>
              <w:rPr>
                <w:rFonts w:ascii="Times New Roman;Times;serif" w:hAnsi="Times New Roman;Times;serif"/>
                <w:sz w:val="17"/>
              </w:rPr>
            </w:pPr>
            <w:r>
              <w:rPr>
                <w:rFonts w:ascii="Times New Roman;Times;serif" w:hAnsi="Times New Roman;Times;serif"/>
                <w:sz w:val="17"/>
              </w:rPr>
              <w:t>12.</w:t>
            </w:r>
          </w:p>
        </w:tc>
        <w:tc>
          <w:tcPr>
            <w:tcW w:w="9964" w:type="dxa"/>
            <w:tcBorders/>
            <w:shd w:fill="auto" w:val="clear"/>
            <w:vAlign w:val="center"/>
          </w:tcPr>
          <w:p>
            <w:pPr>
              <w:pStyle w:val="TableContents"/>
              <w:spacing w:before="120" w:after="240"/>
              <w:jc w:val="both"/>
              <w:rPr>
                <w:rFonts w:ascii="Times New Roman;Times;serif" w:hAnsi="Times New Roman;Times;serif"/>
                <w:sz w:val="17"/>
              </w:rPr>
            </w:pPr>
            <w:r>
              <w:rPr>
                <w:rFonts w:ascii="Times New Roman;Times;serif" w:hAnsi="Times New Roman;Times;serif"/>
                <w:sz w:val="17"/>
              </w:rPr>
              <w:t>Common Stock held directly by Matthew Lindenbaum, which includes 926.749462 shares of Common Stock underlying a restricted stock unit award.  This number includes shares received as part of a dividend reinvestment program.</w:t>
            </w:r>
          </w:p>
        </w:tc>
      </w:tr>
    </w:tbl>
    <w:p>
      <w:pPr>
        <w:pStyle w:val="TextBody"/>
        <w:spacing w:before="120" w:after="240"/>
        <w:rPr/>
      </w:pPr>
      <w:r>
        <w:rPr/>
      </w:r>
    </w:p>
    <w:p>
      <w:pPr>
        <w:pStyle w:val="TextBody"/>
        <w:spacing w:before="120" w:after="240"/>
        <w:ind w:left="187" w:right="0" w:hanging="0"/>
        <w:jc w:val="both"/>
        <w:rPr>
          <w:rFonts w:ascii="Times New Roman;Times;serif" w:hAnsi="Times New Roman;Times;serif"/>
          <w:sz w:val="17"/>
        </w:rPr>
      </w:pPr>
      <w:r>
        <w:rPr>
          <w:rFonts w:ascii="Times New Roman;Times;serif" w:hAnsi="Times New Roman;Times;serif"/>
          <w:sz w:val="17"/>
        </w:rPr>
        <w:t>Remarks:</w:t>
      </w:r>
      <w:r>
        <w:br w:type="page"/>
      </w:r>
    </w:p>
    <w:p>
      <w:pPr>
        <w:pStyle w:val="Normal"/>
        <w:spacing w:before="0" w:after="0"/>
        <w:rPr>
          <w:sz w:val="4"/>
          <w:szCs w:val="4"/>
        </w:rPr>
      </w:pPr>
      <w:r>
        <w:rPr>
          <w:sz w:val="4"/>
          <w:szCs w:val="4"/>
        </w:rPr>
      </w:r>
      <w:bookmarkStart w:id="32" w:name="z097ef92f6a25415d850a1ad8c574e3681"/>
      <w:bookmarkStart w:id="33" w:name="b29360056b.htm"/>
      <w:bookmarkStart w:id="34" w:name="ksb29360056b"/>
      <w:bookmarkStart w:id="35" w:name="z097ef92f6a25415d850a1ad8c574e3681"/>
      <w:bookmarkStart w:id="36" w:name="b29360056b.htm"/>
      <w:bookmarkStart w:id="37" w:name="ksb29360056b"/>
      <w:bookmarkEnd w:id="35"/>
      <w:bookmarkEnd w:id="36"/>
      <w:bookmarkEnd w:id="37"/>
    </w:p>
    <w:tbl>
      <w:tblPr>
        <w:tblW w:w="5260" w:type="dxa"/>
        <w:jc w:val="left"/>
        <w:tblInd w:w="0" w:type="dxa"/>
        <w:tblCellMar>
          <w:top w:w="0" w:type="dxa"/>
          <w:left w:w="0" w:type="dxa"/>
          <w:bottom w:w="0" w:type="dxa"/>
          <w:right w:w="0" w:type="dxa"/>
        </w:tblCellMar>
      </w:tblPr>
      <w:tblGrid>
        <w:gridCol w:w="2480"/>
        <w:gridCol w:w="2780"/>
      </w:tblGrid>
      <w:tr>
        <w:trPr/>
        <w:tc>
          <w:tcPr>
            <w:tcW w:w="2480" w:type="dxa"/>
            <w:tcBorders/>
            <w:shd w:fill="auto" w:val="clear"/>
            <w:vAlign w:val="center"/>
          </w:tcPr>
          <w:p>
            <w:pPr>
              <w:pStyle w:val="TableContents"/>
              <w:spacing w:before="0" w:after="283"/>
              <w:rPr>
                <w:sz w:val="17"/>
              </w:rPr>
            </w:pPr>
            <w:r>
              <w:rPr>
                <w:sz w:val="17"/>
              </w:rPr>
              <w:t>Designated Filer:</w:t>
            </w:r>
          </w:p>
        </w:tc>
        <w:tc>
          <w:tcPr>
            <w:tcW w:w="2780" w:type="dxa"/>
            <w:tcBorders/>
            <w:shd w:fill="auto" w:val="clear"/>
            <w:vAlign w:val="center"/>
          </w:tcPr>
          <w:p>
            <w:pPr>
              <w:pStyle w:val="TableContents"/>
              <w:spacing w:before="0" w:after="283"/>
              <w:rPr/>
            </w:pPr>
            <w:r>
              <w:rPr>
                <w:rFonts w:ascii="Times New Roman;Times;serif" w:hAnsi="Times New Roman;Times;serif"/>
                <w:sz w:val="17"/>
              </w:rPr>
              <w:t>Basswood Capital Management, L.L.C.</w:t>
            </w:r>
            <w:r>
              <w:rPr/>
              <w:t xml:space="preserve"> </w:t>
            </w:r>
          </w:p>
        </w:tc>
      </w:tr>
      <w:tr>
        <w:trPr/>
        <w:tc>
          <w:tcPr>
            <w:tcW w:w="2480" w:type="dxa"/>
            <w:tcBorders/>
            <w:shd w:fill="auto" w:val="clear"/>
            <w:vAlign w:val="center"/>
          </w:tcPr>
          <w:p>
            <w:pPr>
              <w:pStyle w:val="TableContents"/>
              <w:spacing w:before="0" w:after="283"/>
              <w:rPr/>
            </w:pPr>
            <w:r>
              <w:rPr>
                <w:rFonts w:ascii="Times New Roman;Times;serif" w:hAnsi="Times New Roman;Times;serif"/>
                <w:sz w:val="17"/>
              </w:rPr>
              <w:t>Issuer &amp; Ticker Symbol:</w:t>
            </w:r>
            <w:r>
              <w:rPr/>
              <w:t xml:space="preserve"> </w:t>
            </w:r>
          </w:p>
        </w:tc>
        <w:tc>
          <w:tcPr>
            <w:tcW w:w="2780" w:type="dxa"/>
            <w:tcBorders/>
            <w:shd w:fill="auto" w:val="clear"/>
            <w:vAlign w:val="center"/>
          </w:tcPr>
          <w:p>
            <w:pPr>
              <w:pStyle w:val="TableContents"/>
              <w:spacing w:before="0" w:after="283"/>
              <w:rPr/>
            </w:pPr>
            <w:r>
              <w:rPr>
                <w:rFonts w:ascii="Times New Roman;Times;serif" w:hAnsi="Times New Roman;Times;serif"/>
                <w:sz w:val="17"/>
              </w:rPr>
              <w:t>Bridge Bancorp, Inc. [BDGE]</w:t>
            </w:r>
            <w:r>
              <w:rPr/>
              <w:t xml:space="preserve"> </w:t>
            </w:r>
          </w:p>
        </w:tc>
      </w:tr>
      <w:tr>
        <w:trPr/>
        <w:tc>
          <w:tcPr>
            <w:tcW w:w="2480" w:type="dxa"/>
            <w:tcBorders/>
            <w:shd w:fill="auto" w:val="clear"/>
            <w:vAlign w:val="center"/>
          </w:tcPr>
          <w:p>
            <w:pPr>
              <w:pStyle w:val="TableContents"/>
              <w:spacing w:lineRule="atLeast" w:line="228" w:before="0" w:after="0"/>
              <w:jc w:val="left"/>
              <w:rPr>
                <w:rFonts w:ascii="Times New Roman;Times;serif" w:hAnsi="Times New Roman;Times;serif"/>
                <w:sz w:val="17"/>
              </w:rPr>
            </w:pPr>
            <w:r>
              <w:rPr>
                <w:rFonts w:ascii="Times New Roman;Times;serif" w:hAnsi="Times New Roman;Times;serif"/>
                <w:sz w:val="17"/>
              </w:rPr>
              <w:t>Date of Event Requiring Statement:</w:t>
            </w:r>
          </w:p>
        </w:tc>
        <w:tc>
          <w:tcPr>
            <w:tcW w:w="2780" w:type="dxa"/>
            <w:tcBorders/>
            <w:shd w:fill="auto" w:val="clear"/>
            <w:vAlign w:val="center"/>
          </w:tcPr>
          <w:p>
            <w:pPr>
              <w:pStyle w:val="TableContents"/>
              <w:spacing w:before="0" w:after="283"/>
              <w:rPr>
                <w:sz w:val="17"/>
              </w:rPr>
            </w:pPr>
            <w:r>
              <w:rPr>
                <w:sz w:val="17"/>
              </w:rPr>
              <w:t>May 1, 2019</w:t>
            </w:r>
          </w:p>
        </w:tc>
      </w:tr>
    </w:tbl>
    <w:p>
      <w:pPr>
        <w:pStyle w:val="TextBody"/>
        <w:spacing w:before="0" w:after="0"/>
        <w:rPr/>
      </w:pPr>
      <w:r>
        <w:rPr/>
      </w:r>
    </w:p>
    <w:p>
      <w:pPr>
        <w:pStyle w:val="TextBody"/>
        <w:spacing w:before="0" w:after="0"/>
        <w:rPr/>
      </w:pPr>
      <w:r>
        <w:rPr/>
      </w:r>
    </w:p>
    <w:p>
      <w:pPr>
        <w:pStyle w:val="TextBody"/>
        <w:spacing w:lineRule="atLeast" w:line="228" w:before="0" w:after="240"/>
        <w:ind w:left="180" w:right="0" w:hanging="0"/>
        <w:jc w:val="center"/>
        <w:rPr>
          <w:rFonts w:ascii="Times New Roman;Times;serif" w:hAnsi="Times New Roman;Times;serif"/>
          <w:b/>
          <w:sz w:val="17"/>
        </w:rPr>
      </w:pPr>
      <w:r>
        <w:rPr>
          <w:rFonts w:ascii="Times New Roman;Times;serif" w:hAnsi="Times New Roman;Times;serif"/>
          <w:b/>
          <w:sz w:val="17"/>
        </w:rPr>
        <w:t>Exhibit 99.2 - Joint Filer Information</w:t>
      </w:r>
    </w:p>
    <w:p>
      <w:pPr>
        <w:pStyle w:val="TextBody"/>
        <w:spacing w:lineRule="atLeast" w:line="228" w:before="0" w:after="240"/>
        <w:jc w:val="left"/>
        <w:rPr>
          <w:rFonts w:ascii="Times New Roman;Times;serif" w:hAnsi="Times New Roman;Times;serif"/>
          <w:b w:val="false"/>
          <w:sz w:val="17"/>
        </w:rPr>
      </w:pPr>
      <w:r>
        <w:rPr>
          <w:rFonts w:ascii="Times New Roman;Times;serif" w:hAnsi="Times New Roman;Times;serif"/>
          <w:b w:val="false"/>
          <w:sz w:val="17"/>
        </w:rPr>
        <w:t>Joint Filers:</w:t>
      </w:r>
    </w:p>
    <w:p>
      <w:pPr>
        <w:pStyle w:val="TextBody"/>
        <w:spacing w:lineRule="atLeast" w:line="228" w:before="0" w:after="240"/>
        <w:jc w:val="left"/>
        <w:rPr/>
      </w:pPr>
      <w:r>
        <w:rPr/>
      </w:r>
    </w:p>
    <w:p>
      <w:pPr>
        <w:pStyle w:val="Normal"/>
        <w:spacing w:lineRule="atLeast" w:line="228" w:before="0" w:after="240"/>
        <w:jc w:val="left"/>
        <w:rPr>
          <w:sz w:val="4"/>
          <w:szCs w:val="4"/>
        </w:rPr>
      </w:pPr>
      <w:r>
        <w:rPr>
          <w:sz w:val="4"/>
          <w:szCs w:val="4"/>
        </w:rPr>
      </w:r>
      <w:bookmarkStart w:id="38" w:name="z33a38e0fda694e84bc056088206c5fad"/>
      <w:bookmarkStart w:id="39" w:name="z33a38e0fda694e84bc056088206c5fad"/>
      <w:bookmarkEnd w:id="39"/>
    </w:p>
    <w:tbl>
      <w:tblPr>
        <w:tblW w:w="4135" w:type="dxa"/>
        <w:jc w:val="left"/>
        <w:tblInd w:w="0" w:type="dxa"/>
        <w:tblCellMar>
          <w:top w:w="0" w:type="dxa"/>
          <w:left w:w="0" w:type="dxa"/>
          <w:bottom w:w="0" w:type="dxa"/>
          <w:right w:w="0" w:type="dxa"/>
        </w:tblCellMar>
      </w:tblPr>
      <w:tblGrid>
        <w:gridCol w:w="650"/>
        <w:gridCol w:w="3485"/>
      </w:tblGrid>
      <w:tr>
        <w:trPr/>
        <w:tc>
          <w:tcPr>
            <w:tcW w:w="650" w:type="dxa"/>
            <w:tcBorders/>
            <w:shd w:fill="auto" w:val="clear"/>
            <w:vAlign w:val="center"/>
          </w:tcPr>
          <w:p>
            <w:pPr>
              <w:pStyle w:val="TableContents"/>
              <w:spacing w:before="0" w:after="0"/>
              <w:jc w:val="left"/>
              <w:rPr>
                <w:rFonts w:ascii="Times New Roman;Times;serif" w:hAnsi="Times New Roman;Times;serif"/>
                <w:sz w:val="17"/>
              </w:rPr>
            </w:pPr>
            <w:r>
              <w:rPr>
                <w:rFonts w:ascii="Times New Roman;Times;serif" w:hAnsi="Times New Roman;Times;serif"/>
                <w:sz w:val="17"/>
              </w:rPr>
              <w:t>1. Name:</w:t>
            </w:r>
          </w:p>
        </w:tc>
        <w:tc>
          <w:tcPr>
            <w:tcW w:w="3485" w:type="dxa"/>
            <w:tcBorders/>
            <w:shd w:fill="auto" w:val="clear"/>
            <w:vAlign w:val="center"/>
          </w:tcPr>
          <w:p>
            <w:pPr>
              <w:pStyle w:val="TableContents"/>
              <w:spacing w:before="0" w:after="0"/>
              <w:jc w:val="left"/>
              <w:rPr>
                <w:rFonts w:ascii="Times New Roman;Times;serif" w:hAnsi="Times New Roman;Times;serif"/>
                <w:sz w:val="17"/>
              </w:rPr>
            </w:pPr>
            <w:r>
              <w:rPr>
                <w:rFonts w:ascii="Times New Roman;Times;serif" w:hAnsi="Times New Roman;Times;serif"/>
                <w:sz w:val="17"/>
              </w:rPr>
              <w:t>Matthew Lindenbaum</w:t>
            </w:r>
          </w:p>
        </w:tc>
      </w:tr>
      <w:tr>
        <w:trPr/>
        <w:tc>
          <w:tcPr>
            <w:tcW w:w="650" w:type="dxa"/>
            <w:tcBorders/>
            <w:shd w:fill="auto" w:val="clear"/>
            <w:vAlign w:val="center"/>
          </w:tcPr>
          <w:p>
            <w:pPr>
              <w:pStyle w:val="TableContents"/>
              <w:spacing w:before="0" w:after="283"/>
              <w:rPr/>
            </w:pPr>
            <w:r>
              <w:rPr/>
              <w:t> </w:t>
            </w:r>
          </w:p>
        </w:tc>
        <w:tc>
          <w:tcPr>
            <w:tcW w:w="3485" w:type="dxa"/>
            <w:tcBorders/>
            <w:shd w:fill="auto" w:val="clear"/>
            <w:vAlign w:val="center"/>
          </w:tcPr>
          <w:p>
            <w:pPr>
              <w:pStyle w:val="TableContents"/>
              <w:spacing w:before="0" w:after="0"/>
              <w:jc w:val="left"/>
              <w:rPr>
                <w:rFonts w:ascii="Times New Roman;Times;serif" w:hAnsi="Times New Roman;Times;serif"/>
                <w:sz w:val="17"/>
              </w:rPr>
            </w:pPr>
            <w:r>
              <w:rPr>
                <w:rFonts w:ascii="Times New Roman;Times;serif" w:hAnsi="Times New Roman;Times;serif"/>
                <w:sz w:val="17"/>
              </w:rPr>
              <w:t>Address: c/o Basswood Capital Management, LLC</w:t>
            </w:r>
          </w:p>
        </w:tc>
      </w:tr>
      <w:tr>
        <w:trPr/>
        <w:tc>
          <w:tcPr>
            <w:tcW w:w="650" w:type="dxa"/>
            <w:tcBorders/>
            <w:shd w:fill="auto" w:val="clear"/>
            <w:vAlign w:val="center"/>
          </w:tcPr>
          <w:p>
            <w:pPr>
              <w:pStyle w:val="TableContents"/>
              <w:spacing w:before="0" w:after="283"/>
              <w:rPr/>
            </w:pPr>
            <w:r>
              <w:rPr/>
              <w:t> </w:t>
            </w:r>
          </w:p>
        </w:tc>
        <w:tc>
          <w:tcPr>
            <w:tcW w:w="3485" w:type="dxa"/>
            <w:tcBorders/>
            <w:shd w:fill="auto" w:val="clear"/>
            <w:vAlign w:val="center"/>
          </w:tcPr>
          <w:p>
            <w:pPr>
              <w:pStyle w:val="TableContents"/>
              <w:spacing w:lineRule="auto" w:line="240" w:before="0" w:after="0"/>
              <w:jc w:val="left"/>
              <w:rPr>
                <w:rFonts w:ascii="Times New Roman;Times;serif" w:hAnsi="Times New Roman;Times;serif"/>
                <w:sz w:val="17"/>
              </w:rPr>
            </w:pPr>
            <w:r>
              <w:rPr>
                <w:rFonts w:ascii="Times New Roman;Times;serif" w:hAnsi="Times New Roman;Times;serif"/>
                <w:sz w:val="17"/>
              </w:rPr>
              <w:t>645 Madison Avenue, 10th Floor</w:t>
            </w:r>
          </w:p>
        </w:tc>
      </w:tr>
      <w:tr>
        <w:trPr/>
        <w:tc>
          <w:tcPr>
            <w:tcW w:w="650" w:type="dxa"/>
            <w:tcBorders/>
            <w:shd w:fill="auto" w:val="clear"/>
            <w:vAlign w:val="center"/>
          </w:tcPr>
          <w:p>
            <w:pPr>
              <w:pStyle w:val="TableContents"/>
              <w:spacing w:before="0" w:after="283"/>
              <w:rPr/>
            </w:pPr>
            <w:r>
              <w:rPr/>
              <w:t> </w:t>
            </w:r>
          </w:p>
        </w:tc>
        <w:tc>
          <w:tcPr>
            <w:tcW w:w="3485" w:type="dxa"/>
            <w:tcBorders/>
            <w:shd w:fill="auto" w:val="clear"/>
            <w:vAlign w:val="center"/>
          </w:tcPr>
          <w:p>
            <w:pPr>
              <w:pStyle w:val="TableContents"/>
              <w:spacing w:before="0" w:after="0"/>
              <w:jc w:val="left"/>
              <w:rPr>
                <w:rFonts w:ascii="Times New Roman;Times;serif" w:hAnsi="Times New Roman;Times;serif"/>
                <w:sz w:val="17"/>
              </w:rPr>
            </w:pPr>
            <w:r>
              <w:rPr>
                <w:rFonts w:ascii="Times New Roman;Times;serif" w:hAnsi="Times New Roman;Times;serif"/>
                <w:sz w:val="17"/>
              </w:rPr>
              <w:t>New York, NY 10022</w:t>
            </w:r>
          </w:p>
        </w:tc>
      </w:tr>
      <w:tr>
        <w:trPr/>
        <w:tc>
          <w:tcPr>
            <w:tcW w:w="650" w:type="dxa"/>
            <w:tcBorders/>
            <w:shd w:fill="auto" w:val="clear"/>
            <w:vAlign w:val="center"/>
          </w:tcPr>
          <w:p>
            <w:pPr>
              <w:pStyle w:val="TableContents"/>
              <w:spacing w:before="0" w:after="283"/>
              <w:rPr/>
            </w:pPr>
            <w:r>
              <w:rPr/>
              <w:t> </w:t>
            </w:r>
          </w:p>
        </w:tc>
        <w:tc>
          <w:tcPr>
            <w:tcW w:w="3485" w:type="dxa"/>
            <w:tcBorders/>
            <w:shd w:fill="auto" w:val="clear"/>
            <w:vAlign w:val="center"/>
          </w:tcPr>
          <w:p>
            <w:pPr>
              <w:pStyle w:val="TableContents"/>
              <w:spacing w:before="0" w:after="283"/>
              <w:rPr/>
            </w:pPr>
            <w:r>
              <w:rPr/>
              <w:t> </w:t>
            </w:r>
          </w:p>
        </w:tc>
      </w:tr>
      <w:tr>
        <w:trPr/>
        <w:tc>
          <w:tcPr>
            <w:tcW w:w="650" w:type="dxa"/>
            <w:tcBorders/>
            <w:shd w:fill="auto" w:val="clear"/>
            <w:vAlign w:val="center"/>
          </w:tcPr>
          <w:p>
            <w:pPr>
              <w:pStyle w:val="TableContents"/>
              <w:spacing w:before="0" w:after="0"/>
              <w:jc w:val="left"/>
              <w:rPr>
                <w:rFonts w:ascii="Times New Roman;Times;serif" w:hAnsi="Times New Roman;Times;serif"/>
                <w:sz w:val="17"/>
              </w:rPr>
            </w:pPr>
            <w:r>
              <w:rPr>
                <w:rFonts w:ascii="Times New Roman;Times;serif" w:hAnsi="Times New Roman;Times;serif"/>
                <w:sz w:val="17"/>
              </w:rPr>
              <w:t>2. Name:</w:t>
            </w:r>
          </w:p>
        </w:tc>
        <w:tc>
          <w:tcPr>
            <w:tcW w:w="3485" w:type="dxa"/>
            <w:tcBorders/>
            <w:shd w:fill="auto" w:val="clear"/>
            <w:vAlign w:val="center"/>
          </w:tcPr>
          <w:p>
            <w:pPr>
              <w:pStyle w:val="TableContents"/>
              <w:spacing w:before="0" w:after="0"/>
              <w:jc w:val="left"/>
              <w:rPr>
                <w:rFonts w:ascii="Times New Roman;Times;serif" w:hAnsi="Times New Roman;Times;serif"/>
                <w:sz w:val="17"/>
              </w:rPr>
            </w:pPr>
            <w:r>
              <w:rPr>
                <w:rFonts w:ascii="Times New Roman;Times;serif" w:hAnsi="Times New Roman;Times;serif"/>
                <w:sz w:val="17"/>
              </w:rPr>
              <w:t>Bennett Lindenbaum</w:t>
            </w:r>
          </w:p>
        </w:tc>
      </w:tr>
      <w:tr>
        <w:trPr/>
        <w:tc>
          <w:tcPr>
            <w:tcW w:w="650" w:type="dxa"/>
            <w:tcBorders/>
            <w:shd w:fill="auto" w:val="clear"/>
            <w:vAlign w:val="center"/>
          </w:tcPr>
          <w:p>
            <w:pPr>
              <w:pStyle w:val="TableContents"/>
              <w:spacing w:before="0" w:after="283"/>
              <w:rPr/>
            </w:pPr>
            <w:r>
              <w:rPr/>
              <w:t> </w:t>
            </w:r>
          </w:p>
        </w:tc>
        <w:tc>
          <w:tcPr>
            <w:tcW w:w="3485" w:type="dxa"/>
            <w:tcBorders/>
            <w:shd w:fill="auto" w:val="clear"/>
            <w:vAlign w:val="center"/>
          </w:tcPr>
          <w:p>
            <w:pPr>
              <w:pStyle w:val="TableContents"/>
              <w:spacing w:before="0" w:after="0"/>
              <w:jc w:val="left"/>
              <w:rPr>
                <w:rFonts w:ascii="Times New Roman;Times;serif" w:hAnsi="Times New Roman;Times;serif"/>
                <w:sz w:val="17"/>
              </w:rPr>
            </w:pPr>
            <w:r>
              <w:rPr>
                <w:rFonts w:ascii="Times New Roman;Times;serif" w:hAnsi="Times New Roman;Times;serif"/>
                <w:sz w:val="17"/>
              </w:rPr>
              <w:t>Address: c/o Basswood Capital Management, LLC</w:t>
            </w:r>
          </w:p>
        </w:tc>
      </w:tr>
      <w:tr>
        <w:trPr/>
        <w:tc>
          <w:tcPr>
            <w:tcW w:w="650" w:type="dxa"/>
            <w:tcBorders/>
            <w:shd w:fill="auto" w:val="clear"/>
            <w:vAlign w:val="center"/>
          </w:tcPr>
          <w:p>
            <w:pPr>
              <w:pStyle w:val="TableContents"/>
              <w:spacing w:before="0" w:after="283"/>
              <w:rPr/>
            </w:pPr>
            <w:r>
              <w:rPr/>
              <w:t> </w:t>
            </w:r>
          </w:p>
        </w:tc>
        <w:tc>
          <w:tcPr>
            <w:tcW w:w="3485" w:type="dxa"/>
            <w:tcBorders/>
            <w:shd w:fill="auto" w:val="clear"/>
            <w:vAlign w:val="center"/>
          </w:tcPr>
          <w:p>
            <w:pPr>
              <w:pStyle w:val="TableContents"/>
              <w:spacing w:lineRule="auto" w:line="240" w:before="0" w:after="0"/>
              <w:jc w:val="left"/>
              <w:rPr>
                <w:rFonts w:ascii="Times New Roman;Times;serif" w:hAnsi="Times New Roman;Times;serif"/>
                <w:sz w:val="17"/>
              </w:rPr>
            </w:pPr>
            <w:r>
              <w:rPr>
                <w:rFonts w:ascii="Times New Roman;Times;serif" w:hAnsi="Times New Roman;Times;serif"/>
                <w:sz w:val="17"/>
              </w:rPr>
              <w:t>645 Madison Avenue, 10th Floor</w:t>
            </w:r>
          </w:p>
        </w:tc>
      </w:tr>
      <w:tr>
        <w:trPr/>
        <w:tc>
          <w:tcPr>
            <w:tcW w:w="650" w:type="dxa"/>
            <w:tcBorders/>
            <w:shd w:fill="auto" w:val="clear"/>
            <w:vAlign w:val="center"/>
          </w:tcPr>
          <w:p>
            <w:pPr>
              <w:pStyle w:val="TableContents"/>
              <w:spacing w:before="0" w:after="283"/>
              <w:rPr/>
            </w:pPr>
            <w:r>
              <w:rPr/>
              <w:t> </w:t>
            </w:r>
          </w:p>
        </w:tc>
        <w:tc>
          <w:tcPr>
            <w:tcW w:w="3485" w:type="dxa"/>
            <w:tcBorders/>
            <w:shd w:fill="auto" w:val="clear"/>
            <w:vAlign w:val="center"/>
          </w:tcPr>
          <w:p>
            <w:pPr>
              <w:pStyle w:val="TableContents"/>
              <w:spacing w:before="0" w:after="0"/>
              <w:jc w:val="left"/>
              <w:rPr>
                <w:rFonts w:ascii="Times New Roman;Times;serif" w:hAnsi="Times New Roman;Times;serif"/>
                <w:sz w:val="17"/>
              </w:rPr>
            </w:pPr>
            <w:r>
              <w:rPr>
                <w:rFonts w:ascii="Times New Roman;Times;serif" w:hAnsi="Times New Roman;Times;serif"/>
                <w:sz w:val="17"/>
              </w:rPr>
              <w:t>New York, NY 10022</w:t>
            </w:r>
          </w:p>
        </w:tc>
      </w:tr>
      <w:tr>
        <w:trPr/>
        <w:tc>
          <w:tcPr>
            <w:tcW w:w="650" w:type="dxa"/>
            <w:tcBorders/>
            <w:shd w:fill="auto" w:val="clear"/>
            <w:vAlign w:val="center"/>
          </w:tcPr>
          <w:p>
            <w:pPr>
              <w:pStyle w:val="TableContents"/>
              <w:spacing w:before="0" w:after="283"/>
              <w:rPr/>
            </w:pPr>
            <w:r>
              <w:rPr/>
              <w:t> </w:t>
            </w:r>
          </w:p>
        </w:tc>
        <w:tc>
          <w:tcPr>
            <w:tcW w:w="3485" w:type="dxa"/>
            <w:tcBorders/>
            <w:shd w:fill="auto" w:val="clear"/>
            <w:vAlign w:val="center"/>
          </w:tcPr>
          <w:p>
            <w:pPr>
              <w:pStyle w:val="TableContents"/>
              <w:spacing w:before="0" w:after="283"/>
              <w:rPr/>
            </w:pPr>
            <w:r>
              <w:rPr/>
              <w:t> </w:t>
            </w:r>
          </w:p>
        </w:tc>
      </w:tr>
      <w:tr>
        <w:trPr/>
        <w:tc>
          <w:tcPr>
            <w:tcW w:w="650" w:type="dxa"/>
            <w:tcBorders/>
            <w:shd w:fill="auto" w:val="clear"/>
            <w:vAlign w:val="center"/>
          </w:tcPr>
          <w:p>
            <w:pPr>
              <w:pStyle w:val="TableContents"/>
              <w:spacing w:before="0" w:after="0"/>
              <w:jc w:val="left"/>
              <w:rPr>
                <w:rFonts w:ascii="Times New Roman;Times;serif" w:hAnsi="Times New Roman;Times;serif"/>
                <w:sz w:val="17"/>
              </w:rPr>
            </w:pPr>
            <w:r>
              <w:rPr>
                <w:rFonts w:ascii="Times New Roman;Times;serif" w:hAnsi="Times New Roman;Times;serif"/>
                <w:sz w:val="17"/>
              </w:rPr>
              <w:t>3. Name:</w:t>
            </w:r>
          </w:p>
        </w:tc>
        <w:tc>
          <w:tcPr>
            <w:tcW w:w="3485" w:type="dxa"/>
            <w:tcBorders/>
            <w:shd w:fill="auto" w:val="clear"/>
            <w:vAlign w:val="center"/>
          </w:tcPr>
          <w:p>
            <w:pPr>
              <w:pStyle w:val="TableContents"/>
              <w:spacing w:before="0" w:after="0"/>
              <w:jc w:val="left"/>
              <w:rPr>
                <w:rFonts w:ascii="Times New Roman;Times;serif" w:hAnsi="Times New Roman;Times;serif"/>
                <w:sz w:val="17"/>
              </w:rPr>
            </w:pPr>
            <w:r>
              <w:rPr>
                <w:rFonts w:ascii="Times New Roman;Times;serif" w:hAnsi="Times New Roman;Times;serif"/>
                <w:sz w:val="17"/>
              </w:rPr>
              <w:t>Basswood Capital Management, L.L.C.</w:t>
            </w:r>
          </w:p>
        </w:tc>
      </w:tr>
      <w:tr>
        <w:trPr/>
        <w:tc>
          <w:tcPr>
            <w:tcW w:w="650" w:type="dxa"/>
            <w:tcBorders/>
            <w:shd w:fill="auto" w:val="clear"/>
            <w:vAlign w:val="center"/>
          </w:tcPr>
          <w:p>
            <w:pPr>
              <w:pStyle w:val="TableContents"/>
              <w:spacing w:before="0" w:after="283"/>
              <w:rPr/>
            </w:pPr>
            <w:r>
              <w:rPr/>
              <w:t> </w:t>
            </w:r>
          </w:p>
        </w:tc>
        <w:tc>
          <w:tcPr>
            <w:tcW w:w="3485" w:type="dxa"/>
            <w:tcBorders/>
            <w:shd w:fill="auto" w:val="clear"/>
            <w:vAlign w:val="center"/>
          </w:tcPr>
          <w:p>
            <w:pPr>
              <w:pStyle w:val="TableContents"/>
              <w:spacing w:before="0" w:after="0"/>
              <w:jc w:val="left"/>
              <w:rPr>
                <w:rFonts w:ascii="Times New Roman;Times;serif" w:hAnsi="Times New Roman;Times;serif"/>
                <w:sz w:val="17"/>
              </w:rPr>
            </w:pPr>
            <w:r>
              <w:rPr>
                <w:rFonts w:ascii="Times New Roman;Times;serif" w:hAnsi="Times New Roman;Times;serif"/>
                <w:sz w:val="17"/>
              </w:rPr>
              <w:t>Address: c/o Basswood Capital Management, LLC</w:t>
            </w:r>
          </w:p>
        </w:tc>
      </w:tr>
      <w:tr>
        <w:trPr/>
        <w:tc>
          <w:tcPr>
            <w:tcW w:w="650" w:type="dxa"/>
            <w:tcBorders/>
            <w:shd w:fill="auto" w:val="clear"/>
            <w:vAlign w:val="center"/>
          </w:tcPr>
          <w:p>
            <w:pPr>
              <w:pStyle w:val="TableContents"/>
              <w:spacing w:before="0" w:after="283"/>
              <w:rPr/>
            </w:pPr>
            <w:r>
              <w:rPr/>
              <w:t> </w:t>
            </w:r>
          </w:p>
        </w:tc>
        <w:tc>
          <w:tcPr>
            <w:tcW w:w="3485" w:type="dxa"/>
            <w:tcBorders/>
            <w:shd w:fill="auto" w:val="clear"/>
            <w:vAlign w:val="center"/>
          </w:tcPr>
          <w:p>
            <w:pPr>
              <w:pStyle w:val="TableContents"/>
              <w:spacing w:lineRule="auto" w:line="240" w:before="0" w:after="0"/>
              <w:jc w:val="left"/>
              <w:rPr>
                <w:rFonts w:ascii="Times New Roman;Times;serif" w:hAnsi="Times New Roman;Times;serif"/>
                <w:sz w:val="17"/>
              </w:rPr>
            </w:pPr>
            <w:r>
              <w:rPr>
                <w:rFonts w:ascii="Times New Roman;Times;serif" w:hAnsi="Times New Roman;Times;serif"/>
                <w:sz w:val="17"/>
              </w:rPr>
              <w:t>645 Madison Avenue, 10th Floor</w:t>
            </w:r>
          </w:p>
        </w:tc>
      </w:tr>
      <w:tr>
        <w:trPr/>
        <w:tc>
          <w:tcPr>
            <w:tcW w:w="650" w:type="dxa"/>
            <w:tcBorders/>
            <w:shd w:fill="auto" w:val="clear"/>
            <w:vAlign w:val="center"/>
          </w:tcPr>
          <w:p>
            <w:pPr>
              <w:pStyle w:val="TableContents"/>
              <w:spacing w:before="0" w:after="283"/>
              <w:rPr/>
            </w:pPr>
            <w:r>
              <w:rPr/>
              <w:t> </w:t>
            </w:r>
          </w:p>
        </w:tc>
        <w:tc>
          <w:tcPr>
            <w:tcW w:w="3485" w:type="dxa"/>
            <w:tcBorders/>
            <w:shd w:fill="auto" w:val="clear"/>
            <w:vAlign w:val="center"/>
          </w:tcPr>
          <w:p>
            <w:pPr>
              <w:pStyle w:val="TableContents"/>
              <w:spacing w:before="0" w:after="0"/>
              <w:jc w:val="left"/>
              <w:rPr>
                <w:rFonts w:ascii="Times New Roman;Times;serif" w:hAnsi="Times New Roman;Times;serif"/>
                <w:sz w:val="17"/>
              </w:rPr>
            </w:pPr>
            <w:r>
              <w:rPr>
                <w:rFonts w:ascii="Times New Roman;Times;serif" w:hAnsi="Times New Roman;Times;serif"/>
                <w:sz w:val="17"/>
              </w:rPr>
              <w:t>New York, NY 10022</w:t>
            </w:r>
          </w:p>
        </w:tc>
      </w:tr>
      <w:tr>
        <w:trPr/>
        <w:tc>
          <w:tcPr>
            <w:tcW w:w="650" w:type="dxa"/>
            <w:tcBorders/>
            <w:shd w:fill="auto" w:val="clear"/>
            <w:vAlign w:val="center"/>
          </w:tcPr>
          <w:p>
            <w:pPr>
              <w:pStyle w:val="TableContents"/>
              <w:spacing w:before="0" w:after="283"/>
              <w:rPr/>
            </w:pPr>
            <w:r>
              <w:rPr/>
              <w:t> </w:t>
            </w:r>
          </w:p>
        </w:tc>
        <w:tc>
          <w:tcPr>
            <w:tcW w:w="3485" w:type="dxa"/>
            <w:tcBorders/>
            <w:shd w:fill="auto" w:val="clear"/>
            <w:vAlign w:val="center"/>
          </w:tcPr>
          <w:p>
            <w:pPr>
              <w:pStyle w:val="TableContents"/>
              <w:spacing w:before="0" w:after="283"/>
              <w:rPr/>
            </w:pPr>
            <w:r>
              <w:rPr/>
              <w:t> </w:t>
            </w:r>
          </w:p>
        </w:tc>
      </w:tr>
      <w:tr>
        <w:trPr/>
        <w:tc>
          <w:tcPr>
            <w:tcW w:w="650" w:type="dxa"/>
            <w:tcBorders/>
            <w:shd w:fill="auto" w:val="clear"/>
            <w:vAlign w:val="center"/>
          </w:tcPr>
          <w:p>
            <w:pPr>
              <w:pStyle w:val="TableContents"/>
              <w:spacing w:before="0" w:after="0"/>
              <w:jc w:val="left"/>
              <w:rPr>
                <w:rFonts w:ascii="Times New Roman;Times;serif" w:hAnsi="Times New Roman;Times;serif"/>
                <w:sz w:val="17"/>
              </w:rPr>
            </w:pPr>
            <w:r>
              <w:rPr>
                <w:rFonts w:ascii="Times New Roman;Times;serif" w:hAnsi="Times New Roman;Times;serif"/>
                <w:sz w:val="17"/>
              </w:rPr>
              <w:t>4. Name:</w:t>
            </w:r>
          </w:p>
        </w:tc>
        <w:tc>
          <w:tcPr>
            <w:tcW w:w="3485" w:type="dxa"/>
            <w:tcBorders/>
            <w:shd w:fill="auto" w:val="clear"/>
            <w:vAlign w:val="center"/>
          </w:tcPr>
          <w:p>
            <w:pPr>
              <w:pStyle w:val="TableContents"/>
              <w:spacing w:before="0" w:after="0"/>
              <w:jc w:val="left"/>
              <w:rPr>
                <w:rFonts w:ascii="Times New Roman;Times;serif" w:hAnsi="Times New Roman;Times;serif"/>
                <w:sz w:val="17"/>
              </w:rPr>
            </w:pPr>
            <w:r>
              <w:rPr>
                <w:rFonts w:ascii="Times New Roman;Times;serif" w:hAnsi="Times New Roman;Times;serif"/>
                <w:sz w:val="17"/>
              </w:rPr>
              <w:t>Basswood Financial Fund, Inc.</w:t>
            </w:r>
          </w:p>
        </w:tc>
      </w:tr>
      <w:tr>
        <w:trPr/>
        <w:tc>
          <w:tcPr>
            <w:tcW w:w="650" w:type="dxa"/>
            <w:tcBorders/>
            <w:shd w:fill="auto" w:val="clear"/>
            <w:vAlign w:val="center"/>
          </w:tcPr>
          <w:p>
            <w:pPr>
              <w:pStyle w:val="TableContents"/>
              <w:spacing w:before="0" w:after="283"/>
              <w:rPr/>
            </w:pPr>
            <w:r>
              <w:rPr/>
              <w:t> </w:t>
            </w:r>
          </w:p>
        </w:tc>
        <w:tc>
          <w:tcPr>
            <w:tcW w:w="3485" w:type="dxa"/>
            <w:tcBorders/>
            <w:shd w:fill="auto" w:val="clear"/>
            <w:vAlign w:val="center"/>
          </w:tcPr>
          <w:p>
            <w:pPr>
              <w:pStyle w:val="TableContents"/>
              <w:spacing w:before="0" w:after="0"/>
              <w:jc w:val="left"/>
              <w:rPr>
                <w:rFonts w:ascii="Times New Roman;Times;serif" w:hAnsi="Times New Roman;Times;serif"/>
                <w:sz w:val="17"/>
              </w:rPr>
            </w:pPr>
            <w:r>
              <w:rPr>
                <w:rFonts w:ascii="Times New Roman;Times;serif" w:hAnsi="Times New Roman;Times;serif"/>
                <w:sz w:val="17"/>
              </w:rPr>
              <w:t>Address: c/o Basswood Capital Management, LLC</w:t>
            </w:r>
          </w:p>
        </w:tc>
      </w:tr>
      <w:tr>
        <w:trPr/>
        <w:tc>
          <w:tcPr>
            <w:tcW w:w="650" w:type="dxa"/>
            <w:tcBorders/>
            <w:shd w:fill="auto" w:val="clear"/>
            <w:vAlign w:val="center"/>
          </w:tcPr>
          <w:p>
            <w:pPr>
              <w:pStyle w:val="TableContents"/>
              <w:spacing w:before="0" w:after="283"/>
              <w:rPr/>
            </w:pPr>
            <w:r>
              <w:rPr/>
              <w:t> </w:t>
            </w:r>
          </w:p>
        </w:tc>
        <w:tc>
          <w:tcPr>
            <w:tcW w:w="3485" w:type="dxa"/>
            <w:tcBorders/>
            <w:shd w:fill="auto" w:val="clear"/>
            <w:vAlign w:val="center"/>
          </w:tcPr>
          <w:p>
            <w:pPr>
              <w:pStyle w:val="TableContents"/>
              <w:spacing w:lineRule="auto" w:line="240" w:before="0" w:after="0"/>
              <w:jc w:val="left"/>
              <w:rPr>
                <w:rFonts w:ascii="Times New Roman;Times;serif" w:hAnsi="Times New Roman;Times;serif"/>
                <w:sz w:val="17"/>
              </w:rPr>
            </w:pPr>
            <w:r>
              <w:rPr>
                <w:rFonts w:ascii="Times New Roman;Times;serif" w:hAnsi="Times New Roman;Times;serif"/>
                <w:sz w:val="17"/>
              </w:rPr>
              <w:t>645 Madison Avenue, 10th Floor</w:t>
            </w:r>
          </w:p>
        </w:tc>
      </w:tr>
      <w:tr>
        <w:trPr/>
        <w:tc>
          <w:tcPr>
            <w:tcW w:w="650" w:type="dxa"/>
            <w:tcBorders/>
            <w:shd w:fill="auto" w:val="clear"/>
            <w:vAlign w:val="center"/>
          </w:tcPr>
          <w:p>
            <w:pPr>
              <w:pStyle w:val="TableContents"/>
              <w:spacing w:before="0" w:after="283"/>
              <w:rPr/>
            </w:pPr>
            <w:r>
              <w:rPr/>
              <w:t> </w:t>
            </w:r>
          </w:p>
        </w:tc>
        <w:tc>
          <w:tcPr>
            <w:tcW w:w="3485" w:type="dxa"/>
            <w:tcBorders/>
            <w:shd w:fill="auto" w:val="clear"/>
            <w:vAlign w:val="center"/>
          </w:tcPr>
          <w:p>
            <w:pPr>
              <w:pStyle w:val="TableContents"/>
              <w:spacing w:before="0" w:after="0"/>
              <w:jc w:val="left"/>
              <w:rPr>
                <w:rFonts w:ascii="Times New Roman;Times;serif" w:hAnsi="Times New Roman;Times;serif"/>
                <w:sz w:val="17"/>
              </w:rPr>
            </w:pPr>
            <w:r>
              <w:rPr>
                <w:rFonts w:ascii="Times New Roman;Times;serif" w:hAnsi="Times New Roman;Times;serif"/>
                <w:sz w:val="17"/>
              </w:rPr>
              <w:t>New York, NY 10022</w:t>
            </w:r>
          </w:p>
        </w:tc>
      </w:tr>
      <w:tr>
        <w:trPr/>
        <w:tc>
          <w:tcPr>
            <w:tcW w:w="650" w:type="dxa"/>
            <w:tcBorders/>
            <w:shd w:fill="auto" w:val="clear"/>
            <w:vAlign w:val="center"/>
          </w:tcPr>
          <w:p>
            <w:pPr>
              <w:pStyle w:val="TableContents"/>
              <w:spacing w:before="0" w:after="283"/>
              <w:rPr/>
            </w:pPr>
            <w:r>
              <w:rPr/>
              <w:t> </w:t>
            </w:r>
          </w:p>
        </w:tc>
        <w:tc>
          <w:tcPr>
            <w:tcW w:w="3485" w:type="dxa"/>
            <w:tcBorders/>
            <w:shd w:fill="auto" w:val="clear"/>
            <w:vAlign w:val="center"/>
          </w:tcPr>
          <w:p>
            <w:pPr>
              <w:pStyle w:val="TableContents"/>
              <w:spacing w:before="0" w:after="283"/>
              <w:rPr/>
            </w:pPr>
            <w:r>
              <w:rPr/>
              <w:t> </w:t>
            </w:r>
          </w:p>
        </w:tc>
      </w:tr>
      <w:tr>
        <w:trPr/>
        <w:tc>
          <w:tcPr>
            <w:tcW w:w="650" w:type="dxa"/>
            <w:tcBorders/>
            <w:shd w:fill="auto" w:val="clear"/>
            <w:vAlign w:val="center"/>
          </w:tcPr>
          <w:p>
            <w:pPr>
              <w:pStyle w:val="TableContents"/>
              <w:spacing w:before="0" w:after="283"/>
              <w:rPr/>
            </w:pPr>
            <w:r>
              <w:rPr/>
            </w:r>
          </w:p>
        </w:tc>
        <w:tc>
          <w:tcPr>
            <w:tcW w:w="3485" w:type="dxa"/>
            <w:tcBorders/>
            <w:shd w:fill="auto" w:val="clear"/>
            <w:vAlign w:val="center"/>
          </w:tcPr>
          <w:p>
            <w:pPr>
              <w:pStyle w:val="TableContents"/>
              <w:spacing w:before="0" w:after="283"/>
              <w:rPr/>
            </w:pPr>
            <w:r>
              <w:rPr/>
            </w:r>
          </w:p>
        </w:tc>
      </w:tr>
      <w:tr>
        <w:trPr/>
        <w:tc>
          <w:tcPr>
            <w:tcW w:w="650" w:type="dxa"/>
            <w:tcBorders/>
            <w:shd w:fill="auto" w:val="clear"/>
            <w:vAlign w:val="center"/>
          </w:tcPr>
          <w:p>
            <w:pPr>
              <w:pStyle w:val="TableContents"/>
              <w:spacing w:before="0" w:after="283"/>
              <w:rPr/>
            </w:pPr>
            <w:r>
              <w:rPr/>
              <w:t> </w:t>
            </w:r>
          </w:p>
        </w:tc>
        <w:tc>
          <w:tcPr>
            <w:tcW w:w="3485" w:type="dxa"/>
            <w:tcBorders/>
            <w:shd w:fill="auto" w:val="clear"/>
            <w:vAlign w:val="center"/>
          </w:tcPr>
          <w:p>
            <w:pPr>
              <w:pStyle w:val="TableContents"/>
              <w:spacing w:before="0" w:after="283"/>
              <w:rPr/>
            </w:pPr>
            <w:r>
              <w:rPr/>
            </w:r>
          </w:p>
        </w:tc>
      </w:tr>
      <w:tr>
        <w:trPr/>
        <w:tc>
          <w:tcPr>
            <w:tcW w:w="650" w:type="dxa"/>
            <w:tcBorders/>
            <w:shd w:fill="auto" w:val="clear"/>
            <w:vAlign w:val="center"/>
          </w:tcPr>
          <w:p>
            <w:pPr>
              <w:pStyle w:val="TableContents"/>
              <w:spacing w:before="0" w:after="283"/>
              <w:rPr/>
            </w:pPr>
            <w:r>
              <w:rPr/>
              <w:t> </w:t>
            </w:r>
          </w:p>
        </w:tc>
        <w:tc>
          <w:tcPr>
            <w:tcW w:w="3485" w:type="dxa"/>
            <w:tcBorders/>
            <w:shd w:fill="auto" w:val="clear"/>
            <w:vAlign w:val="center"/>
          </w:tcPr>
          <w:p>
            <w:pPr>
              <w:pStyle w:val="TableContents"/>
              <w:spacing w:before="0" w:after="283"/>
              <w:rPr/>
            </w:pPr>
            <w:r>
              <w:rPr/>
            </w:r>
          </w:p>
        </w:tc>
      </w:tr>
      <w:tr>
        <w:trPr/>
        <w:tc>
          <w:tcPr>
            <w:tcW w:w="650" w:type="dxa"/>
            <w:tcBorders/>
            <w:shd w:fill="auto" w:val="clear"/>
            <w:vAlign w:val="center"/>
          </w:tcPr>
          <w:p>
            <w:pPr>
              <w:pStyle w:val="TableContents"/>
              <w:spacing w:before="0" w:after="283"/>
              <w:rPr/>
            </w:pPr>
            <w:r>
              <w:rPr/>
              <w:t> </w:t>
            </w:r>
          </w:p>
        </w:tc>
        <w:tc>
          <w:tcPr>
            <w:tcW w:w="3485" w:type="dxa"/>
            <w:tcBorders/>
            <w:shd w:fill="auto" w:val="clear"/>
            <w:vAlign w:val="center"/>
          </w:tcPr>
          <w:p>
            <w:pPr>
              <w:pStyle w:val="TableContents"/>
              <w:spacing w:before="0" w:after="283"/>
              <w:rPr/>
            </w:pPr>
            <w:r>
              <w:rPr/>
            </w:r>
          </w:p>
        </w:tc>
      </w:tr>
      <w:tr>
        <w:trPr/>
        <w:tc>
          <w:tcPr>
            <w:tcW w:w="650" w:type="dxa"/>
            <w:tcBorders/>
            <w:shd w:fill="auto" w:val="clear"/>
            <w:vAlign w:val="center"/>
          </w:tcPr>
          <w:p>
            <w:pPr>
              <w:pStyle w:val="TableContents"/>
              <w:spacing w:before="0" w:after="283"/>
              <w:rPr/>
            </w:pPr>
            <w:r>
              <w:rPr/>
              <w:t> </w:t>
            </w:r>
          </w:p>
        </w:tc>
        <w:tc>
          <w:tcPr>
            <w:tcW w:w="3485" w:type="dxa"/>
            <w:tcBorders/>
            <w:shd w:fill="auto" w:val="clear"/>
            <w:vAlign w:val="center"/>
          </w:tcPr>
          <w:p>
            <w:pPr>
              <w:pStyle w:val="TableContents"/>
              <w:spacing w:before="0" w:after="283"/>
              <w:rPr/>
            </w:pPr>
            <w:r>
              <w:rPr/>
            </w:r>
          </w:p>
        </w:tc>
      </w:tr>
      <w:tr>
        <w:trPr/>
        <w:tc>
          <w:tcPr>
            <w:tcW w:w="650" w:type="dxa"/>
            <w:tcBorders/>
            <w:shd w:fill="auto" w:val="clear"/>
            <w:vAlign w:val="center"/>
          </w:tcPr>
          <w:p>
            <w:pPr>
              <w:pStyle w:val="TableContents"/>
              <w:spacing w:before="0" w:after="283"/>
              <w:rPr/>
            </w:pPr>
            <w:r>
              <w:rPr/>
            </w:r>
          </w:p>
        </w:tc>
        <w:tc>
          <w:tcPr>
            <w:tcW w:w="3485" w:type="dxa"/>
            <w:tcBorders/>
            <w:shd w:fill="auto" w:val="clear"/>
            <w:vAlign w:val="center"/>
          </w:tcPr>
          <w:p>
            <w:pPr>
              <w:pStyle w:val="TableContents"/>
              <w:spacing w:before="0" w:after="283"/>
              <w:rPr/>
            </w:pPr>
            <w:r>
              <w:rPr/>
            </w:r>
          </w:p>
        </w:tc>
      </w:tr>
      <w:tr>
        <w:trPr/>
        <w:tc>
          <w:tcPr>
            <w:tcW w:w="650" w:type="dxa"/>
            <w:tcBorders/>
            <w:shd w:fill="auto" w:val="clear"/>
            <w:vAlign w:val="center"/>
          </w:tcPr>
          <w:p>
            <w:pPr>
              <w:pStyle w:val="TableContents"/>
              <w:spacing w:before="0" w:after="283"/>
              <w:rPr/>
            </w:pPr>
            <w:r>
              <w:rPr/>
              <w:t> </w:t>
            </w:r>
          </w:p>
        </w:tc>
        <w:tc>
          <w:tcPr>
            <w:tcW w:w="3485" w:type="dxa"/>
            <w:tcBorders/>
            <w:shd w:fill="auto" w:val="clear"/>
            <w:vAlign w:val="center"/>
          </w:tcPr>
          <w:p>
            <w:pPr>
              <w:pStyle w:val="TableContents"/>
              <w:spacing w:before="0" w:after="283"/>
              <w:rPr/>
            </w:pPr>
            <w:r>
              <w:rPr/>
            </w:r>
          </w:p>
        </w:tc>
      </w:tr>
      <w:tr>
        <w:trPr/>
        <w:tc>
          <w:tcPr>
            <w:tcW w:w="650" w:type="dxa"/>
            <w:tcBorders/>
            <w:shd w:fill="auto" w:val="clear"/>
            <w:vAlign w:val="center"/>
          </w:tcPr>
          <w:p>
            <w:pPr>
              <w:pStyle w:val="TableContents"/>
              <w:spacing w:before="0" w:after="283"/>
              <w:rPr/>
            </w:pPr>
            <w:r>
              <w:rPr/>
              <w:t> </w:t>
            </w:r>
          </w:p>
        </w:tc>
        <w:tc>
          <w:tcPr>
            <w:tcW w:w="3485" w:type="dxa"/>
            <w:tcBorders/>
            <w:shd w:fill="auto" w:val="clear"/>
            <w:vAlign w:val="center"/>
          </w:tcPr>
          <w:p>
            <w:pPr>
              <w:pStyle w:val="TableContents"/>
              <w:spacing w:before="0" w:after="283"/>
              <w:rPr/>
            </w:pPr>
            <w:r>
              <w:rPr/>
            </w:r>
          </w:p>
        </w:tc>
      </w:tr>
      <w:tr>
        <w:trPr/>
        <w:tc>
          <w:tcPr>
            <w:tcW w:w="650" w:type="dxa"/>
            <w:tcBorders/>
            <w:shd w:fill="auto" w:val="clear"/>
            <w:vAlign w:val="center"/>
          </w:tcPr>
          <w:p>
            <w:pPr>
              <w:pStyle w:val="TableContents"/>
              <w:spacing w:before="0" w:after="283"/>
              <w:rPr/>
            </w:pPr>
            <w:r>
              <w:rPr/>
              <w:t> </w:t>
            </w:r>
          </w:p>
        </w:tc>
        <w:tc>
          <w:tcPr>
            <w:tcW w:w="3485" w:type="dxa"/>
            <w:tcBorders/>
            <w:shd w:fill="auto" w:val="clear"/>
            <w:vAlign w:val="center"/>
          </w:tcPr>
          <w:p>
            <w:pPr>
              <w:pStyle w:val="TableContents"/>
              <w:spacing w:before="0" w:after="283"/>
              <w:rPr/>
            </w:pPr>
            <w:r>
              <w:rPr/>
            </w:r>
          </w:p>
        </w:tc>
      </w:tr>
      <w:tr>
        <w:trPr/>
        <w:tc>
          <w:tcPr>
            <w:tcW w:w="650" w:type="dxa"/>
            <w:tcBorders/>
            <w:shd w:fill="auto" w:val="clear"/>
            <w:vAlign w:val="center"/>
          </w:tcPr>
          <w:p>
            <w:pPr>
              <w:pStyle w:val="TableContents"/>
              <w:spacing w:before="0" w:after="283"/>
              <w:rPr/>
            </w:pPr>
            <w:r>
              <w:rPr/>
              <w:t> </w:t>
            </w:r>
          </w:p>
        </w:tc>
        <w:tc>
          <w:tcPr>
            <w:tcW w:w="3485" w:type="dxa"/>
            <w:tcBorders/>
            <w:shd w:fill="auto" w:val="clear"/>
            <w:vAlign w:val="center"/>
          </w:tcPr>
          <w:p>
            <w:pPr>
              <w:pStyle w:val="TableContents"/>
              <w:spacing w:before="0" w:after="283"/>
              <w:rPr/>
            </w:pPr>
            <w:r>
              <w:rPr/>
              <w:t> </w:t>
            </w:r>
          </w:p>
        </w:tc>
      </w:tr>
      <w:tr>
        <w:trPr/>
        <w:tc>
          <w:tcPr>
            <w:tcW w:w="650" w:type="dxa"/>
            <w:tcBorders/>
            <w:shd w:fill="auto" w:val="clear"/>
            <w:vAlign w:val="center"/>
          </w:tcPr>
          <w:p>
            <w:pPr>
              <w:pStyle w:val="TableContents"/>
              <w:spacing w:before="0" w:after="283"/>
              <w:rPr/>
            </w:pPr>
            <w:r>
              <w:rPr/>
              <w:t> </w:t>
            </w:r>
          </w:p>
        </w:tc>
        <w:tc>
          <w:tcPr>
            <w:tcW w:w="3485" w:type="dxa"/>
            <w:tcBorders/>
            <w:shd w:fill="auto" w:val="clear"/>
            <w:vAlign w:val="center"/>
          </w:tcPr>
          <w:p>
            <w:pPr>
              <w:pStyle w:val="TableContents"/>
              <w:spacing w:before="0" w:after="283"/>
              <w:rPr/>
            </w:pPr>
            <w:r>
              <w:rPr/>
              <w:t> </w:t>
            </w:r>
          </w:p>
        </w:tc>
      </w:tr>
    </w:tbl>
    <w:p>
      <w:pPr>
        <w:pStyle w:val="TextBody"/>
        <w:spacing w:lineRule="atLeast" w:line="228" w:before="0" w:after="240"/>
        <w:jc w:val="left"/>
        <w:rPr/>
      </w:pPr>
      <w:r>
        <w:rPr/>
      </w:r>
    </w:p>
    <w:p>
      <w:pPr>
        <w:pStyle w:val="TextBody"/>
        <w:spacing w:lineRule="atLeast" w:line="228" w:before="0" w:after="240"/>
        <w:jc w:val="left"/>
        <w:rPr/>
      </w:pPr>
      <w:r>
        <w:rPr/>
      </w:r>
    </w:p>
    <w:p>
      <w:pPr>
        <w:pStyle w:val="TextBody"/>
        <w:spacing w:lineRule="atLeast" w:line="228" w:before="0" w:after="240"/>
        <w:jc w:val="left"/>
        <w:rPr/>
      </w:pPr>
      <w:r>
        <w:rPr/>
      </w:r>
    </w:p>
    <w:p>
      <w:pPr>
        <w:pStyle w:val="TextBody"/>
        <w:spacing w:lineRule="atLeast" w:line="228" w:before="0" w:after="240"/>
        <w:jc w:val="left"/>
        <w:rPr/>
      </w:pPr>
      <w:r>
        <w:rPr/>
      </w:r>
    </w:p>
    <w:p>
      <w:pPr>
        <w:pStyle w:val="TextBody"/>
        <w:spacing w:lineRule="atLeast" w:line="228" w:before="0" w:after="240"/>
        <w:jc w:val="left"/>
        <w:rPr/>
      </w:pPr>
      <w:r>
        <w:rPr/>
      </w:r>
    </w:p>
    <w:p>
      <w:pPr>
        <w:pStyle w:val="TextBody"/>
        <w:spacing w:lineRule="atLeast" w:line="228" w:before="0" w:after="240"/>
        <w:jc w:val="left"/>
        <w:rPr/>
      </w:pPr>
      <w:r>
        <w:rPr/>
      </w:r>
    </w:p>
    <w:p>
      <w:pPr>
        <w:pStyle w:val="TextBody"/>
        <w:spacing w:lineRule="atLeast" w:line="228" w:before="0" w:after="240"/>
        <w:jc w:val="center"/>
        <w:rPr>
          <w:rFonts w:ascii="Times New Roman;Times;serif" w:hAnsi="Times New Roman;Times;serif"/>
          <w:b/>
          <w:sz w:val="24"/>
        </w:rPr>
      </w:pPr>
      <w:r>
        <w:rPr>
          <w:rFonts w:ascii="Times New Roman;Times;serif" w:hAnsi="Times New Roman;Times;serif"/>
          <w:b/>
          <w:sz w:val="24"/>
        </w:rPr>
      </w:r>
    </w:p>
    <w:p>
      <w:pPr>
        <w:pStyle w:val="TextBody"/>
        <w:rPr/>
      </w:pPr>
      <w:r>
        <w:rPr/>
      </w:r>
      <w:r>
        <w:br w:type="page"/>
      </w:r>
    </w:p>
    <w:p>
      <w:pPr>
        <w:pStyle w:val="Normal"/>
        <w:spacing w:before="0" w:after="0"/>
        <w:rPr>
          <w:sz w:val="4"/>
          <w:szCs w:val="4"/>
        </w:rPr>
      </w:pPr>
      <w:r>
        <w:rPr>
          <w:sz w:val="4"/>
          <w:szCs w:val="4"/>
        </w:rPr>
      </w:r>
      <w:bookmarkStart w:id="40" w:name="z097ef92f6a25415d850a1ad8c574e3682"/>
      <w:bookmarkStart w:id="41" w:name="b29360056c.htm"/>
      <w:bookmarkStart w:id="42" w:name="ksb29360056c"/>
      <w:bookmarkStart w:id="43" w:name="z097ef92f6a25415d850a1ad8c574e3682"/>
      <w:bookmarkStart w:id="44" w:name="b29360056c.htm"/>
      <w:bookmarkStart w:id="45" w:name="ksb29360056c"/>
      <w:bookmarkEnd w:id="43"/>
      <w:bookmarkEnd w:id="44"/>
      <w:bookmarkEnd w:id="45"/>
    </w:p>
    <w:tbl>
      <w:tblPr>
        <w:tblW w:w="5260" w:type="dxa"/>
        <w:jc w:val="left"/>
        <w:tblInd w:w="0" w:type="dxa"/>
        <w:tblCellMar>
          <w:top w:w="0" w:type="dxa"/>
          <w:left w:w="0" w:type="dxa"/>
          <w:bottom w:w="0" w:type="dxa"/>
          <w:right w:w="0" w:type="dxa"/>
        </w:tblCellMar>
      </w:tblPr>
      <w:tblGrid>
        <w:gridCol w:w="2480"/>
        <w:gridCol w:w="2780"/>
      </w:tblGrid>
      <w:tr>
        <w:trPr/>
        <w:tc>
          <w:tcPr>
            <w:tcW w:w="2480" w:type="dxa"/>
            <w:tcBorders/>
            <w:shd w:fill="auto" w:val="clear"/>
            <w:vAlign w:val="center"/>
          </w:tcPr>
          <w:p>
            <w:pPr>
              <w:pStyle w:val="TableContents"/>
              <w:spacing w:before="0" w:after="283"/>
              <w:rPr>
                <w:sz w:val="17"/>
              </w:rPr>
            </w:pPr>
            <w:r>
              <w:rPr>
                <w:sz w:val="17"/>
              </w:rPr>
              <w:t>Designated Filer:</w:t>
            </w:r>
          </w:p>
        </w:tc>
        <w:tc>
          <w:tcPr>
            <w:tcW w:w="2780" w:type="dxa"/>
            <w:tcBorders/>
            <w:shd w:fill="auto" w:val="clear"/>
            <w:vAlign w:val="center"/>
          </w:tcPr>
          <w:p>
            <w:pPr>
              <w:pStyle w:val="TableContents"/>
              <w:spacing w:before="0" w:after="283"/>
              <w:rPr/>
            </w:pPr>
            <w:r>
              <w:rPr>
                <w:rFonts w:ascii="Times New Roman;Times;serif" w:hAnsi="Times New Roman;Times;serif"/>
                <w:sz w:val="17"/>
              </w:rPr>
              <w:t>Basswood Capital Management, L.L.C.</w:t>
            </w:r>
            <w:r>
              <w:rPr/>
              <w:t xml:space="preserve"> </w:t>
            </w:r>
          </w:p>
        </w:tc>
      </w:tr>
      <w:tr>
        <w:trPr/>
        <w:tc>
          <w:tcPr>
            <w:tcW w:w="2480" w:type="dxa"/>
            <w:tcBorders/>
            <w:shd w:fill="auto" w:val="clear"/>
            <w:vAlign w:val="center"/>
          </w:tcPr>
          <w:p>
            <w:pPr>
              <w:pStyle w:val="TableContents"/>
              <w:spacing w:before="0" w:after="283"/>
              <w:rPr/>
            </w:pPr>
            <w:r>
              <w:rPr>
                <w:rFonts w:ascii="Times New Roman;Times;serif" w:hAnsi="Times New Roman;Times;serif"/>
                <w:sz w:val="17"/>
              </w:rPr>
              <w:t>Issuer &amp; Ticker Symbol:</w:t>
            </w:r>
            <w:r>
              <w:rPr/>
              <w:t xml:space="preserve"> </w:t>
            </w:r>
          </w:p>
        </w:tc>
        <w:tc>
          <w:tcPr>
            <w:tcW w:w="2780" w:type="dxa"/>
            <w:tcBorders/>
            <w:shd w:fill="auto" w:val="clear"/>
            <w:vAlign w:val="center"/>
          </w:tcPr>
          <w:p>
            <w:pPr>
              <w:pStyle w:val="TableContents"/>
              <w:spacing w:before="0" w:after="283"/>
              <w:rPr/>
            </w:pPr>
            <w:r>
              <w:rPr>
                <w:rFonts w:ascii="Times New Roman;Times;serif" w:hAnsi="Times New Roman;Times;serif"/>
                <w:sz w:val="17"/>
              </w:rPr>
              <w:t>Bridge Bancorp, Inc. [BDGE]</w:t>
            </w:r>
            <w:r>
              <w:rPr/>
              <w:t xml:space="preserve"> </w:t>
            </w:r>
          </w:p>
        </w:tc>
      </w:tr>
      <w:tr>
        <w:trPr/>
        <w:tc>
          <w:tcPr>
            <w:tcW w:w="2480" w:type="dxa"/>
            <w:tcBorders/>
            <w:shd w:fill="auto" w:val="clear"/>
            <w:vAlign w:val="center"/>
          </w:tcPr>
          <w:p>
            <w:pPr>
              <w:pStyle w:val="TableContents"/>
              <w:spacing w:lineRule="atLeast" w:line="228" w:before="0" w:after="0"/>
              <w:jc w:val="left"/>
              <w:rPr>
                <w:rFonts w:ascii="Times New Roman;Times;serif" w:hAnsi="Times New Roman;Times;serif"/>
                <w:sz w:val="17"/>
              </w:rPr>
            </w:pPr>
            <w:r>
              <w:rPr>
                <w:rFonts w:ascii="Times New Roman;Times;serif" w:hAnsi="Times New Roman;Times;serif"/>
                <w:sz w:val="17"/>
              </w:rPr>
              <w:t>Date of Event Requiring Statement:</w:t>
            </w:r>
          </w:p>
        </w:tc>
        <w:tc>
          <w:tcPr>
            <w:tcW w:w="2780" w:type="dxa"/>
            <w:tcBorders/>
            <w:shd w:fill="auto" w:val="clear"/>
            <w:vAlign w:val="center"/>
          </w:tcPr>
          <w:p>
            <w:pPr>
              <w:pStyle w:val="TableContents"/>
              <w:spacing w:before="0" w:after="283"/>
              <w:rPr>
                <w:sz w:val="17"/>
              </w:rPr>
            </w:pPr>
            <w:r>
              <w:rPr>
                <w:sz w:val="17"/>
              </w:rPr>
              <w:t>May 1, 2019</w:t>
            </w:r>
          </w:p>
        </w:tc>
      </w:tr>
    </w:tbl>
    <w:p>
      <w:pPr>
        <w:pStyle w:val="TextBody"/>
        <w:spacing w:before="0" w:after="0"/>
        <w:rPr/>
      </w:pPr>
      <w:r>
        <w:rPr/>
      </w:r>
    </w:p>
    <w:p>
      <w:pPr>
        <w:pStyle w:val="TextBody"/>
        <w:spacing w:lineRule="atLeast" w:line="228" w:before="0" w:after="240"/>
        <w:jc w:val="center"/>
        <w:rPr>
          <w:rFonts w:ascii="Times New Roman;Times;serif" w:hAnsi="Times New Roman;Times;serif"/>
          <w:b/>
          <w:sz w:val="24"/>
        </w:rPr>
      </w:pPr>
      <w:r>
        <w:rPr>
          <w:rFonts w:ascii="Times New Roman;Times;serif" w:hAnsi="Times New Roman;Times;serif"/>
          <w:b/>
          <w:sz w:val="24"/>
        </w:rPr>
        <w:t>Joint Filers’ Signatures</w:t>
      </w:r>
    </w:p>
    <w:p>
      <w:pPr>
        <w:pStyle w:val="Normal"/>
        <w:spacing w:before="0" w:after="0"/>
        <w:ind w:left="0" w:right="0" w:hanging="0"/>
        <w:rPr>
          <w:sz w:val="4"/>
          <w:szCs w:val="4"/>
        </w:rPr>
      </w:pPr>
      <w:r>
        <w:rPr>
          <w:sz w:val="4"/>
          <w:szCs w:val="4"/>
        </w:rPr>
      </w:r>
      <w:bookmarkStart w:id="46" w:name="z2144056578b34d4483ad3772a8f92b60"/>
      <w:bookmarkStart w:id="47" w:name="z2144056578b34d4483ad3772a8f92b60"/>
      <w:bookmarkEnd w:id="47"/>
    </w:p>
    <w:tbl>
      <w:tblPr>
        <w:tblW w:w="3950" w:type="dxa"/>
        <w:jc w:val="left"/>
        <w:tblInd w:w="0" w:type="dxa"/>
        <w:tblCellMar>
          <w:top w:w="0" w:type="dxa"/>
          <w:left w:w="0" w:type="dxa"/>
          <w:bottom w:w="0" w:type="dxa"/>
          <w:right w:w="0" w:type="dxa"/>
        </w:tblCellMar>
      </w:tblPr>
      <w:tblGrid>
        <w:gridCol w:w="60"/>
        <w:gridCol w:w="3890"/>
      </w:tblGrid>
      <w:tr>
        <w:trPr/>
        <w:tc>
          <w:tcPr>
            <w:tcW w:w="60" w:type="dxa"/>
            <w:tcBorders/>
            <w:shd w:fill="auto" w:val="clear"/>
            <w:vAlign w:val="center"/>
          </w:tcPr>
          <w:p>
            <w:pPr>
              <w:pStyle w:val="TableContents"/>
              <w:spacing w:before="0" w:after="283"/>
              <w:rPr/>
            </w:pPr>
            <w:r>
              <w:rPr/>
              <w:t> </w:t>
            </w:r>
          </w:p>
        </w:tc>
        <w:tc>
          <w:tcPr>
            <w:tcW w:w="389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u w:val="single"/>
              </w:rPr>
            </w:pPr>
            <w:r>
              <w:rPr>
                <w:u w:val="single"/>
              </w:rPr>
              <w:t> </w:t>
            </w:r>
          </w:p>
        </w:tc>
        <w:tc>
          <w:tcPr>
            <w:tcW w:w="3890" w:type="dxa"/>
            <w:tcBorders/>
            <w:shd w:fill="auto" w:val="clear"/>
            <w:vAlign w:val="center"/>
          </w:tcPr>
          <w:p>
            <w:pPr>
              <w:pStyle w:val="TableContents"/>
              <w:spacing w:lineRule="atLeast" w:line="274" w:before="0" w:after="0"/>
              <w:jc w:val="both"/>
              <w:rPr>
                <w:rFonts w:ascii="Times New Roman;Times;serif" w:hAnsi="Times New Roman;Times;serif"/>
                <w:sz w:val="20"/>
                <w:u w:val="single"/>
              </w:rPr>
            </w:pPr>
            <w:r>
              <w:rPr>
                <w:rFonts w:ascii="Times New Roman;Times;serif" w:hAnsi="Times New Roman;Times;serif"/>
                <w:sz w:val="20"/>
                <w:u w:val="single"/>
              </w:rPr>
              <w:t xml:space="preserve">/s/ Matthew Lindenbaum                                       </w:t>
            </w:r>
          </w:p>
        </w:tc>
      </w:tr>
      <w:tr>
        <w:trPr/>
        <w:tc>
          <w:tcPr>
            <w:tcW w:w="60" w:type="dxa"/>
            <w:tcBorders/>
            <w:shd w:fill="auto" w:val="clear"/>
            <w:vAlign w:val="center"/>
          </w:tcPr>
          <w:p>
            <w:pPr>
              <w:pStyle w:val="TableContents"/>
              <w:spacing w:before="0" w:after="283"/>
              <w:rPr/>
            </w:pPr>
            <w:r>
              <w:rPr/>
              <w:t> </w:t>
            </w:r>
          </w:p>
        </w:tc>
        <w:tc>
          <w:tcPr>
            <w:tcW w:w="3890" w:type="dxa"/>
            <w:tcBorders/>
            <w:shd w:fill="auto" w:val="clear"/>
            <w:vAlign w:val="center"/>
          </w:tcPr>
          <w:p>
            <w:pPr>
              <w:pStyle w:val="TableContents"/>
              <w:spacing w:lineRule="atLeast" w:line="274" w:before="0" w:after="0"/>
              <w:jc w:val="both"/>
              <w:rPr>
                <w:rFonts w:ascii="Times New Roman;Times;serif" w:hAnsi="Times New Roman;Times;serif"/>
                <w:sz w:val="20"/>
              </w:rPr>
            </w:pPr>
            <w:r>
              <w:rPr>
                <w:rFonts w:ascii="Times New Roman;Times;serif" w:hAnsi="Times New Roman;Times;serif"/>
                <w:sz w:val="20"/>
              </w:rPr>
              <w:t>Matthew Lindenbaum</w:t>
            </w:r>
          </w:p>
        </w:tc>
      </w:tr>
      <w:tr>
        <w:trPr/>
        <w:tc>
          <w:tcPr>
            <w:tcW w:w="60" w:type="dxa"/>
            <w:tcBorders/>
            <w:shd w:fill="auto" w:val="clear"/>
            <w:vAlign w:val="center"/>
          </w:tcPr>
          <w:p>
            <w:pPr>
              <w:pStyle w:val="TableContents"/>
              <w:spacing w:before="0" w:after="283"/>
              <w:rPr/>
            </w:pPr>
            <w:r>
              <w:rPr/>
              <w:t> </w:t>
            </w:r>
          </w:p>
        </w:tc>
        <w:tc>
          <w:tcPr>
            <w:tcW w:w="389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89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890" w:type="dxa"/>
            <w:tcBorders/>
            <w:shd w:fill="auto" w:val="clear"/>
            <w:vAlign w:val="center"/>
          </w:tcPr>
          <w:p>
            <w:pPr>
              <w:pStyle w:val="TableContents"/>
              <w:spacing w:lineRule="atLeast" w:line="274" w:before="0" w:after="0"/>
              <w:jc w:val="both"/>
              <w:rPr>
                <w:rFonts w:ascii="Times New Roman;Times;serif" w:hAnsi="Times New Roman;Times;serif"/>
                <w:sz w:val="20"/>
                <w:u w:val="single"/>
              </w:rPr>
            </w:pPr>
            <w:r>
              <w:rPr>
                <w:rFonts w:ascii="Times New Roman;Times;serif" w:hAnsi="Times New Roman;Times;serif"/>
                <w:sz w:val="20"/>
                <w:u w:val="single"/>
              </w:rPr>
              <w:t xml:space="preserve">/s/ Bennett Lindenbaum                                         </w:t>
            </w:r>
          </w:p>
        </w:tc>
      </w:tr>
      <w:tr>
        <w:trPr/>
        <w:tc>
          <w:tcPr>
            <w:tcW w:w="60" w:type="dxa"/>
            <w:tcBorders/>
            <w:shd w:fill="auto" w:val="clear"/>
            <w:vAlign w:val="center"/>
          </w:tcPr>
          <w:p>
            <w:pPr>
              <w:pStyle w:val="TableContents"/>
              <w:spacing w:before="0" w:after="283"/>
              <w:rPr/>
            </w:pPr>
            <w:r>
              <w:rPr/>
              <w:t> </w:t>
            </w:r>
          </w:p>
        </w:tc>
        <w:tc>
          <w:tcPr>
            <w:tcW w:w="3890" w:type="dxa"/>
            <w:tcBorders/>
            <w:shd w:fill="auto" w:val="clear"/>
            <w:vAlign w:val="center"/>
          </w:tcPr>
          <w:p>
            <w:pPr>
              <w:pStyle w:val="TableContents"/>
              <w:spacing w:lineRule="atLeast" w:line="274" w:before="0" w:after="0"/>
              <w:jc w:val="both"/>
              <w:rPr>
                <w:rFonts w:ascii="Times New Roman;Times;serif" w:hAnsi="Times New Roman;Times;serif"/>
                <w:sz w:val="20"/>
              </w:rPr>
            </w:pPr>
            <w:r>
              <w:rPr>
                <w:rFonts w:ascii="Times New Roman;Times;serif" w:hAnsi="Times New Roman;Times;serif"/>
                <w:sz w:val="20"/>
              </w:rPr>
              <w:t>Bennett Lindenbaum</w:t>
            </w:r>
          </w:p>
        </w:tc>
      </w:tr>
      <w:tr>
        <w:trPr/>
        <w:tc>
          <w:tcPr>
            <w:tcW w:w="60" w:type="dxa"/>
            <w:tcBorders/>
            <w:shd w:fill="auto" w:val="clear"/>
            <w:vAlign w:val="center"/>
          </w:tcPr>
          <w:p>
            <w:pPr>
              <w:pStyle w:val="TableContents"/>
              <w:spacing w:before="0" w:after="283"/>
              <w:rPr/>
            </w:pPr>
            <w:r>
              <w:rPr/>
              <w:t> </w:t>
            </w:r>
          </w:p>
        </w:tc>
        <w:tc>
          <w:tcPr>
            <w:tcW w:w="389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89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89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890" w:type="dxa"/>
            <w:tcBorders/>
            <w:shd w:fill="auto" w:val="clear"/>
            <w:vAlign w:val="center"/>
          </w:tcPr>
          <w:p>
            <w:pPr>
              <w:pStyle w:val="TableContents"/>
              <w:spacing w:lineRule="atLeast" w:line="274" w:before="0" w:after="0"/>
              <w:jc w:val="both"/>
              <w:rPr>
                <w:rFonts w:ascii="Times New Roman;Times;serif" w:hAnsi="Times New Roman;Times;serif"/>
                <w:b/>
                <w:sz w:val="20"/>
              </w:rPr>
            </w:pPr>
            <w:r>
              <w:rPr>
                <w:rFonts w:ascii="Times New Roman;Times;serif" w:hAnsi="Times New Roman;Times;serif"/>
                <w:b/>
                <w:sz w:val="20"/>
              </w:rPr>
              <w:t>Basswood Capital Management, L.L.C.</w:t>
            </w:r>
          </w:p>
        </w:tc>
      </w:tr>
      <w:tr>
        <w:trPr/>
        <w:tc>
          <w:tcPr>
            <w:tcW w:w="60" w:type="dxa"/>
            <w:tcBorders/>
            <w:shd w:fill="auto" w:val="clear"/>
            <w:vAlign w:val="center"/>
          </w:tcPr>
          <w:p>
            <w:pPr>
              <w:pStyle w:val="TableContents"/>
              <w:spacing w:before="0" w:after="283"/>
              <w:rPr/>
            </w:pPr>
            <w:r>
              <w:rPr/>
              <w:t> </w:t>
            </w:r>
          </w:p>
        </w:tc>
        <w:tc>
          <w:tcPr>
            <w:tcW w:w="389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89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890" w:type="dxa"/>
            <w:tcBorders/>
            <w:shd w:fill="auto" w:val="clear"/>
            <w:vAlign w:val="center"/>
          </w:tcPr>
          <w:p>
            <w:pPr>
              <w:pStyle w:val="TableContents"/>
              <w:spacing w:lineRule="atLeast" w:line="274" w:before="0" w:after="0"/>
              <w:jc w:val="both"/>
              <w:rPr>
                <w:rFonts w:ascii="Times New Roman;Times;serif" w:hAnsi="Times New Roman;Times;serif"/>
                <w:sz w:val="20"/>
              </w:rPr>
            </w:pPr>
            <w:r>
              <w:rPr>
                <w:rFonts w:ascii="Times New Roman;Times;serif" w:hAnsi="Times New Roman;Times;serif"/>
                <w:sz w:val="20"/>
              </w:rPr>
              <w:t xml:space="preserve">By:  </w:t>
            </w:r>
            <w:r>
              <w:rPr>
                <w:rFonts w:ascii="Times New Roman;Times;serif" w:hAnsi="Times New Roman;Times;serif"/>
                <w:sz w:val="20"/>
                <w:u w:val="single"/>
              </w:rPr>
              <w:t xml:space="preserve">/s/ Matthew Lindenbaum                                </w:t>
            </w:r>
          </w:p>
        </w:tc>
      </w:tr>
      <w:tr>
        <w:trPr/>
        <w:tc>
          <w:tcPr>
            <w:tcW w:w="60" w:type="dxa"/>
            <w:tcBorders/>
            <w:shd w:fill="auto" w:val="clear"/>
            <w:vAlign w:val="center"/>
          </w:tcPr>
          <w:p>
            <w:pPr>
              <w:pStyle w:val="TableContents"/>
              <w:spacing w:before="0" w:after="283"/>
              <w:rPr/>
            </w:pPr>
            <w:r>
              <w:rPr/>
              <w:t> </w:t>
            </w:r>
          </w:p>
        </w:tc>
        <w:tc>
          <w:tcPr>
            <w:tcW w:w="3890" w:type="dxa"/>
            <w:tcBorders/>
            <w:shd w:fill="auto" w:val="clear"/>
            <w:vAlign w:val="center"/>
          </w:tcPr>
          <w:p>
            <w:pPr>
              <w:pStyle w:val="TableContents"/>
              <w:spacing w:lineRule="atLeast" w:line="274" w:before="0" w:after="0"/>
              <w:jc w:val="both"/>
              <w:rPr>
                <w:rFonts w:ascii="Times New Roman;Times;serif" w:hAnsi="Times New Roman;Times;serif"/>
                <w:sz w:val="20"/>
              </w:rPr>
            </w:pPr>
            <w:r>
              <w:rPr>
                <w:rFonts w:ascii="Times New Roman;Times;serif" w:hAnsi="Times New Roman;Times;serif"/>
                <w:sz w:val="20"/>
              </w:rPr>
              <w:t>Name: Matthew Lindenbaum</w:t>
            </w:r>
          </w:p>
        </w:tc>
      </w:tr>
      <w:tr>
        <w:trPr/>
        <w:tc>
          <w:tcPr>
            <w:tcW w:w="60" w:type="dxa"/>
            <w:tcBorders/>
            <w:shd w:fill="auto" w:val="clear"/>
            <w:vAlign w:val="center"/>
          </w:tcPr>
          <w:p>
            <w:pPr>
              <w:pStyle w:val="TableContents"/>
              <w:spacing w:before="0" w:after="283"/>
              <w:rPr/>
            </w:pPr>
            <w:r>
              <w:rPr/>
              <w:t> </w:t>
            </w:r>
          </w:p>
        </w:tc>
        <w:tc>
          <w:tcPr>
            <w:tcW w:w="3890" w:type="dxa"/>
            <w:tcBorders/>
            <w:shd w:fill="auto" w:val="clear"/>
            <w:vAlign w:val="center"/>
          </w:tcPr>
          <w:p>
            <w:pPr>
              <w:pStyle w:val="TableContents"/>
              <w:spacing w:lineRule="atLeast" w:line="274" w:before="0" w:after="0"/>
              <w:jc w:val="both"/>
              <w:rPr>
                <w:rFonts w:ascii="Times New Roman;Times;serif" w:hAnsi="Times New Roman;Times;serif"/>
                <w:sz w:val="20"/>
              </w:rPr>
            </w:pPr>
            <w:r>
              <w:rPr>
                <w:rFonts w:ascii="Times New Roman;Times;serif" w:hAnsi="Times New Roman;Times;serif"/>
                <w:sz w:val="20"/>
              </w:rPr>
              <w:t>Title: Managing Member</w:t>
            </w:r>
          </w:p>
        </w:tc>
      </w:tr>
      <w:tr>
        <w:trPr/>
        <w:tc>
          <w:tcPr>
            <w:tcW w:w="60" w:type="dxa"/>
            <w:tcBorders/>
            <w:shd w:fill="auto" w:val="clear"/>
            <w:vAlign w:val="center"/>
          </w:tcPr>
          <w:p>
            <w:pPr>
              <w:pStyle w:val="TableContents"/>
              <w:spacing w:before="0" w:after="283"/>
              <w:rPr/>
            </w:pPr>
            <w:r>
              <w:rPr/>
              <w:t> </w:t>
            </w:r>
          </w:p>
        </w:tc>
        <w:tc>
          <w:tcPr>
            <w:tcW w:w="389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89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89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890" w:type="dxa"/>
            <w:tcBorders/>
            <w:shd w:fill="auto" w:val="clear"/>
            <w:vAlign w:val="center"/>
          </w:tcPr>
          <w:p>
            <w:pPr>
              <w:pStyle w:val="TableContents"/>
              <w:spacing w:lineRule="atLeast" w:line="274" w:before="0" w:after="0"/>
              <w:jc w:val="both"/>
              <w:rPr/>
            </w:pPr>
            <w:r>
              <w:rPr>
                <w:rFonts w:ascii="Times New Roman;Times;serif" w:hAnsi="Times New Roman;Times;serif"/>
                <w:b/>
                <w:sz w:val="20"/>
              </w:rPr>
              <w:t>Basswood Financial Fund, Inc.</w:t>
            </w:r>
            <w:r>
              <w:rPr/>
              <w:t xml:space="preserve"> </w:t>
            </w:r>
          </w:p>
        </w:tc>
      </w:tr>
      <w:tr>
        <w:trPr/>
        <w:tc>
          <w:tcPr>
            <w:tcW w:w="60" w:type="dxa"/>
            <w:tcBorders/>
            <w:shd w:fill="auto" w:val="clear"/>
            <w:vAlign w:val="center"/>
          </w:tcPr>
          <w:p>
            <w:pPr>
              <w:pStyle w:val="TableContents"/>
              <w:spacing w:before="0" w:after="283"/>
              <w:rPr/>
            </w:pPr>
            <w:r>
              <w:rPr/>
              <w:t> </w:t>
            </w:r>
          </w:p>
        </w:tc>
        <w:tc>
          <w:tcPr>
            <w:tcW w:w="389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89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890" w:type="dxa"/>
            <w:tcBorders/>
            <w:shd w:fill="auto" w:val="clear"/>
            <w:vAlign w:val="center"/>
          </w:tcPr>
          <w:p>
            <w:pPr>
              <w:pStyle w:val="TableContents"/>
              <w:spacing w:lineRule="atLeast" w:line="274" w:before="0" w:after="0"/>
              <w:jc w:val="both"/>
              <w:rPr>
                <w:rFonts w:ascii="Times New Roman;Times;serif" w:hAnsi="Times New Roman;Times;serif"/>
                <w:sz w:val="20"/>
              </w:rPr>
            </w:pPr>
            <w:r>
              <w:rPr>
                <w:rFonts w:ascii="Times New Roman;Times;serif" w:hAnsi="Times New Roman;Times;serif"/>
                <w:sz w:val="20"/>
              </w:rPr>
              <w:t xml:space="preserve">By:  </w:t>
            </w:r>
            <w:r>
              <w:rPr>
                <w:rFonts w:ascii="Times New Roman;Times;serif" w:hAnsi="Times New Roman;Times;serif"/>
                <w:sz w:val="20"/>
                <w:u w:val="single"/>
              </w:rPr>
              <w:t xml:space="preserve">/s/ Matthew Lindenbaum                               </w:t>
            </w:r>
          </w:p>
        </w:tc>
      </w:tr>
      <w:tr>
        <w:trPr/>
        <w:tc>
          <w:tcPr>
            <w:tcW w:w="60" w:type="dxa"/>
            <w:tcBorders/>
            <w:shd w:fill="auto" w:val="clear"/>
            <w:vAlign w:val="center"/>
          </w:tcPr>
          <w:p>
            <w:pPr>
              <w:pStyle w:val="TableContents"/>
              <w:spacing w:before="0" w:after="283"/>
              <w:rPr/>
            </w:pPr>
            <w:r>
              <w:rPr/>
              <w:t> </w:t>
            </w:r>
          </w:p>
        </w:tc>
        <w:tc>
          <w:tcPr>
            <w:tcW w:w="3890" w:type="dxa"/>
            <w:tcBorders/>
            <w:shd w:fill="auto" w:val="clear"/>
            <w:vAlign w:val="center"/>
          </w:tcPr>
          <w:p>
            <w:pPr>
              <w:pStyle w:val="TableContents"/>
              <w:spacing w:lineRule="atLeast" w:line="274" w:before="0" w:after="0"/>
              <w:jc w:val="both"/>
              <w:rPr>
                <w:rFonts w:ascii="Times New Roman;Times;serif" w:hAnsi="Times New Roman;Times;serif"/>
                <w:sz w:val="20"/>
              </w:rPr>
            </w:pPr>
            <w:r>
              <w:rPr>
                <w:rFonts w:ascii="Times New Roman;Times;serif" w:hAnsi="Times New Roman;Times;serif"/>
                <w:sz w:val="20"/>
              </w:rPr>
              <w:t>Name: Matthew Lindenbaum</w:t>
            </w:r>
          </w:p>
        </w:tc>
      </w:tr>
      <w:tr>
        <w:trPr/>
        <w:tc>
          <w:tcPr>
            <w:tcW w:w="60" w:type="dxa"/>
            <w:tcBorders/>
            <w:shd w:fill="auto" w:val="clear"/>
            <w:vAlign w:val="center"/>
          </w:tcPr>
          <w:p>
            <w:pPr>
              <w:pStyle w:val="TableContents"/>
              <w:spacing w:before="0" w:after="283"/>
              <w:rPr/>
            </w:pPr>
            <w:r>
              <w:rPr/>
              <w:t> </w:t>
            </w:r>
          </w:p>
        </w:tc>
        <w:tc>
          <w:tcPr>
            <w:tcW w:w="3890" w:type="dxa"/>
            <w:tcBorders/>
            <w:shd w:fill="auto" w:val="clear"/>
            <w:vAlign w:val="center"/>
          </w:tcPr>
          <w:p>
            <w:pPr>
              <w:pStyle w:val="TableContents"/>
              <w:spacing w:lineRule="atLeast" w:line="274" w:before="0" w:after="0"/>
              <w:jc w:val="both"/>
              <w:rPr>
                <w:rFonts w:ascii="Times New Roman;Times;serif" w:hAnsi="Times New Roman;Times;serif"/>
                <w:sz w:val="20"/>
              </w:rPr>
            </w:pPr>
            <w:r>
              <w:rPr>
                <w:rFonts w:ascii="Times New Roman;Times;serif" w:hAnsi="Times New Roman;Times;serif"/>
                <w:sz w:val="20"/>
              </w:rPr>
              <w:t>Title: Managing Member</w:t>
            </w:r>
          </w:p>
        </w:tc>
      </w:tr>
      <w:tr>
        <w:trPr/>
        <w:tc>
          <w:tcPr>
            <w:tcW w:w="60" w:type="dxa"/>
            <w:tcBorders/>
            <w:shd w:fill="auto" w:val="clear"/>
            <w:vAlign w:val="center"/>
          </w:tcPr>
          <w:p>
            <w:pPr>
              <w:pStyle w:val="TableContents"/>
              <w:spacing w:before="0" w:after="283"/>
              <w:rPr/>
            </w:pPr>
            <w:r>
              <w:rPr/>
              <w:t> </w:t>
            </w:r>
          </w:p>
        </w:tc>
        <w:tc>
          <w:tcPr>
            <w:tcW w:w="389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890" w:type="dxa"/>
            <w:tcBorders/>
            <w:shd w:fill="auto" w:val="clear"/>
            <w:vAlign w:val="center"/>
          </w:tcPr>
          <w:p>
            <w:pPr>
              <w:pStyle w:val="TableContents"/>
              <w:spacing w:before="0" w:after="283"/>
              <w:rPr/>
            </w:pPr>
            <w:r>
              <w:rPr/>
              <w:t> </w:t>
            </w:r>
          </w:p>
        </w:tc>
      </w:tr>
    </w:tbl>
    <w:p>
      <w:pPr>
        <w:pStyle w:val="TextBody"/>
        <w:spacing w:lineRule="atLeast" w:line="228" w:before="0" w:after="240"/>
        <w:jc w:val="left"/>
        <w:rPr/>
      </w:pPr>
      <w:r>
        <w:rPr/>
      </w:r>
    </w:p>
    <w:p>
      <w:pPr>
        <w:pStyle w:val="TextBody"/>
        <w:spacing w:lineRule="atLeast" w:line="228" w:before="0" w:after="240"/>
        <w:jc w:val="left"/>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ec.gov/cgi-bin/browse-edgar?action=getcompany&amp;CIK=0001085393" TargetMode="External"/><Relationship Id="rId4" Type="http://schemas.openxmlformats.org/officeDocument/2006/relationships/hyperlink" Target="http://www.sec.gov/cgi-bin/browse-edgar?action=getcompany&amp;CIK=0000846617" TargetMode="External"/><Relationship Id="rId5" Type="http://schemas.openxmlformats.org/officeDocument/2006/relationships/hyperlink" Target="http://www.sec.gov/cgi-bin/browse-edgar?action=getcompany&amp;CIK=0001085393" TargetMode="External"/><Relationship Id="rId6" Type="http://schemas.openxmlformats.org/officeDocument/2006/relationships/hyperlink" Target="http://www.sec.gov/cgi-bin/browse-edgar?action=getcompany&amp;CIK=0000927943" TargetMode="External"/><Relationship Id="rId7" Type="http://schemas.openxmlformats.org/officeDocument/2006/relationships/hyperlink" Target="http://www.sec.gov/cgi-bin/browse-edgar?action=getcompany&amp;CIK=0000927942" TargetMode="External"/><Relationship Id="rId8" Type="http://schemas.openxmlformats.org/officeDocument/2006/relationships/hyperlink" Target="http://www.sec.gov/cgi-bin/browse-edgar?action=getcompany&amp;CIK=0001576092"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1501</Words>
  <CharactersWithSpaces>9734</CharactersWithSpaces>
  <Paragraphs>352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