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Fegan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898 VETERANS MEMORIAL HIGHWAY, STE 560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HAUPPAUGE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Dime Commercial Bancshares, Inc. /NY/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&amp; Ops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20,159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17,906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to satisfy tax obligations on shares of restricted stock that vested on September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Megan Hickey,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fegan.txt"/>
      <w:bookmarkStart w:id="3" w:name="kspoa_fegan"/>
      <w:bookmarkEnd w:id="2"/>
      <w:bookmarkEnd w:id="3"/>
      <w:r>
        <w:rPr/>
        <w:t>DIME COMMUNITY BANCSHARES, INC. LIMITED POWER OF ATTORNEY  FOR SECTION  16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Megan Hickey, Marc Levy, Jeffrey Cass and Edward A. Quint,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each acting individually,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attorney-in-fact, with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 hereinafter described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in the name, 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(!)     prepare, execute, acknowledge,  deliver and file Forms ID,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5 (including any amendments thereto)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with respect to the securities of Dime Community Bancshares, Inc., a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 corporation (the "Company"),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Securities and Exchange Commission, any national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exchanges and the    Company, as considered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advisable under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and the rules and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as amended from  time to time (the "Exchange 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behalf, information on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Company's securities from any third party, including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undersigned hereby authorizes any such person to release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to each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appointed by this Power of Attorney and approves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perform any and all other acts which in the discretion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 fact are necessary or desirable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on behalf of the undersigned in connection with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this Power of Attorney authorizes, but does not require, each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to act in their discretion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inforn1ation provided to such attorney-in-fact without independent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any documents prepared and/or executed by either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this Power of Attorney will be in such form and will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and disclosure as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his or her 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neither the Company nor either of such attorneys-in-fact assumes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(i)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 of the Exchange Act,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the undersigned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failure to comply with such requirements, or (iii) any obligation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profit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disgorgement under 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obligations under the Exchange Act, including without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limitation the reporting requirements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and grants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attorneys-in-fact full power and authority to do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perform all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be done in and about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matters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present,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ratifying all that each such attorney-in-fact of, for and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shall lawfully do or cause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 done by virtue of this Limited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1st day of June 2023.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Michael Fegan</w:t>
      </w:r>
    </w:p>
    <w:p>
      <w:pPr>
        <w:pStyle w:val="PreformattedText"/>
        <w:bidi w:val="0"/>
        <w:spacing w:before="0" w:after="0"/>
        <w:jc w:val="left"/>
        <w:rPr/>
      </w:pPr>
      <w:r>
        <w:rPr/>
        <w:t>(Signature)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Fegan</w:t>
      </w:r>
    </w:p>
    <w:p>
      <w:pPr>
        <w:pStyle w:val="PreformattedText"/>
        <w:bidi w:val="0"/>
        <w:spacing w:before="0" w:after="0"/>
        <w:jc w:val="left"/>
        <w:rPr/>
      </w:pPr>
      <w:r>
        <w:rPr/>
        <w:t>(Print Name)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612" TargetMode="External"/><Relationship Id="rId5" Type="http://schemas.openxmlformats.org/officeDocument/2006/relationships/hyperlink" Target="http://www.sec.gov/cgi-bin/browse-edgar?action=getcompany&amp;CIK=0000846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1194</Words>
  <Characters>6507</Characters>
  <CharactersWithSpaces>7605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