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0000947724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960"/>
        <w:spacing w:after="0" w:line="281" w:lineRule="auto"/>
        <w:rPr>
          <w:sz w:val="20"/>
          <w:szCs w:val="20"/>
          <w:color w:val="auto"/>
        </w:rPr>
      </w:pPr>
      <w:r>
        <w:rPr>
          <w:rFonts w:ascii="Times New Roman" w:cs="Times New Roman" w:eastAsia="Times New Roman" w:hAnsi="Times New Roman"/>
          <w:sz w:val="22"/>
          <w:szCs w:val="22"/>
          <w:color w:val="auto"/>
        </w:rPr>
        <w:t>Dime Community Bancshares, Inc. /NY/ 001-34096</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898 Veterans Memorial Highway, Suite 560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Hauppauge</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11788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631-537-1000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Basswood Financial Fund, Ltd.</w:t>
      </w:r>
    </w:p>
    <w:p>
      <w:pPr>
        <w:spacing w:after="0" w:line="44" w:lineRule="exact"/>
        <w:rPr>
          <w:sz w:val="24"/>
          <w:szCs w:val="24"/>
          <w:color w:val="auto"/>
        </w:rPr>
      </w:pPr>
    </w:p>
    <w:p>
      <w:pPr>
        <w:sectPr>
          <w:pgSz w:w="11900" w:h="16838" w:orient="portrait"/>
          <w:cols w:equalWidth="0" w:num="2">
            <w:col w:w="6040" w:space="720"/>
            <w:col w:w="44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7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6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80" w:type="dxa"/>
            <w:vAlign w:val="bottom"/>
            <w:vMerge w:val="restart"/>
          </w:tcPr>
          <w:p>
            <w:pPr>
              <w:ind w:left="28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60" w:type="dxa"/>
            <w:vAlign w:val="bottom"/>
            <w:vMerge w:val="continue"/>
          </w:tcPr>
          <w:p>
            <w:pPr>
              <w:spacing w:after="0"/>
              <w:rPr>
                <w:sz w:val="10"/>
                <w:szCs w:val="10"/>
                <w:color w:val="auto"/>
              </w:rPr>
            </w:pPr>
          </w:p>
        </w:tc>
        <w:tc>
          <w:tcPr>
            <w:tcW w:w="238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8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60" w:type="dxa"/>
            <w:vAlign w:val="bottom"/>
            <w:vMerge w:val="continue"/>
          </w:tcPr>
          <w:p>
            <w:pPr>
              <w:spacing w:after="0"/>
              <w:rPr>
                <w:sz w:val="10"/>
                <w:szCs w:val="10"/>
                <w:color w:val="auto"/>
              </w:rPr>
            </w:pPr>
          </w:p>
        </w:tc>
        <w:tc>
          <w:tcPr>
            <w:tcW w:w="238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6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60" w:type="dxa"/>
            <w:vAlign w:val="bottom"/>
          </w:tcPr>
          <w:p>
            <w:pPr>
              <w:spacing w:after="0"/>
              <w:rPr>
                <w:sz w:val="22"/>
                <w:szCs w:val="22"/>
                <w:color w:val="auto"/>
              </w:rPr>
            </w:pPr>
          </w:p>
        </w:tc>
        <w:tc>
          <w:tcPr>
            <w:tcW w:w="23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KEEFE, BRUYETTE &amp;</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par value</w:t>
            </w:r>
          </w:p>
        </w:tc>
        <w:tc>
          <w:tcPr>
            <w:tcW w:w="23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WOODS, 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360" w:type="dxa"/>
            <w:vAlign w:val="bottom"/>
            <w:vMerge w:val="continue"/>
          </w:tcPr>
          <w:p>
            <w:pPr>
              <w:spacing w:after="0"/>
              <w:rPr>
                <w:sz w:val="18"/>
                <w:szCs w:val="18"/>
                <w:color w:val="auto"/>
              </w:rPr>
            </w:pPr>
          </w:p>
        </w:tc>
        <w:tc>
          <w:tcPr>
            <w:tcW w:w="2380" w:type="dxa"/>
            <w:vAlign w:val="bottom"/>
          </w:tcPr>
          <w:p>
            <w:pPr>
              <w:ind w:left="100"/>
              <w:spacing w:after="0" w:line="217" w:lineRule="exact"/>
              <w:rPr>
                <w:sz w:val="20"/>
                <w:szCs w:val="20"/>
                <w:color w:val="auto"/>
              </w:rPr>
            </w:pPr>
            <w:r>
              <w:rPr>
                <w:rFonts w:ascii="Times New Roman" w:cs="Times New Roman" w:eastAsia="Times New Roman" w:hAnsi="Times New Roman"/>
                <w:sz w:val="22"/>
                <w:szCs w:val="22"/>
                <w:color w:val="auto"/>
                <w:w w:val="99"/>
              </w:rPr>
              <w:t>787 7TH AVENUE, 4TH</w:t>
            </w:r>
          </w:p>
        </w:tc>
        <w:tc>
          <w:tcPr>
            <w:tcW w:w="1280" w:type="dxa"/>
            <w:vAlign w:val="bottom"/>
          </w:tcPr>
          <w:p>
            <w:pPr>
              <w:jc w:val="right"/>
              <w:ind w:right="752"/>
              <w:spacing w:after="0" w:line="217" w:lineRule="exact"/>
              <w:rPr>
                <w:sz w:val="20"/>
                <w:szCs w:val="20"/>
                <w:color w:val="auto"/>
              </w:rPr>
            </w:pPr>
            <w:r>
              <w:rPr>
                <w:rFonts w:ascii="Times New Roman" w:cs="Times New Roman" w:eastAsia="Times New Roman" w:hAnsi="Times New Roman"/>
                <w:sz w:val="22"/>
                <w:szCs w:val="22"/>
                <w:color w:val="auto"/>
              </w:rPr>
              <w:t>211</w:t>
            </w:r>
          </w:p>
        </w:tc>
        <w:tc>
          <w:tcPr>
            <w:tcW w:w="1140" w:type="dxa"/>
            <w:vAlign w:val="bottom"/>
          </w:tcPr>
          <w:p>
            <w:pPr>
              <w:jc w:val="right"/>
              <w:ind w:right="572"/>
              <w:spacing w:after="0" w:line="217" w:lineRule="exact"/>
              <w:rPr>
                <w:sz w:val="20"/>
                <w:szCs w:val="20"/>
                <w:color w:val="auto"/>
              </w:rPr>
            </w:pPr>
            <w:r>
              <w:rPr>
                <w:rFonts w:ascii="Times New Roman" w:cs="Times New Roman" w:eastAsia="Times New Roman" w:hAnsi="Times New Roman"/>
                <w:sz w:val="22"/>
                <w:szCs w:val="22"/>
                <w:color w:val="auto"/>
                <w:w w:val="99"/>
              </w:rPr>
              <w:t>8178</w:t>
            </w:r>
          </w:p>
        </w:tc>
        <w:tc>
          <w:tcPr>
            <w:tcW w:w="0" w:type="dxa"/>
            <w:vAlign w:val="bottom"/>
          </w:tcPr>
          <w:p>
            <w:pPr>
              <w:spacing w:after="0"/>
              <w:rPr>
                <w:sz w:val="1"/>
                <w:szCs w:val="1"/>
                <w:color w:val="auto"/>
              </w:rPr>
            </w:pPr>
          </w:p>
        </w:tc>
      </w:tr>
      <w:tr>
        <w:trPr>
          <w:trHeight w:val="243"/>
        </w:trPr>
        <w:tc>
          <w:tcPr>
            <w:tcW w:w="2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$0.10 ("Common Stock")</w:t>
            </w:r>
          </w:p>
        </w:tc>
        <w:tc>
          <w:tcPr>
            <w:tcW w:w="23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360" w:type="dxa"/>
            <w:vAlign w:val="bottom"/>
          </w:tcPr>
          <w:p>
            <w:pPr>
              <w:spacing w:after="0"/>
              <w:rPr>
                <w:sz w:val="2"/>
                <w:szCs w:val="2"/>
                <w:color w:val="auto"/>
              </w:rPr>
            </w:pPr>
          </w:p>
        </w:tc>
        <w:tc>
          <w:tcPr>
            <w:tcW w:w="2380" w:type="dxa"/>
            <w:vAlign w:val="bottom"/>
            <w:vMerge w:val="continue"/>
          </w:tcPr>
          <w:p>
            <w:pPr>
              <w:spacing w:after="0"/>
              <w:rPr>
                <w:sz w:val="2"/>
                <w:szCs w:val="2"/>
                <w:color w:val="auto"/>
              </w:rPr>
            </w:pPr>
          </w:p>
        </w:tc>
        <w:tc>
          <w:tcPr>
            <w:tcW w:w="1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2"/>
        </w:trPr>
        <w:tc>
          <w:tcPr>
            <w:tcW w:w="2360" w:type="dxa"/>
            <w:vAlign w:val="bottom"/>
          </w:tcPr>
          <w:p>
            <w:pPr>
              <w:spacing w:after="0"/>
              <w:rPr>
                <w:sz w:val="24"/>
                <w:szCs w:val="24"/>
                <w:color w:val="auto"/>
              </w:rPr>
            </w:pPr>
          </w:p>
        </w:tc>
        <w:tc>
          <w:tcPr>
            <w:tcW w:w="23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New York  NY  10019</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43886835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06/18/2026   NYSE</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ind w:left="4560"/>
        <w:spacing w:after="0"/>
        <w:tabs>
          <w:tab w:leader="none" w:pos="574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Open Market</w:t>
      </w:r>
    </w:p>
    <w:p>
      <w:pPr>
        <w:spacing w:after="0" w:line="4" w:lineRule="exact"/>
        <w:rPr>
          <w:sz w:val="20"/>
          <w:szCs w:val="20"/>
          <w:color w:val="auto"/>
        </w:rPr>
      </w:pPr>
    </w:p>
    <w:p>
      <w:pPr>
        <w:ind w:left="40"/>
        <w:spacing w:after="0"/>
        <w:tabs>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 Stock 08/06/2014 (3)</w:t>
      </w:r>
      <w:r>
        <w:rPr>
          <w:sz w:val="20"/>
          <w:szCs w:val="20"/>
          <w:color w:val="auto"/>
        </w:rPr>
        <w:tab/>
      </w:r>
      <w:r>
        <w:rPr>
          <w:rFonts w:ascii="Times New Roman" w:cs="Times New Roman" w:eastAsia="Times New Roman" w:hAnsi="Times New Roman"/>
          <w:sz w:val="22"/>
          <w:szCs w:val="22"/>
          <w:color w:val="auto"/>
        </w:rPr>
        <w:t xml:space="preserve">and/or Transfers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7040</w:t>
      </w:r>
      <w:r>
        <w:rPr>
          <w:sz w:val="20"/>
          <w:szCs w:val="20"/>
          <w:color w:val="auto"/>
        </w:rPr>
        <w:tab/>
      </w:r>
      <w:r>
        <w:rPr>
          <w:rFonts w:ascii="Times New Roman" w:cs="Times New Roman" w:eastAsia="Times New Roman" w:hAnsi="Times New Roman"/>
          <w:sz w:val="21"/>
          <w:szCs w:val="21"/>
          <w:color w:val="auto"/>
        </w:rPr>
        <w:t>08/06/2014 Cash (3)</w:t>
      </w:r>
    </w:p>
    <w:p>
      <w:pPr>
        <w:ind w:left="4260"/>
        <w:spacing w:after="0"/>
        <w:rPr>
          <w:sz w:val="20"/>
          <w:szCs w:val="20"/>
          <w:color w:val="auto"/>
        </w:rPr>
      </w:pPr>
      <w:r>
        <w:rPr>
          <w:rFonts w:ascii="Times New Roman" w:cs="Times New Roman" w:eastAsia="Times New Roman" w:hAnsi="Times New Roman"/>
          <w:sz w:val="22"/>
          <w:szCs w:val="22"/>
          <w:color w:val="auto"/>
        </w:rPr>
        <w:t>from Affiliates</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4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gridSpan w:val="2"/>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Seller</w:t>
            </w:r>
          </w:p>
        </w:tc>
        <w:tc>
          <w:tcPr>
            <w:tcW w:w="3480" w:type="dxa"/>
            <w:vAlign w:val="bottom"/>
            <w:vMerge w:val="restart"/>
          </w:tcPr>
          <w:p>
            <w:pPr>
              <w:ind w:left="100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80" w:type="dxa"/>
            <w:vAlign w:val="bottom"/>
            <w:gridSpan w:val="2"/>
            <w:vMerge w:val="continue"/>
          </w:tcPr>
          <w:p>
            <w:pPr>
              <w:spacing w:after="0"/>
              <w:rPr>
                <w:sz w:val="10"/>
                <w:szCs w:val="10"/>
                <w:color w:val="auto"/>
              </w:rPr>
            </w:pPr>
          </w:p>
        </w:tc>
        <w:tc>
          <w:tcPr>
            <w:tcW w:w="348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vMerge w:val="restart"/>
          </w:tcPr>
          <w:p>
            <w:pPr>
              <w:jc w:val="center"/>
              <w:ind w:right="23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44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Basswood Financial Fund, Ltd</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c/o Basswood Capital Management,</w:t>
            </w:r>
          </w:p>
        </w:tc>
        <w:tc>
          <w:tcPr>
            <w:tcW w:w="34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94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2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06/12/2026 98</w:t>
            </w:r>
          </w:p>
        </w:tc>
        <w:tc>
          <w:tcPr>
            <w:tcW w:w="86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3928</w:t>
            </w:r>
          </w:p>
        </w:tc>
        <w:tc>
          <w:tcPr>
            <w:tcW w:w="0" w:type="dxa"/>
            <w:vAlign w:val="bottom"/>
          </w:tcPr>
          <w:p>
            <w:pPr>
              <w:spacing w:after="0"/>
              <w:rPr>
                <w:sz w:val="1"/>
                <w:szCs w:val="1"/>
                <w:color w:val="auto"/>
              </w:rPr>
            </w:pPr>
          </w:p>
        </w:tc>
      </w:tr>
      <w:tr>
        <w:trPr>
          <w:trHeight w:val="243"/>
        </w:trPr>
        <w:tc>
          <w:tcPr>
            <w:tcW w:w="33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645 Madison Avenue, 10th Floor</w:t>
            </w:r>
          </w:p>
        </w:tc>
        <w:tc>
          <w:tcPr>
            <w:tcW w:w="34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New York  NY</w:t>
            </w:r>
          </w:p>
        </w:tc>
        <w:tc>
          <w:tcPr>
            <w:tcW w:w="1940" w:type="dxa"/>
            <w:vAlign w:val="bottom"/>
          </w:tcPr>
          <w:p>
            <w:pPr>
              <w:jc w:val="center"/>
              <w:ind w:right="1132"/>
              <w:spacing w:after="0"/>
              <w:rPr>
                <w:sz w:val="20"/>
                <w:szCs w:val="20"/>
                <w:color w:val="auto"/>
              </w:rPr>
            </w:pPr>
            <w:r>
              <w:rPr>
                <w:rFonts w:ascii="Times New Roman" w:cs="Times New Roman" w:eastAsia="Times New Roman" w:hAnsi="Times New Roman"/>
                <w:sz w:val="22"/>
                <w:szCs w:val="22"/>
                <w:color w:val="auto"/>
                <w:w w:val="98"/>
              </w:rPr>
              <w:t>10022</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Basswood Financial Fund, Ltd</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c/o Basswood Capital Management,</w:t>
            </w:r>
          </w:p>
        </w:tc>
        <w:tc>
          <w:tcPr>
            <w:tcW w:w="34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94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2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06/15/2026 128</w:t>
            </w:r>
          </w:p>
        </w:tc>
        <w:tc>
          <w:tcPr>
            <w:tcW w:w="86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5077.76</w:t>
            </w:r>
          </w:p>
        </w:tc>
        <w:tc>
          <w:tcPr>
            <w:tcW w:w="0" w:type="dxa"/>
            <w:vAlign w:val="bottom"/>
          </w:tcPr>
          <w:p>
            <w:pPr>
              <w:spacing w:after="0"/>
              <w:rPr>
                <w:sz w:val="1"/>
                <w:szCs w:val="1"/>
                <w:color w:val="auto"/>
              </w:rPr>
            </w:pPr>
          </w:p>
        </w:tc>
      </w:tr>
      <w:tr>
        <w:trPr>
          <w:trHeight w:val="243"/>
        </w:trPr>
        <w:tc>
          <w:tcPr>
            <w:tcW w:w="33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645 Madison Avenue, 10th Floor</w:t>
            </w:r>
          </w:p>
        </w:tc>
        <w:tc>
          <w:tcPr>
            <w:tcW w:w="34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New York  NY</w:t>
            </w:r>
          </w:p>
        </w:tc>
        <w:tc>
          <w:tcPr>
            <w:tcW w:w="1940" w:type="dxa"/>
            <w:vAlign w:val="bottom"/>
          </w:tcPr>
          <w:p>
            <w:pPr>
              <w:jc w:val="center"/>
              <w:ind w:right="1132"/>
              <w:spacing w:after="0"/>
              <w:rPr>
                <w:sz w:val="20"/>
                <w:szCs w:val="20"/>
                <w:color w:val="auto"/>
              </w:rPr>
            </w:pPr>
            <w:r>
              <w:rPr>
                <w:rFonts w:ascii="Times New Roman" w:cs="Times New Roman" w:eastAsia="Times New Roman" w:hAnsi="Times New Roman"/>
                <w:sz w:val="22"/>
                <w:szCs w:val="22"/>
                <w:color w:val="auto"/>
                <w:w w:val="98"/>
              </w:rPr>
              <w:t>10022</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Basswood Financial Fund, Ltd</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c/o Basswood Capital Management,</w:t>
            </w:r>
          </w:p>
        </w:tc>
        <w:tc>
          <w:tcPr>
            <w:tcW w:w="34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94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2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06/16/2026 123</w:t>
            </w:r>
          </w:p>
        </w:tc>
        <w:tc>
          <w:tcPr>
            <w:tcW w:w="86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4832.67</w:t>
            </w:r>
          </w:p>
        </w:tc>
        <w:tc>
          <w:tcPr>
            <w:tcW w:w="0" w:type="dxa"/>
            <w:vAlign w:val="bottom"/>
          </w:tcPr>
          <w:p>
            <w:pPr>
              <w:spacing w:after="0"/>
              <w:rPr>
                <w:sz w:val="1"/>
                <w:szCs w:val="1"/>
                <w:color w:val="auto"/>
              </w:rPr>
            </w:pPr>
          </w:p>
        </w:tc>
      </w:tr>
      <w:tr>
        <w:trPr>
          <w:trHeight w:val="243"/>
        </w:trPr>
        <w:tc>
          <w:tcPr>
            <w:tcW w:w="33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645 Madison Avenue, 10th Floor</w:t>
            </w:r>
          </w:p>
        </w:tc>
        <w:tc>
          <w:tcPr>
            <w:tcW w:w="34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New York  NY</w:t>
            </w:r>
          </w:p>
        </w:tc>
        <w:tc>
          <w:tcPr>
            <w:tcW w:w="1940" w:type="dxa"/>
            <w:vAlign w:val="bottom"/>
          </w:tcPr>
          <w:p>
            <w:pPr>
              <w:jc w:val="center"/>
              <w:ind w:right="1132"/>
              <w:spacing w:after="0"/>
              <w:rPr>
                <w:sz w:val="20"/>
                <w:szCs w:val="20"/>
                <w:color w:val="auto"/>
              </w:rPr>
            </w:pPr>
            <w:r>
              <w:rPr>
                <w:rFonts w:ascii="Times New Roman" w:cs="Times New Roman" w:eastAsia="Times New Roman" w:hAnsi="Times New Roman"/>
                <w:sz w:val="22"/>
                <w:szCs w:val="22"/>
                <w:color w:val="auto"/>
                <w:w w:val="98"/>
              </w:rPr>
              <w:t>10022</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0" w:lineRule="exact"/>
        <w:rPr>
          <w:sz w:val="20"/>
          <w:szCs w:val="20"/>
          <w:color w:val="auto"/>
        </w:rPr>
      </w:pPr>
    </w:p>
    <w:p>
      <w:pPr>
        <w:spacing w:after="0" w:line="342"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left="1" w:right="260" w:hanging="1"/>
        <w:spacing w:after="0" w:line="238" w:lineRule="auto"/>
        <w:tabs>
          <w:tab w:leader="none" w:pos="307"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Market Value is based on the closing price of $38.76 of the Common Stock on June 17, 2026. (2) The Number of Shares Outstanding is based on the number of shares of Common Stock outstanding as of May 28, 2026, as reported by the issuer in its 8-K, which was filed with the Commission on June 1,2026. (3) Basswood Financial Fund, Ltd. obtained the shares of Common Stock listed in Table I through open market purchases and/or Transfers from Affiliates, from January 2014 through November 2025.</w:t>
      </w:r>
    </w:p>
    <w:p>
      <w:pPr>
        <w:spacing w:after="0" w:line="136" w:lineRule="exact"/>
        <w:rPr>
          <w:sz w:val="20"/>
          <w:szCs w:val="20"/>
          <w:color w:val="auto"/>
        </w:rPr>
      </w:pPr>
    </w:p>
    <w:p>
      <w:pPr>
        <w:ind w:left="1"/>
        <w:spacing w:after="0"/>
        <w:rPr>
          <w:sz w:val="20"/>
          <w:szCs w:val="20"/>
          <w:color w:val="auto"/>
        </w:rPr>
      </w:pPr>
      <w:r>
        <w:rPr>
          <w:rFonts w:ascii="Times New Roman" w:cs="Times New Roman" w:eastAsia="Times New Roman" w:hAnsi="Times New Roman"/>
          <w:sz w:val="22"/>
          <w:szCs w:val="22"/>
          <w:color w:val="auto"/>
        </w:rPr>
        <w:t>06/18/2026</w:t>
      </w:r>
    </w:p>
    <w:p>
      <w:pPr>
        <w:spacing w:after="0" w:line="159" w:lineRule="exact"/>
        <w:rPr>
          <w:sz w:val="20"/>
          <w:szCs w:val="20"/>
          <w:color w:val="auto"/>
        </w:rPr>
      </w:pPr>
    </w:p>
    <w:p>
      <w:pPr>
        <w:sectPr>
          <w:pgSz w:w="11900" w:h="16838" w:orient="portrait"/>
          <w:cols w:equalWidth="0" w:num="2">
            <w:col w:w="820" w:space="119"/>
            <w:col w:w="10301"/>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ind w:left="40"/>
        <w:spacing w:after="0"/>
        <w:rPr>
          <w:sz w:val="20"/>
          <w:szCs w:val="20"/>
          <w:color w:val="auto"/>
        </w:rPr>
      </w:pPr>
      <w:r>
        <w:rPr>
          <w:rFonts w:ascii="Times New Roman" w:cs="Times New Roman" w:eastAsia="Times New Roman" w:hAnsi="Times New Roman"/>
          <w:sz w:val="39"/>
          <w:szCs w:val="39"/>
          <w:color w:val="auto"/>
          <w:vertAlign w:val="subscript"/>
        </w:rPr>
        <w:t>Signature</w:t>
      </w:r>
      <w:r>
        <w:rPr>
          <w:rFonts w:ascii="Times New Roman" w:cs="Times New Roman" w:eastAsia="Times New Roman" w:hAnsi="Times New Roman"/>
          <w:sz w:val="20"/>
          <w:szCs w:val="20"/>
          <w:color w:val="auto"/>
        </w:rPr>
        <w:t xml:space="preserve"> Basswood</w:t>
      </w:r>
      <w:r>
        <w:rPr>
          <w:rFonts w:ascii="Times New Roman" w:cs="Times New Roman" w:eastAsia="Times New Roman" w:hAnsi="Times New Roman"/>
          <w:sz w:val="39"/>
          <w:szCs w:val="39"/>
          <w:color w:val="auto"/>
          <w:vertAlign w:val="subscript"/>
        </w:rPr>
        <w:t>Officer</w:t>
      </w:r>
      <w:r>
        <w:rPr>
          <w:rFonts w:ascii="Times New Roman" w:cs="Times New Roman" w:eastAsia="Times New Roman" w:hAnsi="Times New Roman"/>
          <w:sz w:val="20"/>
          <w:szCs w:val="20"/>
          <w:color w:val="auto"/>
        </w:rPr>
        <w:t xml:space="preserve"> Capital Management L.L.C, its investment manager; By: /s/ Marc Samit, Principal and Chief Operating</w:t>
      </w:r>
    </w:p>
    <w:p>
      <w:pPr>
        <w:sectPr>
          <w:pgSz w:w="11900" w:h="16838" w:orient="portrait"/>
          <w:cols w:equalWidth="0" w:num="1">
            <w:col w:w="11240"/>
          </w:cols>
          <w:pgMar w:left="320" w:top="108" w:right="339" w:bottom="1440" w:gutter="0" w:footer="0" w:header="0"/>
          <w:type w:val="continuous"/>
        </w:sectPr>
      </w:pP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2026-06-18T19:41:36Z</dcterms:created>
  <dcterms:modified xsi:type="dcterms:W3CDTF">2026-06-18T19:41:36Z</dcterms:modified>
</cp:coreProperties>
</file>