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6997700" cy="8815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5705"/>
                    </a:xfrm>
                    <a:prstGeom prst="rect">
                      <a:avLst/>
                    </a:prstGeom>
                    <a:noFill/>
                  </pic:spPr>
                </pic:pic>
              </a:graphicData>
            </a:graphic>
          </wp:anchor>
        </w:drawing>
      </w:r>
    </w:p>
    <w:p>
      <w:pPr>
        <w:spacing w:after="0" w:line="1084" w:lineRule="exact"/>
        <w:rPr>
          <w:sz w:val="24"/>
          <w:szCs w:val="24"/>
          <w:color w:val="auto"/>
        </w:rPr>
      </w:pPr>
    </w:p>
    <w:p>
      <w:pPr>
        <w:sectPr>
          <w:pgSz w:w="11900" w:h="16838" w:orient="portrait"/>
          <w:cols w:equalWidth="0" w:num="2">
            <w:col w:w="2320" w:space="360"/>
            <w:col w:w="8300"/>
          </w:cols>
          <w:pgMar w:left="460" w:top="214" w:right="459" w:bottom="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right="120"/>
        <w:spacing w:after="0" w:line="242" w:lineRule="auto"/>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BASSWOOD CAPITAL MANAGEMENT,</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L.L.C.</w:t>
        </w:r>
      </w:hyperlink>
    </w:p>
    <w:p>
      <w:pPr>
        <w:spacing w:after="0" w:line="27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645 MADISON AVENUE</w:t>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10TH FLOOR</w:t>
      </w: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165"/>
        </w:trPr>
        <w:tc>
          <w:tcPr>
            <w:tcW w:w="10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0"/>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10022</w:t>
            </w:r>
          </w:p>
        </w:tc>
      </w:tr>
      <w:tr>
        <w:trPr>
          <w:trHeight w:val="144"/>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2"/>
                <w:szCs w:val="12"/>
                <w:color w:val="auto"/>
              </w:rPr>
              <w:t>(City)</w:t>
            </w:r>
          </w:p>
        </w:tc>
        <w:tc>
          <w:tcPr>
            <w:tcW w:w="980" w:type="dxa"/>
            <w:vAlign w:val="bottom"/>
          </w:tcPr>
          <w:p>
            <w:pPr>
              <w:ind w:left="18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780" w:type="dxa"/>
            <w:vAlign w:val="bottom"/>
            <w:gridSpan w:val="2"/>
          </w:tcPr>
          <w:p>
            <w:pPr>
              <w:spacing w:after="0" w:line="212"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Dime Commercial Bancshares, Inc. /NY/ </w:t>
              </w:r>
            </w:hyperlink>
            <w:r>
              <w:rPr>
                <w:rFonts w:ascii="Times New Roman" w:cs="Times New Roman" w:eastAsia="Times New Roman" w:hAnsi="Times New Roman"/>
                <w:sz w:val="20"/>
                <w:szCs w:val="20"/>
                <w:color w:val="000000"/>
              </w:rPr>
              <w:t>[</w:t>
            </w:r>
          </w:p>
        </w:tc>
        <w:tc>
          <w:tcPr>
            <w:tcW w:w="182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330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6"/>
                <w:szCs w:val="16"/>
                <w:color w:val="0000FF"/>
              </w:rPr>
              <w:t xml:space="preserve">DCOM </w:t>
            </w:r>
            <w:r>
              <w:rPr>
                <w:rFonts w:ascii="Times New Roman" w:cs="Times New Roman" w:eastAsia="Times New Roman" w:hAnsi="Times New Roman"/>
                <w:sz w:val="19"/>
                <w:szCs w:val="19"/>
                <w:color w:val="000000"/>
              </w:rPr>
              <w:t>]</w:t>
            </w:r>
          </w:p>
        </w:tc>
        <w:tc>
          <w:tcPr>
            <w:tcW w:w="480" w:type="dxa"/>
            <w:vAlign w:val="bottom"/>
            <w:vMerge w:val="restart"/>
          </w:tcPr>
          <w:p>
            <w:pPr>
              <w:spacing w:after="0"/>
              <w:rPr>
                <w:sz w:val="12"/>
                <w:szCs w:val="12"/>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84"/>
        </w:trPr>
        <w:tc>
          <w:tcPr>
            <w:tcW w:w="6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82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3780" w:type="dxa"/>
            <w:vAlign w:val="bottom"/>
            <w:gridSpan w:val="2"/>
          </w:tcPr>
          <w:p>
            <w:pPr>
              <w:spacing w:after="0" w:line="125" w:lineRule="exact"/>
              <w:rPr>
                <w:sz w:val="20"/>
                <w:szCs w:val="20"/>
                <w:color w:val="auto"/>
              </w:rPr>
            </w:pPr>
            <w:r>
              <w:rPr>
                <w:rFonts w:ascii="Arial" w:cs="Arial" w:eastAsia="Arial" w:hAnsi="Arial"/>
                <w:sz w:val="12"/>
                <w:szCs w:val="12"/>
                <w:color w:val="auto"/>
              </w:rPr>
              <w:t>Foreign Trading Symbol</w:t>
            </w:r>
          </w:p>
        </w:tc>
        <w:tc>
          <w:tcPr>
            <w:tcW w:w="182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92"/>
        </w:trPr>
        <w:tc>
          <w:tcPr>
            <w:tcW w:w="60" w:type="dxa"/>
            <w:vAlign w:val="bottom"/>
            <w:tcBorders>
              <w:bottom w:val="single" w:sz="8" w:color="2C2C2C"/>
            </w:tcBorders>
          </w:tcPr>
          <w:p>
            <w:pPr>
              <w:spacing w:after="0"/>
              <w:rPr>
                <w:sz w:val="16"/>
                <w:szCs w:val="16"/>
                <w:color w:val="auto"/>
              </w:rPr>
            </w:pPr>
          </w:p>
        </w:tc>
        <w:tc>
          <w:tcPr>
            <w:tcW w:w="330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328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0000FF"/>
              </w:rPr>
              <w:t>Director-by-Deputization</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3. Date of Earliest Transaction (Month/Day/Year)</w:t>
            </w: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10/27/2026</w:t>
            </w: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2C2C2C"/>
            </w:tcBorders>
          </w:tcPr>
          <w:p>
            <w:pPr>
              <w:spacing w:after="0"/>
              <w:rPr>
                <w:sz w:val="16"/>
                <w:szCs w:val="16"/>
                <w:color w:val="auto"/>
              </w:rPr>
            </w:pPr>
          </w:p>
        </w:tc>
        <w:tc>
          <w:tcPr>
            <w:tcW w:w="330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3280" w:type="dxa"/>
            <w:vAlign w:val="bottom"/>
            <w:tcBorders>
              <w:bottom w:val="single" w:sz="8" w:color="2C2C2C"/>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2"/>
          <w:szCs w:val="12"/>
          <w:color w:val="auto"/>
        </w:rPr>
        <w:t>Line)</w:t>
      </w:r>
    </w:p>
    <w:p>
      <w:pPr>
        <w:spacing w:after="0" w:line="25" w:lineRule="exact"/>
        <w:rPr>
          <w:sz w:val="20"/>
          <w:szCs w:val="20"/>
          <w:color w:val="auto"/>
        </w:rPr>
      </w:pPr>
    </w:p>
    <w:p>
      <w:pPr>
        <w:ind w:left="4440"/>
        <w:spacing w:after="0"/>
        <w:rPr>
          <w:sz w:val="20"/>
          <w:szCs w:val="20"/>
          <w:color w:val="auto"/>
        </w:rPr>
      </w:pPr>
      <w:r>
        <w:rPr>
          <w:rFonts w:ascii="Arial" w:cs="Arial" w:eastAsia="Arial" w:hAnsi="Arial"/>
          <w:sz w:val="12"/>
          <w:szCs w:val="12"/>
          <w:color w:val="auto"/>
        </w:rPr>
        <w:t>Form filed by One Reporting Person</w:t>
      </w:r>
    </w:p>
    <w:p>
      <w:pPr>
        <w:spacing w:after="0" w:line="74" w:lineRule="exact"/>
        <w:rPr>
          <w:sz w:val="20"/>
          <w:szCs w:val="20"/>
          <w:color w:val="auto"/>
        </w:rPr>
      </w:pPr>
    </w:p>
    <w:p>
      <w:pPr>
        <w:ind w:left="4440"/>
        <w:spacing w:after="0"/>
        <w:rPr>
          <w:sz w:val="20"/>
          <w:szCs w:val="20"/>
          <w:color w:val="auto"/>
        </w:rPr>
      </w:pPr>
      <w:r>
        <w:rPr>
          <w:rFonts w:ascii="Arial" w:cs="Arial" w:eastAsia="Arial" w:hAnsi="Arial"/>
          <w:sz w:val="12"/>
          <w:szCs w:val="12"/>
          <w:color w:val="auto"/>
        </w:rPr>
        <w:t>Form filed by More than One Reporting Person</w:t>
      </w:r>
    </w:p>
    <w:p>
      <w:pPr>
        <w:spacing w:after="0" w:line="497" w:lineRule="exact"/>
        <w:rPr>
          <w:sz w:val="20"/>
          <w:szCs w:val="20"/>
          <w:color w:val="auto"/>
        </w:rPr>
      </w:pPr>
    </w:p>
    <w:p>
      <w:pPr>
        <w:sectPr>
          <w:pgSz w:w="11900" w:h="16838" w:orient="portrait"/>
          <w:cols w:equalWidth="0" w:num="2">
            <w:col w:w="3760" w:space="80"/>
            <w:col w:w="7140"/>
          </w:cols>
          <w:pgMar w:left="460" w:top="214" w:right="459" w:bottom="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2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2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220" w:type="dxa"/>
            <w:vAlign w:val="bottom"/>
          </w:tcPr>
          <w:p>
            <w:pPr>
              <w:ind w:left="22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220" w:type="dxa"/>
            <w:vAlign w:val="bottom"/>
          </w:tcPr>
          <w:p>
            <w:pPr>
              <w:jc w:val="center"/>
              <w:ind w:left="63"/>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4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jc w:val="right"/>
              <w:ind w:right="22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1220" w:type="dxa"/>
            <w:vAlign w:val="bottom"/>
            <w:vMerge w:val="restart"/>
          </w:tcPr>
          <w:p>
            <w:pPr>
              <w:jc w:val="center"/>
              <w:ind w:left="83"/>
              <w:spacing w:after="0"/>
              <w:rPr>
                <w:sz w:val="20"/>
                <w:szCs w:val="20"/>
                <w:color w:val="auto"/>
              </w:rPr>
            </w:pPr>
            <w:r>
              <w:rPr>
                <w:rFonts w:ascii="Times New Roman" w:cs="Times New Roman" w:eastAsia="Times New Roman" w:hAnsi="Times New Roman"/>
                <w:sz w:val="16"/>
                <w:szCs w:val="16"/>
                <w:color w:val="0000FF"/>
              </w:rPr>
              <w:t>10/27/2026</w:t>
            </w:r>
          </w:p>
        </w:tc>
        <w:tc>
          <w:tcPr>
            <w:tcW w:w="104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12,926</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42.51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854,905</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(1)(2)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20" w:type="dxa"/>
            <w:vAlign w:val="bottom"/>
            <w:tcBorders>
              <w:bottom w:val="single" w:sz="8" w:color="2C2C2C"/>
            </w:tcBorders>
            <w:vMerge w:val="continue"/>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20" w:type="dxa"/>
            <w:vAlign w:val="bottom"/>
            <w:vMerge w:val="restart"/>
          </w:tcPr>
          <w:p>
            <w:pPr>
              <w:jc w:val="center"/>
              <w:ind w:left="83"/>
              <w:spacing w:after="0"/>
              <w:rPr>
                <w:sz w:val="20"/>
                <w:szCs w:val="20"/>
                <w:color w:val="auto"/>
              </w:rPr>
            </w:pPr>
            <w:r>
              <w:rPr>
                <w:rFonts w:ascii="Times New Roman" w:cs="Times New Roman" w:eastAsia="Times New Roman" w:hAnsi="Times New Roman"/>
                <w:sz w:val="16"/>
                <w:szCs w:val="16"/>
                <w:color w:val="0000FF"/>
              </w:rPr>
              <w:t>10/27/2026</w:t>
            </w:r>
          </w:p>
        </w:tc>
        <w:tc>
          <w:tcPr>
            <w:tcW w:w="104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496</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42.51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21,408</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(1)(3)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2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20" w:type="dxa"/>
            <w:vAlign w:val="bottom"/>
            <w:vMerge w:val="restart"/>
          </w:tcPr>
          <w:p>
            <w:pPr>
              <w:jc w:val="center"/>
              <w:ind w:left="83"/>
              <w:spacing w:after="0"/>
              <w:rPr>
                <w:sz w:val="20"/>
                <w:szCs w:val="20"/>
                <w:color w:val="auto"/>
              </w:rPr>
            </w:pPr>
            <w:r>
              <w:rPr>
                <w:rFonts w:ascii="Times New Roman" w:cs="Times New Roman" w:eastAsia="Times New Roman" w:hAnsi="Times New Roman"/>
                <w:sz w:val="16"/>
                <w:szCs w:val="16"/>
                <w:color w:val="0000FF"/>
              </w:rPr>
              <w:t>10/27/2026</w:t>
            </w:r>
          </w:p>
        </w:tc>
        <w:tc>
          <w:tcPr>
            <w:tcW w:w="104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2,841</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42.51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110,631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(1)(4)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2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20" w:type="dxa"/>
            <w:vAlign w:val="bottom"/>
            <w:vMerge w:val="restart"/>
          </w:tcPr>
          <w:p>
            <w:pPr>
              <w:jc w:val="center"/>
              <w:ind w:left="83"/>
              <w:spacing w:after="0"/>
              <w:rPr>
                <w:sz w:val="20"/>
                <w:szCs w:val="20"/>
                <w:color w:val="auto"/>
              </w:rPr>
            </w:pPr>
            <w:r>
              <w:rPr>
                <w:rFonts w:ascii="Times New Roman" w:cs="Times New Roman" w:eastAsia="Times New Roman" w:hAnsi="Times New Roman"/>
                <w:sz w:val="16"/>
                <w:szCs w:val="16"/>
                <w:color w:val="0000FF"/>
              </w:rPr>
              <w:t>10/27/2026</w:t>
            </w:r>
          </w:p>
        </w:tc>
        <w:tc>
          <w:tcPr>
            <w:tcW w:w="104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133</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42.51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5,177</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(1)(5)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2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20" w:type="dxa"/>
            <w:vAlign w:val="bottom"/>
            <w:vMerge w:val="restart"/>
          </w:tcPr>
          <w:p>
            <w:pPr>
              <w:jc w:val="center"/>
              <w:ind w:left="83"/>
              <w:spacing w:after="0"/>
              <w:rPr>
                <w:sz w:val="20"/>
                <w:szCs w:val="20"/>
                <w:color w:val="auto"/>
              </w:rPr>
            </w:pPr>
            <w:r>
              <w:rPr>
                <w:rFonts w:ascii="Times New Roman" w:cs="Times New Roman" w:eastAsia="Times New Roman" w:hAnsi="Times New Roman"/>
                <w:sz w:val="16"/>
                <w:szCs w:val="16"/>
                <w:color w:val="0000FF"/>
              </w:rPr>
              <w:t>10/27/2026</w:t>
            </w:r>
          </w:p>
        </w:tc>
        <w:tc>
          <w:tcPr>
            <w:tcW w:w="104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7,142</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42.51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372,196</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(1)(6)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2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20" w:type="dxa"/>
            <w:vAlign w:val="bottom"/>
            <w:vMerge w:val="restart"/>
          </w:tcPr>
          <w:p>
            <w:pPr>
              <w:jc w:val="center"/>
              <w:ind w:left="83"/>
              <w:spacing w:after="0"/>
              <w:rPr>
                <w:sz w:val="20"/>
                <w:szCs w:val="20"/>
                <w:color w:val="auto"/>
              </w:rPr>
            </w:pPr>
            <w:r>
              <w:rPr>
                <w:rFonts w:ascii="Times New Roman" w:cs="Times New Roman" w:eastAsia="Times New Roman" w:hAnsi="Times New Roman"/>
                <w:sz w:val="16"/>
                <w:szCs w:val="16"/>
                <w:color w:val="0000FF"/>
              </w:rPr>
              <w:t>10/28/2026</w:t>
            </w:r>
          </w:p>
        </w:tc>
        <w:tc>
          <w:tcPr>
            <w:tcW w:w="104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2,834</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42.02</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852,071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(1)(2)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2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20" w:type="dxa"/>
            <w:vAlign w:val="bottom"/>
            <w:vMerge w:val="restart"/>
          </w:tcPr>
          <w:p>
            <w:pPr>
              <w:jc w:val="center"/>
              <w:ind w:left="83"/>
              <w:spacing w:after="0"/>
              <w:rPr>
                <w:sz w:val="20"/>
                <w:szCs w:val="20"/>
                <w:color w:val="auto"/>
              </w:rPr>
            </w:pPr>
            <w:r>
              <w:rPr>
                <w:rFonts w:ascii="Times New Roman" w:cs="Times New Roman" w:eastAsia="Times New Roman" w:hAnsi="Times New Roman"/>
                <w:sz w:val="16"/>
                <w:szCs w:val="16"/>
                <w:color w:val="0000FF"/>
              </w:rPr>
              <w:t>10/28/2026</w:t>
            </w:r>
          </w:p>
        </w:tc>
        <w:tc>
          <w:tcPr>
            <w:tcW w:w="104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109</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42.02</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21,299</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(1)(3)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2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20" w:type="dxa"/>
            <w:vAlign w:val="bottom"/>
            <w:vMerge w:val="restart"/>
          </w:tcPr>
          <w:p>
            <w:pPr>
              <w:jc w:val="center"/>
              <w:ind w:left="83"/>
              <w:spacing w:after="0"/>
              <w:rPr>
                <w:sz w:val="20"/>
                <w:szCs w:val="20"/>
                <w:color w:val="auto"/>
              </w:rPr>
            </w:pPr>
            <w:r>
              <w:rPr>
                <w:rFonts w:ascii="Times New Roman" w:cs="Times New Roman" w:eastAsia="Times New Roman" w:hAnsi="Times New Roman"/>
                <w:sz w:val="16"/>
                <w:szCs w:val="16"/>
                <w:color w:val="0000FF"/>
              </w:rPr>
              <w:t>10/28/2026</w:t>
            </w:r>
          </w:p>
        </w:tc>
        <w:tc>
          <w:tcPr>
            <w:tcW w:w="104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623</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42.02</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110,008</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(1)(4)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2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20" w:type="dxa"/>
            <w:vAlign w:val="bottom"/>
            <w:vMerge w:val="restart"/>
          </w:tcPr>
          <w:p>
            <w:pPr>
              <w:jc w:val="center"/>
              <w:ind w:left="83"/>
              <w:spacing w:after="0"/>
              <w:rPr>
                <w:sz w:val="20"/>
                <w:szCs w:val="20"/>
                <w:color w:val="auto"/>
              </w:rPr>
            </w:pPr>
            <w:r>
              <w:rPr>
                <w:rFonts w:ascii="Times New Roman" w:cs="Times New Roman" w:eastAsia="Times New Roman" w:hAnsi="Times New Roman"/>
                <w:sz w:val="16"/>
                <w:szCs w:val="16"/>
                <w:color w:val="0000FF"/>
              </w:rPr>
              <w:t>10/28/2026</w:t>
            </w:r>
          </w:p>
        </w:tc>
        <w:tc>
          <w:tcPr>
            <w:tcW w:w="104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29</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42.02</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5,148</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(1)(5)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2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20" w:type="dxa"/>
            <w:vAlign w:val="bottom"/>
            <w:vMerge w:val="restart"/>
          </w:tcPr>
          <w:p>
            <w:pPr>
              <w:jc w:val="center"/>
              <w:ind w:left="83"/>
              <w:spacing w:after="0"/>
              <w:rPr>
                <w:sz w:val="20"/>
                <w:szCs w:val="20"/>
                <w:color w:val="auto"/>
              </w:rPr>
            </w:pPr>
            <w:r>
              <w:rPr>
                <w:rFonts w:ascii="Times New Roman" w:cs="Times New Roman" w:eastAsia="Times New Roman" w:hAnsi="Times New Roman"/>
                <w:sz w:val="16"/>
                <w:szCs w:val="16"/>
                <w:color w:val="0000FF"/>
              </w:rPr>
              <w:t>10/28/2026</w:t>
            </w:r>
          </w:p>
        </w:tc>
        <w:tc>
          <w:tcPr>
            <w:tcW w:w="104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1,565</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42.02</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370,631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(1)(6)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2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20" w:type="dxa"/>
            <w:vAlign w:val="bottom"/>
            <w:vMerge w:val="restart"/>
          </w:tcPr>
          <w:p>
            <w:pPr>
              <w:jc w:val="center"/>
              <w:ind w:left="83"/>
              <w:spacing w:after="0"/>
              <w:rPr>
                <w:sz w:val="20"/>
                <w:szCs w:val="20"/>
                <w:color w:val="auto"/>
              </w:rPr>
            </w:pPr>
            <w:r>
              <w:rPr>
                <w:rFonts w:ascii="Times New Roman" w:cs="Times New Roman" w:eastAsia="Times New Roman" w:hAnsi="Times New Roman"/>
                <w:sz w:val="16"/>
                <w:szCs w:val="16"/>
                <w:color w:val="0000FF"/>
              </w:rPr>
              <w:t>10/29/2026</w:t>
            </w:r>
          </w:p>
        </w:tc>
        <w:tc>
          <w:tcPr>
            <w:tcW w:w="104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1,444</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42.38</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850,627</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(1)(2)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2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20" w:type="dxa"/>
            <w:vAlign w:val="bottom"/>
            <w:vMerge w:val="restart"/>
          </w:tcPr>
          <w:p>
            <w:pPr>
              <w:jc w:val="center"/>
              <w:ind w:left="83"/>
              <w:spacing w:after="0"/>
              <w:rPr>
                <w:sz w:val="20"/>
                <w:szCs w:val="20"/>
                <w:color w:val="auto"/>
              </w:rPr>
            </w:pPr>
            <w:r>
              <w:rPr>
                <w:rFonts w:ascii="Times New Roman" w:cs="Times New Roman" w:eastAsia="Times New Roman" w:hAnsi="Times New Roman"/>
                <w:sz w:val="16"/>
                <w:szCs w:val="16"/>
                <w:color w:val="0000FF"/>
              </w:rPr>
              <w:t>10/29/2026</w:t>
            </w:r>
          </w:p>
        </w:tc>
        <w:tc>
          <w:tcPr>
            <w:tcW w:w="104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55</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42.38</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21,244</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(1)(3)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2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20" w:type="dxa"/>
            <w:vAlign w:val="bottom"/>
            <w:vMerge w:val="restart"/>
          </w:tcPr>
          <w:p>
            <w:pPr>
              <w:jc w:val="center"/>
              <w:ind w:left="83"/>
              <w:spacing w:after="0"/>
              <w:rPr>
                <w:sz w:val="20"/>
                <w:szCs w:val="20"/>
                <w:color w:val="auto"/>
              </w:rPr>
            </w:pPr>
            <w:r>
              <w:rPr>
                <w:rFonts w:ascii="Times New Roman" w:cs="Times New Roman" w:eastAsia="Times New Roman" w:hAnsi="Times New Roman"/>
                <w:sz w:val="16"/>
                <w:szCs w:val="16"/>
                <w:color w:val="0000FF"/>
              </w:rPr>
              <w:t>10/29/2026</w:t>
            </w:r>
          </w:p>
        </w:tc>
        <w:tc>
          <w:tcPr>
            <w:tcW w:w="104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318</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42.38</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109,690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(1)(4)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2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20" w:type="dxa"/>
            <w:vAlign w:val="bottom"/>
            <w:vMerge w:val="restart"/>
          </w:tcPr>
          <w:p>
            <w:pPr>
              <w:jc w:val="center"/>
              <w:ind w:left="83"/>
              <w:spacing w:after="0"/>
              <w:rPr>
                <w:sz w:val="20"/>
                <w:szCs w:val="20"/>
                <w:color w:val="auto"/>
              </w:rPr>
            </w:pPr>
            <w:r>
              <w:rPr>
                <w:rFonts w:ascii="Times New Roman" w:cs="Times New Roman" w:eastAsia="Times New Roman" w:hAnsi="Times New Roman"/>
                <w:sz w:val="16"/>
                <w:szCs w:val="16"/>
                <w:color w:val="0000FF"/>
              </w:rPr>
              <w:t>10/29/2026</w:t>
            </w:r>
          </w:p>
        </w:tc>
        <w:tc>
          <w:tcPr>
            <w:tcW w:w="104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15</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42.38</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5,133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(1)(5)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2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20" w:type="dxa"/>
            <w:vAlign w:val="bottom"/>
            <w:vMerge w:val="restart"/>
          </w:tcPr>
          <w:p>
            <w:pPr>
              <w:jc w:val="center"/>
              <w:ind w:left="83"/>
              <w:spacing w:after="0"/>
              <w:rPr>
                <w:sz w:val="20"/>
                <w:szCs w:val="20"/>
                <w:color w:val="auto"/>
              </w:rPr>
            </w:pPr>
            <w:r>
              <w:rPr>
                <w:rFonts w:ascii="Times New Roman" w:cs="Times New Roman" w:eastAsia="Times New Roman" w:hAnsi="Times New Roman"/>
                <w:sz w:val="16"/>
                <w:szCs w:val="16"/>
                <w:color w:val="0000FF"/>
              </w:rPr>
              <w:t>10/29/2026</w:t>
            </w:r>
          </w:p>
        </w:tc>
        <w:tc>
          <w:tcPr>
            <w:tcW w:w="104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799</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42.38</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369,832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(1)(6)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2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1,545</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2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(1)(7)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02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179,380</w:t>
            </w:r>
          </w:p>
        </w:tc>
        <w:tc>
          <w:tcPr>
            <w:tcW w:w="920" w:type="dxa"/>
            <w:vAlign w:val="bottom"/>
            <w:tcBorders>
              <w:bottom w:val="single" w:sz="8" w:color="2C2C2C"/>
            </w:tcBorders>
          </w:tcPr>
          <w:p>
            <w:pPr>
              <w:jc w:val="center"/>
              <w:ind w:left="6"/>
              <w:spacing w:after="0" w:line="299" w:lineRule="exact"/>
              <w:rPr>
                <w:sz w:val="20"/>
                <w:szCs w:val="20"/>
                <w:color w:val="auto"/>
              </w:rPr>
            </w:pPr>
            <w:r>
              <w:rPr>
                <w:rFonts w:ascii="Times New Roman" w:cs="Times New Roman" w:eastAsia="Times New Roman" w:hAnsi="Times New Roman"/>
                <w:sz w:val="32"/>
                <w:szCs w:val="32"/>
                <w:color w:val="0000FF"/>
                <w:w w:val="92"/>
                <w:vertAlign w:val="subscript"/>
              </w:rPr>
              <w:t>D</w:t>
            </w:r>
            <w:r>
              <w:rPr>
                <w:rFonts w:ascii="Times New Roman" w:cs="Times New Roman" w:eastAsia="Times New Roman" w:hAnsi="Times New Roman"/>
                <w:sz w:val="10"/>
                <w:szCs w:val="10"/>
                <w:color w:val="008000"/>
                <w:w w:val="92"/>
              </w:rPr>
              <w:t>(1)(8)</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138,282</w:t>
            </w:r>
          </w:p>
        </w:tc>
        <w:tc>
          <w:tcPr>
            <w:tcW w:w="920" w:type="dxa"/>
            <w:vAlign w:val="bottom"/>
            <w:tcBorders>
              <w:bottom w:val="single" w:sz="8" w:color="2C2C2C"/>
            </w:tcBorders>
          </w:tcPr>
          <w:p>
            <w:pPr>
              <w:jc w:val="center"/>
              <w:ind w:left="6"/>
              <w:spacing w:after="0" w:line="299" w:lineRule="exact"/>
              <w:rPr>
                <w:sz w:val="20"/>
                <w:szCs w:val="20"/>
                <w:color w:val="auto"/>
              </w:rPr>
            </w:pPr>
            <w:r>
              <w:rPr>
                <w:rFonts w:ascii="Times New Roman" w:cs="Times New Roman" w:eastAsia="Times New Roman" w:hAnsi="Times New Roman"/>
                <w:sz w:val="32"/>
                <w:szCs w:val="32"/>
                <w:color w:val="0000FF"/>
                <w:w w:val="92"/>
                <w:vertAlign w:val="subscript"/>
              </w:rPr>
              <w:t>D</w:t>
            </w:r>
            <w:r>
              <w:rPr>
                <w:rFonts w:ascii="Times New Roman" w:cs="Times New Roman" w:eastAsia="Times New Roman" w:hAnsi="Times New Roman"/>
                <w:sz w:val="10"/>
                <w:szCs w:val="10"/>
                <w:color w:val="008000"/>
                <w:w w:val="92"/>
              </w:rPr>
              <w:t>(1)(9)</w:t>
            </w:r>
          </w:p>
        </w:tc>
        <w:tc>
          <w:tcPr>
            <w:tcW w:w="9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02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ectPr>
          <w:pgSz w:w="11900" w:h="16838" w:orient="portrait"/>
          <w:cols w:equalWidth="0" w:num="1">
            <w:col w:w="10980"/>
          </w:cols>
          <w:pgMar w:left="460" w:top="214" w:right="4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1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0"/>
                <w:szCs w:val="10"/>
                <w:color w:val="auto"/>
              </w:rPr>
            </w:pP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3"/>
          </w:tcPr>
          <w:p>
            <w:pPr>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2"/>
          </w:tcPr>
          <w:p>
            <w:pPr>
              <w:ind w:left="1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gridSpan w:val="3"/>
            <w:vMerge w:val="restart"/>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vMerge w:val="restart"/>
          </w:tcPr>
          <w:p>
            <w:pPr>
              <w:ind w:left="160"/>
              <w:spacing w:after="0" w:line="125" w:lineRule="exact"/>
              <w:rPr>
                <w:sz w:val="20"/>
                <w:szCs w:val="20"/>
                <w:color w:val="auto"/>
              </w:rPr>
            </w:pPr>
            <w:r>
              <w:rPr>
                <w:rFonts w:ascii="Arial" w:cs="Arial" w:eastAsia="Arial" w:hAnsi="Arial"/>
                <w:sz w:val="11"/>
                <w:szCs w:val="11"/>
                <w:b w:val="1"/>
                <w:bCs w:val="1"/>
                <w:color w:val="auto"/>
              </w:rPr>
              <w:t>Conversion</w:t>
            </w:r>
          </w:p>
        </w:tc>
        <w:tc>
          <w:tcPr>
            <w:tcW w:w="96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060" w:type="dxa"/>
            <w:vAlign w:val="bottom"/>
            <w:gridSpan w:val="17"/>
          </w:tcPr>
          <w:p>
            <w:pPr>
              <w:jc w:val="center"/>
              <w:ind w:right="146"/>
              <w:spacing w:after="0" w:line="50"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60" w:type="dxa"/>
            <w:vAlign w:val="bottom"/>
            <w:gridSpan w:val="2"/>
            <w:vMerge w:val="restart"/>
          </w:tcPr>
          <w:p>
            <w:pPr>
              <w:ind w:left="8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gridSpan w:val="3"/>
          </w:tcPr>
          <w:p>
            <w:pPr>
              <w:spacing w:after="0" w:line="75" w:lineRule="exact"/>
              <w:rPr>
                <w:sz w:val="20"/>
                <w:szCs w:val="20"/>
                <w:color w:val="auto"/>
              </w:rPr>
            </w:pPr>
            <w:r>
              <w:rPr>
                <w:rFonts w:ascii="Arial" w:cs="Arial" w:eastAsia="Arial" w:hAnsi="Arial"/>
                <w:sz w:val="8"/>
                <w:szCs w:val="8"/>
                <w:b w:val="1"/>
                <w:bCs w:val="1"/>
                <w:color w:val="auto"/>
              </w:rPr>
              <w:t>Execution Date,</w:t>
            </w:r>
          </w:p>
        </w:tc>
        <w:tc>
          <w:tcPr>
            <w:tcW w:w="640" w:type="dxa"/>
            <w:vAlign w:val="bottom"/>
            <w:gridSpan w:val="4"/>
          </w:tcPr>
          <w:p>
            <w:pPr>
              <w:spacing w:after="0" w:line="75" w:lineRule="exact"/>
              <w:rPr>
                <w:sz w:val="20"/>
                <w:szCs w:val="20"/>
                <w:color w:val="auto"/>
              </w:rPr>
            </w:pPr>
            <w:r>
              <w:rPr>
                <w:rFonts w:ascii="Arial" w:cs="Arial" w:eastAsia="Arial" w:hAnsi="Arial"/>
                <w:sz w:val="8"/>
                <w:szCs w:val="8"/>
                <w:b w:val="1"/>
                <w:bCs w:val="1"/>
                <w:color w:val="auto"/>
              </w:rPr>
              <w:t>Transaction</w:t>
            </w:r>
          </w:p>
        </w:tc>
        <w:tc>
          <w:tcPr>
            <w:tcW w:w="920" w:type="dxa"/>
            <w:vAlign w:val="bottom"/>
            <w:gridSpan w:val="2"/>
          </w:tcPr>
          <w:p>
            <w:pPr>
              <w:ind w:left="180"/>
              <w:spacing w:after="0" w:line="75" w:lineRule="exact"/>
              <w:rPr>
                <w:sz w:val="20"/>
                <w:szCs w:val="20"/>
                <w:color w:val="auto"/>
              </w:rPr>
            </w:pPr>
            <w:r>
              <w:rPr>
                <w:rFonts w:ascii="Arial" w:cs="Arial" w:eastAsia="Arial" w:hAnsi="Arial"/>
                <w:sz w:val="8"/>
                <w:szCs w:val="8"/>
                <w:b w:val="1"/>
                <w:bCs w:val="1"/>
                <w:color w:val="auto"/>
              </w:rPr>
              <w:t>of Derivative</w:t>
            </w:r>
          </w:p>
        </w:tc>
        <w:tc>
          <w:tcPr>
            <w:tcW w:w="1440" w:type="dxa"/>
            <w:vAlign w:val="bottom"/>
            <w:gridSpan w:val="2"/>
          </w:tcPr>
          <w:p>
            <w:pPr>
              <w:ind w:left="60"/>
              <w:spacing w:after="0" w:line="75" w:lineRule="exact"/>
              <w:rPr>
                <w:sz w:val="20"/>
                <w:szCs w:val="20"/>
                <w:color w:val="auto"/>
              </w:rPr>
            </w:pPr>
            <w:r>
              <w:rPr>
                <w:rFonts w:ascii="Arial" w:cs="Arial" w:eastAsia="Arial" w:hAnsi="Arial"/>
                <w:sz w:val="8"/>
                <w:szCs w:val="8"/>
                <w:b w:val="1"/>
                <w:bCs w:val="1"/>
                <w:color w:val="auto"/>
              </w:rPr>
              <w:t>Expiration Date</w:t>
            </w:r>
          </w:p>
        </w:tc>
        <w:tc>
          <w:tcPr>
            <w:tcW w:w="1180" w:type="dxa"/>
            <w:vAlign w:val="bottom"/>
            <w:gridSpan w:val="2"/>
          </w:tcPr>
          <w:p>
            <w:pPr>
              <w:ind w:left="60"/>
              <w:spacing w:after="0" w:line="75" w:lineRule="exact"/>
              <w:rPr>
                <w:sz w:val="20"/>
                <w:szCs w:val="20"/>
                <w:color w:val="auto"/>
              </w:rPr>
            </w:pPr>
            <w:r>
              <w:rPr>
                <w:rFonts w:ascii="Arial" w:cs="Arial" w:eastAsia="Arial" w:hAnsi="Arial"/>
                <w:sz w:val="8"/>
                <w:szCs w:val="8"/>
                <w:b w:val="1"/>
                <w:bCs w:val="1"/>
                <w:color w:val="auto"/>
              </w:rPr>
              <w:t>of Securities</w:t>
            </w:r>
          </w:p>
        </w:tc>
        <w:tc>
          <w:tcPr>
            <w:tcW w:w="680" w:type="dxa"/>
            <w:vAlign w:val="bottom"/>
          </w:tcPr>
          <w:p>
            <w:pPr>
              <w:ind w:left="80"/>
              <w:spacing w:after="0" w:line="75" w:lineRule="exact"/>
              <w:rPr>
                <w:sz w:val="20"/>
                <w:szCs w:val="20"/>
                <w:color w:val="auto"/>
              </w:rPr>
            </w:pPr>
            <w:r>
              <w:rPr>
                <w:rFonts w:ascii="Arial" w:cs="Arial" w:eastAsia="Arial" w:hAnsi="Arial"/>
                <w:sz w:val="8"/>
                <w:szCs w:val="8"/>
                <w:b w:val="1"/>
                <w:bCs w:val="1"/>
                <w:color w:val="auto"/>
              </w:rPr>
              <w:t>Derivative</w:t>
            </w:r>
          </w:p>
        </w:tc>
        <w:tc>
          <w:tcPr>
            <w:tcW w:w="9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40" w:type="dxa"/>
            <w:vAlign w:val="bottom"/>
            <w:gridSpan w:val="3"/>
          </w:tcPr>
          <w:p>
            <w:pPr>
              <w:ind w:left="60"/>
              <w:spacing w:after="0"/>
              <w:rPr>
                <w:sz w:val="20"/>
                <w:szCs w:val="20"/>
                <w:color w:val="auto"/>
              </w:rPr>
            </w:pPr>
            <w:r>
              <w:rPr>
                <w:rFonts w:ascii="Arial" w:cs="Arial" w:eastAsia="Arial" w:hAnsi="Arial"/>
                <w:sz w:val="2"/>
                <w:szCs w:val="2"/>
                <w:b w:val="1"/>
                <w:bCs w:val="1"/>
                <w:color w:val="auto"/>
              </w:rPr>
              <w:t>Security</w:t>
            </w:r>
          </w:p>
        </w:tc>
        <w:tc>
          <w:tcPr>
            <w:tcW w:w="840" w:type="dxa"/>
            <w:vAlign w:val="bottom"/>
            <w:gridSpan w:val="2"/>
          </w:tcPr>
          <w:p>
            <w:pPr>
              <w:ind w:left="160"/>
              <w:spacing w:after="0"/>
              <w:rPr>
                <w:sz w:val="20"/>
                <w:szCs w:val="20"/>
                <w:color w:val="auto"/>
              </w:rPr>
            </w:pPr>
            <w:r>
              <w:rPr>
                <w:rFonts w:ascii="Arial" w:cs="Arial" w:eastAsia="Arial" w:hAnsi="Arial"/>
                <w:sz w:val="2"/>
                <w:szCs w:val="2"/>
                <w:b w:val="1"/>
                <w:bCs w:val="1"/>
                <w:color w:val="auto"/>
              </w:rPr>
              <w:t>or Exercise</w:t>
            </w:r>
          </w:p>
        </w:tc>
        <w:tc>
          <w:tcPr>
            <w:tcW w:w="1100" w:type="dxa"/>
            <w:vAlign w:val="bottom"/>
            <w:gridSpan w:val="4"/>
          </w:tcPr>
          <w:p>
            <w:pPr>
              <w:ind w:left="60"/>
              <w:spacing w:after="0"/>
              <w:rPr>
                <w:sz w:val="20"/>
                <w:szCs w:val="20"/>
                <w:color w:val="auto"/>
              </w:rPr>
            </w:pPr>
            <w:r>
              <w:rPr>
                <w:rFonts w:ascii="Arial" w:cs="Arial" w:eastAsia="Arial" w:hAnsi="Arial"/>
                <w:sz w:val="2"/>
                <w:szCs w:val="2"/>
                <w:b w:val="1"/>
                <w:bCs w:val="1"/>
                <w:color w:val="auto"/>
              </w:rPr>
              <w:t>(Month/Day/Year)</w:t>
            </w:r>
          </w:p>
        </w:tc>
        <w:tc>
          <w:tcPr>
            <w:tcW w:w="520" w:type="dxa"/>
            <w:vAlign w:val="bottom"/>
          </w:tcPr>
          <w:p>
            <w:pPr>
              <w:spacing w:after="0"/>
              <w:rPr>
                <w:sz w:val="20"/>
                <w:szCs w:val="20"/>
                <w:color w:val="auto"/>
              </w:rPr>
            </w:pPr>
            <w:r>
              <w:rPr>
                <w:rFonts w:ascii="Arial" w:cs="Arial" w:eastAsia="Arial" w:hAnsi="Arial"/>
                <w:sz w:val="2"/>
                <w:szCs w:val="2"/>
                <w:b w:val="1"/>
                <w:bCs w:val="1"/>
                <w:color w:val="auto"/>
              </w:rPr>
              <w:t>if any</w:t>
            </w:r>
          </w:p>
        </w:tc>
        <w:tc>
          <w:tcPr>
            <w:tcW w:w="4720" w:type="dxa"/>
            <w:vAlign w:val="bottom"/>
            <w:gridSpan w:val="12"/>
          </w:tcPr>
          <w:p>
            <w:pPr>
              <w:jc w:val="center"/>
              <w:ind w:right="132"/>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Security</w:t>
            </w: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Securities</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Form:</w:t>
            </w:r>
          </w:p>
        </w:tc>
        <w:tc>
          <w:tcPr>
            <w:tcW w:w="7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gridSpan w:val="4"/>
          </w:tcPr>
          <w:p>
            <w:pPr>
              <w:spacing w:after="0" w:line="115" w:lineRule="exact"/>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180"/>
              <w:spacing w:after="0" w:line="115" w:lineRule="exact"/>
              <w:rPr>
                <w:sz w:val="20"/>
                <w:szCs w:val="20"/>
                <w:color w:val="auto"/>
              </w:rPr>
            </w:pPr>
            <w:r>
              <w:rPr>
                <w:rFonts w:ascii="Arial" w:cs="Arial" w:eastAsia="Arial" w:hAnsi="Arial"/>
                <w:sz w:val="11"/>
                <w:szCs w:val="11"/>
                <w:b w:val="1"/>
                <w:bCs w:val="1"/>
                <w:color w:val="auto"/>
              </w:rPr>
              <w:t>Secu ities</w:t>
            </w:r>
          </w:p>
        </w:tc>
        <w:tc>
          <w:tcPr>
            <w:tcW w:w="144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auto"/>
              </w:rPr>
              <w:t>(Month/Day/Year)</w:t>
            </w:r>
          </w:p>
        </w:tc>
        <w:tc>
          <w:tcPr>
            <w:tcW w:w="320" w:type="dxa"/>
            <w:vAlign w:val="bottom"/>
          </w:tcPr>
          <w:p>
            <w:pPr>
              <w:ind w:left="60"/>
              <w:spacing w:after="0" w:line="115" w:lineRule="exact"/>
              <w:rPr>
                <w:sz w:val="20"/>
                <w:szCs w:val="20"/>
                <w:color w:val="auto"/>
              </w:rPr>
            </w:pPr>
            <w:r>
              <w:rPr>
                <w:rFonts w:ascii="Arial" w:cs="Arial" w:eastAsia="Arial" w:hAnsi="Arial"/>
                <w:sz w:val="11"/>
                <w:szCs w:val="11"/>
                <w:b w:val="1"/>
                <w:bCs w:val="1"/>
                <w:color w:val="auto"/>
              </w:rPr>
              <w:t>Und</w:t>
            </w:r>
          </w:p>
        </w:tc>
        <w:tc>
          <w:tcPr>
            <w:tcW w:w="860" w:type="dxa"/>
            <w:vAlign w:val="bottom"/>
          </w:tcPr>
          <w:p>
            <w:pPr>
              <w:ind w:left="20"/>
              <w:spacing w:after="0" w:line="115" w:lineRule="exact"/>
              <w:rPr>
                <w:sz w:val="20"/>
                <w:szCs w:val="20"/>
                <w:color w:val="auto"/>
              </w:rPr>
            </w:pPr>
            <w:r>
              <w:rPr>
                <w:rFonts w:ascii="Arial" w:cs="Arial" w:eastAsia="Arial" w:hAnsi="Arial"/>
                <w:sz w:val="11"/>
                <w:szCs w:val="11"/>
                <w:b w:val="1"/>
                <w:bCs w:val="1"/>
                <w:color w:val="auto"/>
              </w:rPr>
              <w:t>rlying</w:t>
            </w:r>
          </w:p>
        </w:tc>
        <w:tc>
          <w:tcPr>
            <w:tcW w:w="6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34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160"/>
              <w:spacing w:after="0" w:line="112"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9"/>
                <w:szCs w:val="9"/>
                <w:color w:val="auto"/>
              </w:rPr>
            </w:pPr>
          </w:p>
        </w:tc>
        <w:tc>
          <w:tcPr>
            <w:tcW w:w="9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3. Transaction</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3A. Deemed</w:t>
            </w:r>
          </w:p>
        </w:tc>
        <w:tc>
          <w:tcPr>
            <w:tcW w:w="340" w:type="dxa"/>
            <w:vAlign w:val="bottom"/>
            <w:vMerge w:val="restart"/>
          </w:tcPr>
          <w:p>
            <w:pPr>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2"/>
          </w:tcPr>
          <w:p>
            <w:pPr>
              <w:ind w:left="180"/>
              <w:spacing w:after="0" w:line="112" w:lineRule="exact"/>
              <w:rPr>
                <w:sz w:val="20"/>
                <w:szCs w:val="20"/>
                <w:color w:val="auto"/>
              </w:rPr>
            </w:pPr>
            <w:r>
              <w:rPr>
                <w:rFonts w:ascii="Arial" w:cs="Arial" w:eastAsia="Arial" w:hAnsi="Arial"/>
                <w:sz w:val="11"/>
                <w:szCs w:val="11"/>
                <w:b w:val="1"/>
                <w:bCs w:val="1"/>
                <w:color w:val="auto"/>
              </w:rPr>
              <w:t>or Disposed</w:t>
            </w:r>
          </w:p>
        </w:tc>
        <w:tc>
          <w:tcPr>
            <w:tcW w:w="14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line="112" w:lineRule="exact"/>
              <w:rPr>
                <w:sz w:val="20"/>
                <w:szCs w:val="20"/>
                <w:color w:val="auto"/>
              </w:rPr>
            </w:pPr>
            <w:r>
              <w:rPr>
                <w:rFonts w:ascii="Arial" w:cs="Arial" w:eastAsia="Arial" w:hAnsi="Arial"/>
                <w:sz w:val="11"/>
                <w:szCs w:val="11"/>
                <w:b w:val="1"/>
                <w:bCs w:val="1"/>
                <w:color w:val="auto"/>
              </w:rPr>
              <w:t>(Instr. 3 and 4)</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line="112"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12" w:lineRule="exact"/>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line="112" w:lineRule="exact"/>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720" w:type="dxa"/>
            <w:vAlign w:val="bottom"/>
          </w:tcPr>
          <w:p>
            <w:pPr>
              <w:ind w:left="160"/>
              <w:spacing w:after="0" w:line="100" w:lineRule="exact"/>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2"/>
          </w:tcPr>
          <w:p>
            <w:pPr>
              <w:ind w:left="180"/>
              <w:spacing w:after="0" w:line="100" w:lineRule="exact"/>
              <w:rPr>
                <w:sz w:val="20"/>
                <w:szCs w:val="20"/>
                <w:color w:val="auto"/>
              </w:rPr>
            </w:pPr>
            <w:r>
              <w:rPr>
                <w:rFonts w:ascii="Arial" w:cs="Arial" w:eastAsia="Arial" w:hAnsi="Arial"/>
                <w:sz w:val="11"/>
                <w:szCs w:val="11"/>
                <w:b w:val="1"/>
                <w:bCs w:val="1"/>
                <w:color w:val="auto"/>
              </w:rPr>
              <w:t>5. Number</w:t>
            </w:r>
          </w:p>
        </w:tc>
        <w:tc>
          <w:tcPr>
            <w:tcW w:w="1440" w:type="dxa"/>
            <w:vAlign w:val="bottom"/>
            <w:gridSpan w:val="2"/>
            <w:vMerge w:val="continue"/>
          </w:tcPr>
          <w:p>
            <w:pPr>
              <w:spacing w:after="0"/>
              <w:rPr>
                <w:sz w:val="8"/>
                <w:szCs w:val="8"/>
                <w:color w:val="auto"/>
              </w:rPr>
            </w:pPr>
          </w:p>
        </w:tc>
        <w:tc>
          <w:tcPr>
            <w:tcW w:w="1180" w:type="dxa"/>
            <w:vAlign w:val="bottom"/>
            <w:gridSpan w:val="2"/>
          </w:tcPr>
          <w:p>
            <w:pPr>
              <w:ind w:left="60"/>
              <w:spacing w:after="0" w:line="100" w:lineRule="exact"/>
              <w:rPr>
                <w:sz w:val="20"/>
                <w:szCs w:val="20"/>
                <w:color w:val="auto"/>
              </w:rPr>
            </w:pPr>
            <w:r>
              <w:rPr>
                <w:rFonts w:ascii="Arial" w:cs="Arial" w:eastAsia="Arial" w:hAnsi="Arial"/>
                <w:sz w:val="11"/>
                <w:szCs w:val="11"/>
                <w:b w:val="1"/>
                <w:bCs w:val="1"/>
                <w:color w:val="auto"/>
              </w:rPr>
              <w:t>7. Title and Amount</w:t>
            </w:r>
          </w:p>
        </w:tc>
        <w:tc>
          <w:tcPr>
            <w:tcW w:w="680" w:type="dxa"/>
            <w:vAlign w:val="bottom"/>
            <w:vMerge w:val="continue"/>
          </w:tcPr>
          <w:p>
            <w:pPr>
              <w:spacing w:after="0"/>
              <w:rPr>
                <w:sz w:val="8"/>
                <w:szCs w:val="8"/>
                <w:color w:val="auto"/>
              </w:rPr>
            </w:pPr>
          </w:p>
        </w:tc>
        <w:tc>
          <w:tcPr>
            <w:tcW w:w="900" w:type="dxa"/>
            <w:vAlign w:val="bottom"/>
          </w:tcPr>
          <w:p>
            <w:pPr>
              <w:ind w:left="60"/>
              <w:spacing w:after="0" w:line="100" w:lineRule="exact"/>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line="100" w:lineRule="exact"/>
              <w:rPr>
                <w:sz w:val="20"/>
                <w:szCs w:val="20"/>
                <w:color w:val="auto"/>
              </w:rPr>
            </w:pPr>
            <w:r>
              <w:rPr>
                <w:rFonts w:ascii="Arial" w:cs="Arial" w:eastAsia="Arial" w:hAnsi="Arial"/>
                <w:sz w:val="11"/>
                <w:szCs w:val="11"/>
                <w:b w:val="1"/>
                <w:bCs w:val="1"/>
                <w:color w:val="auto"/>
              </w:rPr>
              <w:t>10.</w:t>
            </w:r>
          </w:p>
        </w:tc>
        <w:tc>
          <w:tcPr>
            <w:tcW w:w="760" w:type="dxa"/>
            <w:vAlign w:val="bottom"/>
            <w:gridSpan w:val="2"/>
          </w:tcPr>
          <w:p>
            <w:pPr>
              <w:ind w:left="80"/>
              <w:spacing w:after="0" w:line="100" w:lineRule="exact"/>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gridSpan w:val="3"/>
            <w:vMerge w:val="restart"/>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160"/>
              <w:spacing w:after="0"/>
              <w:rPr>
                <w:sz w:val="20"/>
                <w:szCs w:val="20"/>
                <w:color w:val="auto"/>
              </w:rPr>
            </w:pPr>
            <w:r>
              <w:rPr>
                <w:rFonts w:ascii="Arial" w:cs="Arial" w:eastAsia="Arial" w:hAnsi="Arial"/>
                <w:sz w:val="2"/>
                <w:szCs w:val="2"/>
                <w:b w:val="1"/>
                <w:bCs w:val="1"/>
                <w:color w:val="auto"/>
              </w:rPr>
              <w:t>Security</w:t>
            </w:r>
          </w:p>
        </w:tc>
        <w:tc>
          <w:tcPr>
            <w:tcW w:w="120" w:type="dxa"/>
            <w:vAlign w:val="bottom"/>
          </w:tcPr>
          <w:p>
            <w:pPr>
              <w:spacing w:after="0"/>
              <w:rPr>
                <w:sz w:val="2"/>
                <w:szCs w:val="2"/>
                <w:color w:val="auto"/>
              </w:rPr>
            </w:pPr>
          </w:p>
        </w:tc>
        <w:tc>
          <w:tcPr>
            <w:tcW w:w="96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Execution Date,</w:t>
            </w:r>
          </w:p>
        </w:tc>
        <w:tc>
          <w:tcPr>
            <w:tcW w:w="64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w w:val="99"/>
              </w:rPr>
              <w:t>Transaction</w:t>
            </w:r>
          </w:p>
        </w:tc>
        <w:tc>
          <w:tcPr>
            <w:tcW w:w="920" w:type="dxa"/>
            <w:vAlign w:val="bottom"/>
            <w:gridSpan w:val="2"/>
          </w:tcPr>
          <w:p>
            <w:pPr>
              <w:ind w:left="180"/>
              <w:spacing w:after="0"/>
              <w:rPr>
                <w:sz w:val="20"/>
                <w:szCs w:val="20"/>
                <w:color w:val="auto"/>
              </w:rPr>
            </w:pPr>
            <w:r>
              <w:rPr>
                <w:rFonts w:ascii="Arial" w:cs="Arial" w:eastAsia="Arial" w:hAnsi="Arial"/>
                <w:sz w:val="2"/>
                <w:szCs w:val="2"/>
                <w:b w:val="1"/>
                <w:bCs w:val="1"/>
                <w:color w:val="auto"/>
              </w:rPr>
              <w:t>of (D) (Instr.</w:t>
            </w:r>
          </w:p>
        </w:tc>
        <w:tc>
          <w:tcPr>
            <w:tcW w:w="1440" w:type="dxa"/>
            <w:vAlign w:val="bottom"/>
            <w:gridSpan w:val="2"/>
            <w:vMerge w:val="restart"/>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vMerge w:val="restart"/>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2"/>
                <w:szCs w:val="2"/>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2"/>
                <w:szCs w:val="2"/>
                <w:b w:val="1"/>
                <w:bCs w:val="1"/>
                <w:color w:val="auto"/>
              </w:rPr>
              <w:t>(I) (Instr. 4)</w:t>
            </w:r>
          </w:p>
        </w:tc>
        <w:tc>
          <w:tcPr>
            <w:tcW w:w="760" w:type="dxa"/>
            <w:vAlign w:val="bottom"/>
            <w:gridSpan w:val="2"/>
            <w:vMerge w:val="restart"/>
          </w:tcPr>
          <w:p>
            <w:pPr>
              <w:ind w:left="8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gridSpan w:val="2"/>
          </w:tcPr>
          <w:p>
            <w:pPr>
              <w:ind w:left="160"/>
              <w:spacing w:after="0" w:line="100" w:lineRule="exact"/>
              <w:rPr>
                <w:sz w:val="20"/>
                <w:szCs w:val="20"/>
                <w:color w:val="auto"/>
              </w:rPr>
            </w:pPr>
            <w:r>
              <w:rPr>
                <w:rFonts w:ascii="Arial" w:cs="Arial" w:eastAsia="Arial" w:hAnsi="Arial"/>
                <w:sz w:val="11"/>
                <w:szCs w:val="11"/>
                <w:b w:val="1"/>
                <w:bCs w:val="1"/>
                <w:color w:val="auto"/>
              </w:rPr>
              <w:t>Conversion</w:t>
            </w:r>
          </w:p>
        </w:tc>
        <w:tc>
          <w:tcPr>
            <w:tcW w:w="9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640" w:type="dxa"/>
            <w:vAlign w:val="bottom"/>
            <w:gridSpan w:val="4"/>
            <w:vMerge w:val="continue"/>
          </w:tcPr>
          <w:p>
            <w:pPr>
              <w:spacing w:after="0"/>
              <w:rPr>
                <w:sz w:val="8"/>
                <w:szCs w:val="8"/>
                <w:color w:val="auto"/>
              </w:rPr>
            </w:pPr>
          </w:p>
        </w:tc>
        <w:tc>
          <w:tcPr>
            <w:tcW w:w="920" w:type="dxa"/>
            <w:vAlign w:val="bottom"/>
            <w:gridSpan w:val="2"/>
          </w:tcPr>
          <w:p>
            <w:pPr>
              <w:ind w:left="180"/>
              <w:spacing w:after="0" w:line="100" w:lineRule="exact"/>
              <w:rPr>
                <w:sz w:val="20"/>
                <w:szCs w:val="20"/>
                <w:color w:val="auto"/>
              </w:rPr>
            </w:pPr>
            <w:r>
              <w:rPr>
                <w:rFonts w:ascii="Arial" w:cs="Arial" w:eastAsia="Arial" w:hAnsi="Arial"/>
                <w:sz w:val="11"/>
                <w:szCs w:val="11"/>
                <w:b w:val="1"/>
                <w:bCs w:val="1"/>
                <w:color w:val="auto"/>
              </w:rPr>
              <w:t>of Derivative</w:t>
            </w:r>
          </w:p>
        </w:tc>
        <w:tc>
          <w:tcPr>
            <w:tcW w:w="14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00" w:type="dxa"/>
            <w:vAlign w:val="bottom"/>
          </w:tcPr>
          <w:p>
            <w:pPr>
              <w:ind w:left="60"/>
              <w:spacing w:after="0" w:line="100"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00" w:lineRule="exact"/>
              <w:rPr>
                <w:sz w:val="20"/>
                <w:szCs w:val="20"/>
                <w:color w:val="auto"/>
              </w:rPr>
            </w:pPr>
            <w:r>
              <w:rPr>
                <w:rFonts w:ascii="Arial" w:cs="Arial" w:eastAsia="Arial" w:hAnsi="Arial"/>
                <w:sz w:val="11"/>
                <w:szCs w:val="11"/>
                <w:b w:val="1"/>
                <w:bCs w:val="1"/>
                <w:color w:val="auto"/>
              </w:rPr>
              <w:t>Ownership</w:t>
            </w:r>
          </w:p>
        </w:tc>
        <w:tc>
          <w:tcPr>
            <w:tcW w:w="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gridSpan w:val="2"/>
          </w:tcPr>
          <w:p>
            <w:pPr>
              <w:ind w:left="180"/>
              <w:spacing w:after="0"/>
              <w:rPr>
                <w:sz w:val="20"/>
                <w:szCs w:val="20"/>
                <w:color w:val="auto"/>
              </w:rPr>
            </w:pPr>
            <w:r>
              <w:rPr>
                <w:rFonts w:ascii="Arial" w:cs="Arial" w:eastAsia="Arial" w:hAnsi="Arial"/>
                <w:sz w:val="2"/>
                <w:szCs w:val="2"/>
                <w:b w:val="1"/>
                <w:bCs w:val="1"/>
                <w:color w:val="auto"/>
              </w:rPr>
              <w:t>3, 4 and 5)</w:t>
            </w: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ind w:left="60"/>
              <w:spacing w:after="0"/>
              <w:rPr>
                <w:sz w:val="20"/>
                <w:szCs w:val="20"/>
                <w:color w:val="auto"/>
              </w:rPr>
            </w:pPr>
            <w:r>
              <w:rPr>
                <w:rFonts w:ascii="Arial" w:cs="Arial" w:eastAsia="Arial" w:hAnsi="Arial"/>
                <w:sz w:val="2"/>
                <w:szCs w:val="2"/>
                <w:b w:val="1"/>
                <w:bCs w:val="1"/>
                <w:color w:val="auto"/>
              </w:rPr>
              <w:t>Reported</w:t>
            </w: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740" w:type="dxa"/>
            <w:vAlign w:val="bottom"/>
            <w:gridSpan w:val="3"/>
          </w:tcPr>
          <w:p>
            <w:pPr>
              <w:ind w:left="60"/>
              <w:spacing w:after="0" w:line="100"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160"/>
              <w:spacing w:after="0" w:line="100" w:lineRule="exact"/>
              <w:rPr>
                <w:sz w:val="20"/>
                <w:szCs w:val="20"/>
                <w:color w:val="auto"/>
              </w:rPr>
            </w:pPr>
            <w:r>
              <w:rPr>
                <w:rFonts w:ascii="Arial" w:cs="Arial" w:eastAsia="Arial" w:hAnsi="Arial"/>
                <w:sz w:val="11"/>
                <w:szCs w:val="11"/>
                <w:b w:val="1"/>
                <w:bCs w:val="1"/>
                <w:color w:val="auto"/>
              </w:rPr>
              <w:t>or Exercise</w:t>
            </w:r>
          </w:p>
        </w:tc>
        <w:tc>
          <w:tcPr>
            <w:tcW w:w="1100" w:type="dxa"/>
            <w:vAlign w:val="bottom"/>
            <w:gridSpan w:val="4"/>
          </w:tcPr>
          <w:p>
            <w:pPr>
              <w:ind w:left="60"/>
              <w:spacing w:after="0" w:line="100" w:lineRule="exact"/>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line="100" w:lineRule="exact"/>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gridSpan w:val="4"/>
          </w:tcPr>
          <w:p>
            <w:pPr>
              <w:spacing w:after="0" w:line="100" w:lineRule="exact"/>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180"/>
              <w:spacing w:after="0" w:line="100"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00" w:lineRule="exact"/>
              <w:rPr>
                <w:sz w:val="20"/>
                <w:szCs w:val="20"/>
                <w:color w:val="auto"/>
              </w:rPr>
            </w:pPr>
            <w:r>
              <w:rPr>
                <w:rFonts w:ascii="Arial" w:cs="Arial" w:eastAsia="Arial" w:hAnsi="Arial"/>
                <w:sz w:val="11"/>
                <w:szCs w:val="11"/>
                <w:b w:val="1"/>
                <w:bCs w:val="1"/>
                <w:color w:val="auto"/>
              </w:rPr>
              <w:t>(Month/Day/Year)</w:t>
            </w:r>
          </w:p>
        </w:tc>
        <w:tc>
          <w:tcPr>
            <w:tcW w:w="1180" w:type="dxa"/>
            <w:vAlign w:val="bottom"/>
            <w:gridSpan w:val="2"/>
          </w:tcPr>
          <w:p>
            <w:pPr>
              <w:ind w:left="60"/>
              <w:spacing w:after="0" w:line="100" w:lineRule="exact"/>
              <w:rPr>
                <w:sz w:val="20"/>
                <w:szCs w:val="20"/>
                <w:color w:val="auto"/>
              </w:rPr>
            </w:pPr>
            <w:r>
              <w:rPr>
                <w:rFonts w:ascii="Arial" w:cs="Arial" w:eastAsia="Arial" w:hAnsi="Arial"/>
                <w:sz w:val="11"/>
                <w:szCs w:val="11"/>
                <w:b w:val="1"/>
                <w:bCs w:val="1"/>
                <w:color w:val="auto"/>
              </w:rPr>
              <w:t>Underlying</w:t>
            </w:r>
          </w:p>
        </w:tc>
        <w:tc>
          <w:tcPr>
            <w:tcW w:w="680" w:type="dxa"/>
            <w:vAlign w:val="bottom"/>
          </w:tcPr>
          <w:p>
            <w:pPr>
              <w:ind w:left="80"/>
              <w:spacing w:after="0" w:line="100"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00"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00" w:lineRule="exact"/>
              <w:rPr>
                <w:sz w:val="20"/>
                <w:szCs w:val="20"/>
                <w:color w:val="auto"/>
              </w:rPr>
            </w:pPr>
            <w:r>
              <w:rPr>
                <w:rFonts w:ascii="Arial" w:cs="Arial" w:eastAsia="Arial" w:hAnsi="Arial"/>
                <w:sz w:val="11"/>
                <w:szCs w:val="11"/>
                <w:b w:val="1"/>
                <w:bCs w:val="1"/>
                <w:color w:val="auto"/>
              </w:rPr>
              <w:t>Form:</w:t>
            </w:r>
          </w:p>
        </w:tc>
        <w:tc>
          <w:tcPr>
            <w:tcW w:w="760" w:type="dxa"/>
            <w:vAlign w:val="bottom"/>
            <w:gridSpan w:val="2"/>
          </w:tcPr>
          <w:p>
            <w:pPr>
              <w:ind w:left="80"/>
              <w:spacing w:after="0" w:line="10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gridSpan w:val="3"/>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20" w:type="dxa"/>
            <w:vAlign w:val="bottom"/>
            <w:vMerge w:val="restart"/>
          </w:tcPr>
          <w:p>
            <w:pPr>
              <w:ind w:left="1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34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gridSpan w:val="2"/>
            <w:vMerge w:val="restart"/>
          </w:tcPr>
          <w:p>
            <w:pPr>
              <w:ind w:left="18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gridSpan w:val="2"/>
            <w:vMerge w:val="restart"/>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2"/>
                <w:szCs w:val="2"/>
                <w:b w:val="1"/>
                <w:bCs w:val="1"/>
                <w:color w:val="auto"/>
              </w:rPr>
              <w:t>Transaction(s)</w:t>
            </w: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60" w:type="dxa"/>
            <w:vAlign w:val="bottom"/>
            <w:gridSpan w:val="2"/>
            <w:vMerge w:val="restart"/>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00" w:type="dxa"/>
            <w:vAlign w:val="bottom"/>
          </w:tcPr>
          <w:p>
            <w:pPr>
              <w:ind w:left="60"/>
              <w:spacing w:after="0" w:line="100" w:lineRule="exact"/>
              <w:rPr>
                <w:sz w:val="20"/>
                <w:szCs w:val="20"/>
                <w:color w:val="auto"/>
              </w:rPr>
            </w:pPr>
            <w:r>
              <w:rPr>
                <w:rFonts w:ascii="Arial" w:cs="Arial" w:eastAsia="Arial" w:hAnsi="Arial"/>
                <w:sz w:val="11"/>
                <w:szCs w:val="11"/>
                <w:b w:val="1"/>
                <w:bCs w:val="1"/>
                <w:color w:val="auto"/>
              </w:rPr>
              <w:t>Beneficially</w:t>
            </w:r>
          </w:p>
        </w:tc>
        <w:tc>
          <w:tcPr>
            <w:tcW w:w="70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vMerge w:val="restart"/>
          </w:tcPr>
          <w:p>
            <w:pPr>
              <w:ind w:left="1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gridSpan w:val="2"/>
            <w:vMerge w:val="restart"/>
          </w:tcPr>
          <w:p>
            <w:pPr>
              <w:ind w:left="180"/>
              <w:spacing w:after="0" w:line="125"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ind w:left="300"/>
              <w:spacing w:after="0"/>
              <w:rPr>
                <w:sz w:val="20"/>
                <w:szCs w:val="20"/>
                <w:color w:val="auto"/>
              </w:rPr>
            </w:pPr>
            <w:r>
              <w:rPr>
                <w:rFonts w:ascii="Arial" w:cs="Arial" w:eastAsia="Arial" w:hAnsi="Arial"/>
                <w:sz w:val="2"/>
                <w:szCs w:val="2"/>
                <w:b w:val="1"/>
                <w:bCs w:val="1"/>
                <w:color w:val="auto"/>
              </w:rPr>
              <w:t>Amount</w:t>
            </w:r>
          </w:p>
        </w:tc>
        <w:tc>
          <w:tcPr>
            <w:tcW w:w="680" w:type="dxa"/>
            <w:vAlign w:val="bottom"/>
          </w:tcPr>
          <w:p>
            <w:pPr>
              <w:spacing w:after="0"/>
              <w:rPr>
                <w:sz w:val="2"/>
                <w:szCs w:val="2"/>
                <w:color w:val="auto"/>
              </w:rPr>
            </w:pPr>
          </w:p>
        </w:tc>
        <w:tc>
          <w:tcPr>
            <w:tcW w:w="900" w:type="dxa"/>
            <w:vAlign w:val="bottom"/>
          </w:tcPr>
          <w:p>
            <w:pPr>
              <w:ind w:left="60"/>
              <w:spacing w:after="0"/>
              <w:rPr>
                <w:sz w:val="20"/>
                <w:szCs w:val="20"/>
                <w:color w:val="auto"/>
              </w:rPr>
            </w:pPr>
            <w:r>
              <w:rPr>
                <w:rFonts w:ascii="Arial" w:cs="Arial" w:eastAsia="Arial" w:hAnsi="Arial"/>
                <w:sz w:val="2"/>
                <w:szCs w:val="2"/>
                <w:b w:val="1"/>
                <w:bCs w:val="1"/>
                <w:color w:val="auto"/>
              </w:rPr>
              <w:t>(Instr. 4)</w:t>
            </w: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60" w:type="dxa"/>
            <w:vAlign w:val="bottom"/>
            <w:gridSpan w:val="2"/>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gridSpan w:val="2"/>
          </w:tcPr>
          <w:p>
            <w:pPr>
              <w:ind w:left="60"/>
              <w:spacing w:after="0" w:line="100"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8"/>
                <w:szCs w:val="8"/>
                <w:color w:val="auto"/>
              </w:rPr>
            </w:pPr>
          </w:p>
        </w:tc>
        <w:tc>
          <w:tcPr>
            <w:tcW w:w="900" w:type="dxa"/>
            <w:vAlign w:val="bottom"/>
          </w:tcPr>
          <w:p>
            <w:pPr>
              <w:ind w:left="60"/>
              <w:spacing w:after="0" w:line="100" w:lineRule="exact"/>
              <w:rPr>
                <w:sz w:val="20"/>
                <w:szCs w:val="20"/>
                <w:color w:val="auto"/>
              </w:rPr>
            </w:pPr>
            <w:r>
              <w:rPr>
                <w:rFonts w:ascii="Arial" w:cs="Arial" w:eastAsia="Arial" w:hAnsi="Arial"/>
                <w:sz w:val="11"/>
                <w:szCs w:val="11"/>
                <w:b w:val="1"/>
                <w:bCs w:val="1"/>
                <w:color w:val="auto"/>
              </w:rPr>
              <w:t>Owned</w:t>
            </w:r>
          </w:p>
        </w:tc>
        <w:tc>
          <w:tcPr>
            <w:tcW w:w="70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ind w:left="300"/>
              <w:spacing w:after="0" w:line="38" w:lineRule="exact"/>
              <w:rPr>
                <w:sz w:val="20"/>
                <w:szCs w:val="20"/>
                <w:color w:val="auto"/>
              </w:rPr>
            </w:pPr>
            <w:r>
              <w:rPr>
                <w:rFonts w:ascii="Arial" w:cs="Arial" w:eastAsia="Arial" w:hAnsi="Arial"/>
                <w:sz w:val="4"/>
                <w:szCs w:val="4"/>
                <w:b w:val="1"/>
                <w:bCs w:val="1"/>
                <w:color w:val="auto"/>
              </w:rPr>
              <w:t>or</w:t>
            </w:r>
          </w:p>
        </w:tc>
        <w:tc>
          <w:tcPr>
            <w:tcW w:w="680" w:type="dxa"/>
            <w:vAlign w:val="bottom"/>
          </w:tcPr>
          <w:p>
            <w:pPr>
              <w:spacing w:after="0"/>
              <w:rPr>
                <w:sz w:val="3"/>
                <w:szCs w:val="3"/>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Following</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ind w:left="300"/>
              <w:spacing w:after="0" w:line="110"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tcPr>
          <w:p>
            <w:pPr>
              <w:ind w:left="1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860" w:type="dxa"/>
            <w:vAlign w:val="bottom"/>
          </w:tcPr>
          <w:p>
            <w:pPr>
              <w:ind w:left="300"/>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Code  V</w:t>
            </w:r>
          </w:p>
        </w:tc>
        <w:tc>
          <w:tcPr>
            <w:tcW w:w="46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w:t>
            </w:r>
          </w:p>
        </w:tc>
        <w:tc>
          <w:tcPr>
            <w:tcW w:w="4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Title</w:t>
            </w:r>
          </w:p>
        </w:tc>
        <w:tc>
          <w:tcPr>
            <w:tcW w:w="860" w:type="dxa"/>
            <w:vAlign w:val="bottom"/>
          </w:tcPr>
          <w:p>
            <w:pPr>
              <w:ind w:left="300"/>
              <w:spacing w:after="0" w:line="125" w:lineRule="exact"/>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ind w:left="300"/>
              <w:spacing w:after="0" w:line="80" w:lineRule="exact"/>
              <w:rPr>
                <w:sz w:val="20"/>
                <w:szCs w:val="20"/>
                <w:color w:val="auto"/>
              </w:rPr>
            </w:pPr>
            <w:r>
              <w:rPr>
                <w:rFonts w:ascii="Arial" w:cs="Arial" w:eastAsia="Arial" w:hAnsi="Arial"/>
                <w:sz w:val="9"/>
                <w:szCs w:val="9"/>
                <w:b w:val="1"/>
                <w:bCs w:val="1"/>
                <w:color w:val="auto"/>
              </w:rPr>
              <w:t>Amount</w:t>
            </w:r>
          </w:p>
        </w:tc>
        <w:tc>
          <w:tcPr>
            <w:tcW w:w="680" w:type="dxa"/>
            <w:vAlign w:val="bottom"/>
          </w:tcPr>
          <w:p>
            <w:pPr>
              <w:spacing w:after="0"/>
              <w:rPr>
                <w:sz w:val="9"/>
                <w:szCs w:val="9"/>
                <w:color w:val="auto"/>
              </w:rPr>
            </w:pPr>
          </w:p>
        </w:tc>
        <w:tc>
          <w:tcPr>
            <w:tcW w:w="900" w:type="dxa"/>
            <w:vAlign w:val="bottom"/>
          </w:tcPr>
          <w:p>
            <w:pPr>
              <w:ind w:left="60"/>
              <w:spacing w:after="0" w:line="80"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40" w:type="dxa"/>
            <w:vAlign w:val="bottom"/>
            <w:gridSpan w:val="6"/>
            <w:vMerge w:val="restart"/>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ind w:left="300"/>
              <w:spacing w:after="0" w:line="113"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40" w:type="dxa"/>
            <w:vAlign w:val="bottom"/>
            <w:gridSpan w:val="6"/>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ind w:left="300"/>
              <w:spacing w:after="0" w:line="124"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80" w:type="dxa"/>
            <w:vAlign w:val="bottom"/>
            <w:gridSpan w:val="14"/>
            <w:vMerge w:val="restart"/>
          </w:tcPr>
          <w:p>
            <w:pPr>
              <w:spacing w:after="0"/>
              <w:rPr>
                <w:rFonts w:ascii="Times New Roman" w:cs="Times New Roman" w:eastAsia="Times New Roman" w:hAnsi="Times New Roman"/>
                <w:sz w:val="20"/>
                <w:szCs w:val="20"/>
                <w:color w:val="0000EE"/>
                <w:w w:val="92"/>
              </w:rPr>
            </w:pPr>
            <w:hyperlink r:id="rId13">
              <w:r>
                <w:rPr>
                  <w:rFonts w:ascii="Times New Roman" w:cs="Times New Roman" w:eastAsia="Times New Roman" w:hAnsi="Times New Roman"/>
                  <w:sz w:val="20"/>
                  <w:szCs w:val="20"/>
                  <w:u w:val="single" w:color="auto"/>
                  <w:color w:val="0000EE"/>
                  <w:w w:val="92"/>
                </w:rPr>
                <w:t>BASSWOOD CAPITAL MANAGEMENT, L.L.C.</w:t>
              </w:r>
              <w:r>
                <w:rPr>
                  <w:rFonts w:ascii="Arial" w:cs="Arial" w:eastAsia="Arial" w:hAnsi="Arial"/>
                  <w:sz w:val="22"/>
                  <w:szCs w:val="22"/>
                  <w:b w:val="1"/>
                  <w:bCs w:val="1"/>
                  <w:color w:val="000000"/>
                  <w:w w:val="92"/>
                  <w:vertAlign w:val="subscript"/>
                </w:rPr>
                <w:t>Code</w:t>
              </w:r>
            </w:hyperlink>
            <w:r>
              <w:rPr>
                <w:rFonts w:ascii="Times New Roman" w:cs="Times New Roman" w:eastAsia="Times New Roman" w:hAnsi="Times New Roman"/>
                <w:sz w:val="20"/>
                <w:szCs w:val="20"/>
                <w:color w:val="0000EE"/>
                <w:w w:val="92"/>
                <w:vertAlign w:val="subscript"/>
              </w:rPr>
              <w:t>V</w:t>
            </w: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860" w:type="dxa"/>
            <w:vAlign w:val="bottom"/>
          </w:tcPr>
          <w:p>
            <w:pPr>
              <w:ind w:left="300"/>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4280" w:type="dxa"/>
            <w:vAlign w:val="bottom"/>
            <w:tcBorders>
              <w:bottom w:val="single" w:sz="8" w:color="808080"/>
            </w:tcBorders>
            <w:gridSpan w:val="14"/>
            <w:vMerge w:val="continue"/>
          </w:tcPr>
          <w:p>
            <w:pPr>
              <w:spacing w:after="0"/>
              <w:rPr>
                <w:sz w:val="15"/>
                <w:szCs w:val="15"/>
                <w:color w:val="auto"/>
              </w:rPr>
            </w:pPr>
          </w:p>
        </w:tc>
        <w:tc>
          <w:tcPr>
            <w:tcW w:w="460" w:type="dxa"/>
            <w:vAlign w:val="bottom"/>
            <w:tcBorders>
              <w:bottom w:val="single" w:sz="8" w:color="808080"/>
            </w:tcBorders>
          </w:tcPr>
          <w:p>
            <w:pPr>
              <w:ind w:left="180"/>
              <w:spacing w:after="0"/>
              <w:rPr>
                <w:sz w:val="20"/>
                <w:szCs w:val="20"/>
                <w:color w:val="auto"/>
              </w:rPr>
            </w:pPr>
            <w:r>
              <w:rPr>
                <w:rFonts w:ascii="Arial" w:cs="Arial" w:eastAsia="Arial" w:hAnsi="Arial"/>
                <w:sz w:val="11"/>
                <w:szCs w:val="11"/>
                <w:b w:val="1"/>
                <w:bCs w:val="1"/>
                <w:color w:val="auto"/>
              </w:rPr>
              <w:t>(A)</w:t>
            </w:r>
          </w:p>
        </w:tc>
        <w:tc>
          <w:tcPr>
            <w:tcW w:w="460" w:type="dxa"/>
            <w:vAlign w:val="bottom"/>
            <w:tcBorders>
              <w:bottom w:val="single" w:sz="8" w:color="808080"/>
            </w:tcBorders>
          </w:tcPr>
          <w:p>
            <w:pPr>
              <w:ind w:left="120"/>
              <w:spacing w:after="0"/>
              <w:rPr>
                <w:sz w:val="20"/>
                <w:szCs w:val="20"/>
                <w:color w:val="auto"/>
              </w:rPr>
            </w:pPr>
            <w:r>
              <w:rPr>
                <w:rFonts w:ascii="Arial" w:cs="Arial" w:eastAsia="Arial" w:hAnsi="Arial"/>
                <w:sz w:val="11"/>
                <w:szCs w:val="11"/>
                <w:b w:val="1"/>
                <w:bCs w:val="1"/>
                <w:color w:val="auto"/>
              </w:rPr>
              <w:t>(D)</w:t>
            </w:r>
          </w:p>
        </w:tc>
        <w:tc>
          <w:tcPr>
            <w:tcW w:w="760" w:type="dxa"/>
            <w:vAlign w:val="bottom"/>
            <w:tcBorders>
              <w:bottom w:val="single" w:sz="8" w:color="808080"/>
            </w:tcBorders>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Borders>
              <w:bottom w:val="single" w:sz="8" w:color="808080"/>
            </w:tcBorders>
          </w:tcPr>
          <w:p>
            <w:pPr>
              <w:ind w:left="60"/>
              <w:spacing w:after="0"/>
              <w:rPr>
                <w:sz w:val="20"/>
                <w:szCs w:val="20"/>
                <w:color w:val="auto"/>
              </w:rPr>
            </w:pPr>
            <w:r>
              <w:rPr>
                <w:rFonts w:ascii="Arial" w:cs="Arial" w:eastAsia="Arial" w:hAnsi="Arial"/>
                <w:sz w:val="11"/>
                <w:szCs w:val="11"/>
                <w:b w:val="1"/>
                <w:bCs w:val="1"/>
                <w:color w:val="auto"/>
              </w:rPr>
              <w:t>Date</w:t>
            </w:r>
          </w:p>
        </w:tc>
        <w:tc>
          <w:tcPr>
            <w:tcW w:w="320" w:type="dxa"/>
            <w:vAlign w:val="bottom"/>
            <w:tcBorders>
              <w:bottom w:val="single" w:sz="8" w:color="808080"/>
            </w:tcBorders>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Borders>
              <w:bottom w:val="single" w:sz="8" w:color="808080"/>
            </w:tcBorders>
          </w:tcPr>
          <w:p>
            <w:pPr>
              <w:ind w:left="300"/>
              <w:spacing w:after="0"/>
              <w:rPr>
                <w:sz w:val="20"/>
                <w:szCs w:val="20"/>
                <w:color w:val="auto"/>
              </w:rPr>
            </w:pPr>
            <w:r>
              <w:rPr>
                <w:rFonts w:ascii="Arial" w:cs="Arial" w:eastAsia="Arial" w:hAnsi="Arial"/>
                <w:sz w:val="11"/>
                <w:szCs w:val="11"/>
                <w:b w:val="1"/>
                <w:bCs w:val="1"/>
                <w:color w:val="auto"/>
              </w:rPr>
              <w:t>Shares</w:t>
            </w:r>
          </w:p>
        </w:tc>
        <w:tc>
          <w:tcPr>
            <w:tcW w:w="680" w:type="dxa"/>
            <w:vAlign w:val="bottom"/>
            <w:tcBorders>
              <w:bottom w:val="single" w:sz="8" w:color="808080"/>
            </w:tcBorders>
          </w:tcPr>
          <w:p>
            <w:pPr>
              <w:spacing w:after="0"/>
              <w:rPr>
                <w:sz w:val="15"/>
                <w:szCs w:val="15"/>
                <w:color w:val="auto"/>
              </w:rPr>
            </w:pPr>
          </w:p>
        </w:tc>
        <w:tc>
          <w:tcPr>
            <w:tcW w:w="900" w:type="dxa"/>
            <w:vAlign w:val="bottom"/>
            <w:tcBorders>
              <w:bottom w:val="single" w:sz="8" w:color="808080"/>
            </w:tcBorders>
          </w:tcPr>
          <w:p>
            <w:pPr>
              <w:spacing w:after="0"/>
              <w:rPr>
                <w:sz w:val="15"/>
                <w:szCs w:val="15"/>
                <w:color w:val="auto"/>
              </w:rPr>
            </w:pPr>
          </w:p>
        </w:tc>
        <w:tc>
          <w:tcPr>
            <w:tcW w:w="70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gridSpan w:val="2"/>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gridSpan w:val="2"/>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ind w:left="220"/>
              <w:spacing w:after="0"/>
              <w:rPr>
                <w:sz w:val="20"/>
                <w:szCs w:val="20"/>
                <w:color w:val="auto"/>
              </w:rPr>
            </w:pPr>
            <w:r>
              <w:rPr>
                <w:rFonts w:ascii="Arial" w:cs="Arial" w:eastAsia="Arial" w:hAnsi="Arial"/>
                <w:sz w:val="12"/>
                <w:szCs w:val="12"/>
                <w:color w:val="auto"/>
              </w:rPr>
              <w:t>(Middle)</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645 MADISON AVENUE</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10TH FLOOR</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rPr>
              <w:t>10022</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(City)</w:t>
            </w:r>
          </w:p>
        </w:tc>
        <w:tc>
          <w:tcPr>
            <w:tcW w:w="72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gridSpan w:val="4"/>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4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7"/>
          </w:tcPr>
          <w:p>
            <w:pPr>
              <w:spacing w:after="0" w:line="212"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LINDENBAUM BENNETT D</w:t>
              </w:r>
            </w:hyperlink>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96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ind w:left="220"/>
              <w:spacing w:after="0"/>
              <w:rPr>
                <w:sz w:val="20"/>
                <w:szCs w:val="20"/>
                <w:color w:val="auto"/>
              </w:rPr>
            </w:pPr>
            <w:r>
              <w:rPr>
                <w:rFonts w:ascii="Arial" w:cs="Arial" w:eastAsia="Arial" w:hAnsi="Arial"/>
                <w:sz w:val="12"/>
                <w:szCs w:val="12"/>
                <w:color w:val="auto"/>
              </w:rPr>
              <w:t>(Middle)</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4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BASSWOOD CAPITAL MANAGEMENT, L.L.C.</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645 MADISON AVE, 10TH FLOOR</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rPr>
              <w:t>10022</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(City)</w:t>
            </w:r>
          </w:p>
        </w:tc>
        <w:tc>
          <w:tcPr>
            <w:tcW w:w="72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440" w:type="dxa"/>
            <w:vAlign w:val="bottom"/>
            <w:tcBorders>
              <w:bottom w:val="single" w:sz="8" w:color="2C2C2C"/>
            </w:tcBorders>
            <w:gridSpan w:val="4"/>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4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Borders>
              <w:bottom w:val="single" w:sz="8" w:color="0000EE"/>
            </w:tcBorders>
            <w:gridSpan w:val="7"/>
          </w:tcPr>
          <w:p>
            <w:pPr>
              <w:spacing w:after="0" w:line="212" w:lineRule="exact"/>
              <w:rPr>
                <w:rFonts w:ascii="Times New Roman" w:cs="Times New Roman" w:eastAsia="Times New Roman" w:hAnsi="Times New Roman"/>
                <w:sz w:val="20"/>
                <w:szCs w:val="20"/>
                <w:color w:val="0000EE"/>
                <w:w w:val="98"/>
              </w:rPr>
            </w:pPr>
            <w:hyperlink r:id="rId16">
              <w:r>
                <w:rPr>
                  <w:rFonts w:ascii="Times New Roman" w:cs="Times New Roman" w:eastAsia="Times New Roman" w:hAnsi="Times New Roman"/>
                  <w:sz w:val="20"/>
                  <w:szCs w:val="20"/>
                  <w:color w:val="0000EE"/>
                  <w:w w:val="98"/>
                </w:rPr>
                <w:t>LINDENBAUM MATTHEW A</w:t>
              </w:r>
            </w:hyperlink>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ind w:left="220"/>
              <w:spacing w:after="0"/>
              <w:rPr>
                <w:sz w:val="20"/>
                <w:szCs w:val="20"/>
                <w:color w:val="auto"/>
              </w:rPr>
            </w:pPr>
            <w:r>
              <w:rPr>
                <w:rFonts w:ascii="Arial" w:cs="Arial" w:eastAsia="Arial" w:hAnsi="Arial"/>
                <w:sz w:val="12"/>
                <w:szCs w:val="12"/>
                <w:color w:val="auto"/>
              </w:rPr>
              <w:t>(Middle)</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4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BASSWOOD CAPITAL MANAGEMENT, L.L.C.</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645 MADISON AVE, 10TH FLOOR</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rPr>
              <w:t>10022</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(City)</w:t>
            </w:r>
          </w:p>
        </w:tc>
        <w:tc>
          <w:tcPr>
            <w:tcW w:w="72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440" w:type="dxa"/>
            <w:vAlign w:val="bottom"/>
            <w:tcBorders>
              <w:bottom w:val="single" w:sz="8" w:color="2C2C2C"/>
            </w:tcBorders>
            <w:gridSpan w:val="4"/>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4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10"/>
          </w:tcPr>
          <w:p>
            <w:pPr>
              <w:spacing w:after="0" w:line="212"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BASSWOOD FINANCIAL FUND, L.P.</w:t>
              </w:r>
            </w:hyperlink>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96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ind w:left="220"/>
              <w:spacing w:after="0"/>
              <w:rPr>
                <w:sz w:val="20"/>
                <w:szCs w:val="20"/>
                <w:color w:val="auto"/>
              </w:rPr>
            </w:pPr>
            <w:r>
              <w:rPr>
                <w:rFonts w:ascii="Arial" w:cs="Arial" w:eastAsia="Arial" w:hAnsi="Arial"/>
                <w:sz w:val="12"/>
                <w:szCs w:val="12"/>
                <w:color w:val="auto"/>
              </w:rPr>
              <w:t>(Middle)</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4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C/O BASSWOOD CAPITAL MANAGEMENT, L.L.C.</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645 MADISON AVENUE, 10TH FLOOR</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rPr>
              <w:t>10022</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(City)</w:t>
            </w:r>
          </w:p>
        </w:tc>
        <w:tc>
          <w:tcPr>
            <w:tcW w:w="72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440" w:type="dxa"/>
            <w:vAlign w:val="bottom"/>
            <w:tcBorders>
              <w:bottom w:val="single" w:sz="8" w:color="2C2C2C"/>
            </w:tcBorders>
            <w:gridSpan w:val="4"/>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4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gridSpan w:val="14"/>
          </w:tcPr>
          <w:p>
            <w:pPr>
              <w:spacing w:after="0" w:line="212"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BASSWOOD OPPORTUNITY PARTNERS, L.P.</w:t>
              </w:r>
            </w:hyperlink>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96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40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ind w:left="220"/>
              <w:spacing w:after="0"/>
              <w:rPr>
                <w:sz w:val="20"/>
                <w:szCs w:val="20"/>
                <w:color w:val="auto"/>
              </w:rPr>
            </w:pPr>
            <w:r>
              <w:rPr>
                <w:rFonts w:ascii="Arial" w:cs="Arial" w:eastAsia="Arial" w:hAnsi="Arial"/>
                <w:sz w:val="12"/>
                <w:szCs w:val="12"/>
                <w:color w:val="auto"/>
              </w:rPr>
              <w:t>(Middle)</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4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C/O BASSWOOD CAPITAL MANAGEMENT, L.L.C.</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645 MADISON AVENUE, 10TH FLOOR</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rPr>
              <w:t>10022</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(City)</w:t>
            </w:r>
          </w:p>
        </w:tc>
        <w:tc>
          <w:tcPr>
            <w:tcW w:w="72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440" w:type="dxa"/>
            <w:vAlign w:val="bottom"/>
            <w:tcBorders>
              <w:bottom w:val="single" w:sz="8" w:color="2C2C2C"/>
            </w:tcBorders>
            <w:gridSpan w:val="4"/>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4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7"/>
          </w:tcPr>
          <w:p>
            <w:pPr>
              <w:spacing w:after="0" w:line="212"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Basswood Financial Fund, Ltd.</w:t>
              </w:r>
            </w:hyperlink>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96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ind w:left="220"/>
              <w:spacing w:after="0"/>
              <w:rPr>
                <w:sz w:val="20"/>
                <w:szCs w:val="20"/>
                <w:color w:val="auto"/>
              </w:rPr>
            </w:pPr>
            <w:r>
              <w:rPr>
                <w:rFonts w:ascii="Arial" w:cs="Arial" w:eastAsia="Arial" w:hAnsi="Arial"/>
                <w:sz w:val="12"/>
                <w:szCs w:val="12"/>
                <w:color w:val="auto"/>
              </w:rPr>
              <w:t>(Middle)</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6"/>
          <w:szCs w:val="16"/>
          <w:color w:val="0000FF"/>
        </w:rPr>
        <w:t>C/O BASSWOOD CAPITAL MANAGEMENT, L.L.C.</w:t>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645 MADISON AVENUE, 10TH FLOOR</w:t>
      </w:r>
    </w:p>
    <w:p>
      <w:pPr>
        <w:sectPr>
          <w:pgSz w:w="11900" w:h="16838" w:orient="portrait"/>
          <w:cols w:equalWidth="0" w:num="1">
            <w:col w:w="10980"/>
          </w:cols>
          <w:pgMar w:left="460" w:top="175" w:right="459" w:bottom="0" w:gutter="0" w:footer="0" w:header="0"/>
        </w:sectPr>
      </w:pPr>
    </w:p>
    <w:bookmarkStart w:id="2" w:name="page3"/>
    <w:bookmarkEnd w:id="2"/>
    <w:tbl>
      <w:tblPr>
        <w:tblLayout w:type="fixed"/>
        <w:tblInd w:w="43" w:type="dxa"/>
        <w:tblCellMar>
          <w:top w:w="0" w:type="dxa"/>
          <w:left w:w="0" w:type="dxa"/>
          <w:bottom w:w="0" w:type="dxa"/>
          <w:right w:w="0" w:type="dxa"/>
        </w:tblCellMar>
      </w:tblPr>
      <w:tr>
        <w:trPr>
          <w:trHeight w:val="164"/>
        </w:trPr>
        <w:tc>
          <w:tcPr>
            <w:tcW w:w="11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22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9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10022</w:t>
            </w:r>
          </w:p>
        </w:tc>
      </w:tr>
      <w:tr>
        <w:trPr>
          <w:trHeight w:val="144"/>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1160" w:type="dxa"/>
            <w:vAlign w:val="bottom"/>
          </w:tcPr>
          <w:p>
            <w:pPr>
              <w:ind w:left="26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-523875</wp:posOffset>
            </wp:positionV>
            <wp:extent cx="2814320" cy="2286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14320" cy="2286635"/>
                    </a:xfrm>
                    <a:prstGeom prst="rect">
                      <a:avLst/>
                    </a:prstGeom>
                    <a:noFill/>
                  </pic:spPr>
                </pic:pic>
              </a:graphicData>
            </a:graphic>
          </wp:anchor>
        </w:drawing>
      </w:r>
    </w:p>
    <w:p>
      <w:pPr>
        <w:spacing w:after="0" w:line="106" w:lineRule="exact"/>
        <w:rPr>
          <w:sz w:val="20"/>
          <w:szCs w:val="20"/>
          <w:color w:val="auto"/>
        </w:rPr>
      </w:pPr>
    </w:p>
    <w:p>
      <w:pPr>
        <w:ind w:left="43"/>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3"/>
        <w:spacing w:after="0" w:line="234" w:lineRule="auto"/>
        <w:rPr>
          <w:rFonts w:ascii="Times New Roman" w:cs="Times New Roman" w:eastAsia="Times New Roman" w:hAnsi="Times New Roman"/>
          <w:sz w:val="20"/>
          <w:szCs w:val="20"/>
          <w:u w:val="single" w:color="auto"/>
          <w:color w:val="0000EE"/>
        </w:rPr>
      </w:pPr>
      <w:hyperlink r:id="rId22">
        <w:r>
          <w:rPr>
            <w:rFonts w:ascii="Times New Roman" w:cs="Times New Roman" w:eastAsia="Times New Roman" w:hAnsi="Times New Roman"/>
            <w:sz w:val="20"/>
            <w:szCs w:val="20"/>
            <w:u w:val="single" w:color="auto"/>
            <w:color w:val="0000EE"/>
          </w:rPr>
          <w:t>BASSWOOD FINANCIAL LONG ONLY FUND,</w:t>
        </w:r>
      </w:hyperlink>
    </w:p>
    <w:p>
      <w:pPr>
        <w:ind w:left="83"/>
        <w:spacing w:after="0"/>
        <w:rPr>
          <w:rFonts w:ascii="Times New Roman" w:cs="Times New Roman" w:eastAsia="Times New Roman" w:hAnsi="Times New Roman"/>
          <w:sz w:val="20"/>
          <w:szCs w:val="20"/>
          <w:u w:val="single" w:color="auto"/>
          <w:color w:val="0000EE"/>
        </w:rPr>
      </w:pPr>
      <w:hyperlink r:id="rId22">
        <w:r>
          <w:rPr>
            <w:rFonts w:ascii="Times New Roman" w:cs="Times New Roman" w:eastAsia="Times New Roman" w:hAnsi="Times New Roman"/>
            <w:sz w:val="20"/>
            <w:szCs w:val="20"/>
            <w:u w:val="single" w:color="auto"/>
            <w:color w:val="0000EE"/>
          </w:rPr>
          <w:t>L.P.</w:t>
        </w:r>
      </w:hyperlink>
    </w:p>
    <w:p>
      <w:pPr>
        <w:spacing w:after="0" w:line="285" w:lineRule="exact"/>
        <w:rPr>
          <w:sz w:val="20"/>
          <w:szCs w:val="20"/>
          <w:color w:val="auto"/>
        </w:rPr>
      </w:pPr>
    </w:p>
    <w:tbl>
      <w:tblPr>
        <w:tblLayout w:type="fixed"/>
        <w:tblInd w:w="43"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(Last)</w:t>
            </w:r>
          </w:p>
        </w:tc>
        <w:tc>
          <w:tcPr>
            <w:tcW w:w="1480" w:type="dxa"/>
            <w:vAlign w:val="bottom"/>
          </w:tcPr>
          <w:p>
            <w:pPr>
              <w:ind w:left="260"/>
              <w:spacing w:after="0"/>
              <w:rPr>
                <w:sz w:val="20"/>
                <w:szCs w:val="20"/>
                <w:color w:val="auto"/>
              </w:rPr>
            </w:pPr>
            <w:r>
              <w:rPr>
                <w:rFonts w:ascii="Arial" w:cs="Arial" w:eastAsia="Arial" w:hAnsi="Arial"/>
                <w:sz w:val="12"/>
                <w:szCs w:val="12"/>
                <w:color w:val="auto"/>
              </w:rPr>
              <w:t>(First)</w:t>
            </w:r>
          </w:p>
        </w:tc>
        <w:tc>
          <w:tcPr>
            <w:tcW w:w="1580" w:type="dxa"/>
            <w:vAlign w:val="bottom"/>
          </w:tcPr>
          <w:p>
            <w:pPr>
              <w:ind w:left="200"/>
              <w:spacing w:after="0"/>
              <w:rPr>
                <w:sz w:val="20"/>
                <w:szCs w:val="20"/>
                <w:color w:val="auto"/>
              </w:rPr>
            </w:pPr>
            <w:r>
              <w:rPr>
                <w:rFonts w:ascii="Arial" w:cs="Arial" w:eastAsia="Arial" w:hAnsi="Arial"/>
                <w:sz w:val="12"/>
                <w:szCs w:val="12"/>
                <w:color w:val="auto"/>
              </w:rPr>
              <w:t>(Middle)</w:t>
            </w:r>
          </w:p>
        </w:tc>
      </w:tr>
      <w:tr>
        <w:trPr>
          <w:trHeight w:val="258"/>
        </w:trPr>
        <w:tc>
          <w:tcPr>
            <w:tcW w:w="20" w:type="dxa"/>
            <w:vAlign w:val="bottom"/>
          </w:tcPr>
          <w:p>
            <w:pPr>
              <w:spacing w:after="0"/>
              <w:rPr>
                <w:sz w:val="22"/>
                <w:szCs w:val="22"/>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645 MADISON AVE, 10TH FLOOR</w:t>
            </w:r>
          </w:p>
        </w:tc>
        <w:tc>
          <w:tcPr>
            <w:tcW w:w="1580" w:type="dxa"/>
            <w:vAlign w:val="bottom"/>
          </w:tcPr>
          <w:p>
            <w:pPr>
              <w:spacing w:after="0"/>
              <w:rPr>
                <w:sz w:val="22"/>
                <w:szCs w:val="22"/>
                <w:color w:val="auto"/>
              </w:rPr>
            </w:pPr>
          </w:p>
        </w:tc>
      </w:tr>
      <w:tr>
        <w:trPr>
          <w:trHeight w:val="194"/>
        </w:trPr>
        <w:tc>
          <w:tcPr>
            <w:tcW w:w="20" w:type="dxa"/>
            <w:vAlign w:val="bottom"/>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48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r>
      <w:tr>
        <w:trPr>
          <w:trHeight w:val="252"/>
        </w:trPr>
        <w:tc>
          <w:tcPr>
            <w:tcW w:w="11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4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48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10022</w:t>
            </w:r>
          </w:p>
        </w:tc>
      </w:tr>
      <w:tr>
        <w:trPr>
          <w:trHeight w:val="144"/>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1480" w:type="dxa"/>
            <w:vAlign w:val="bottom"/>
          </w:tcPr>
          <w:p>
            <w:pPr>
              <w:ind w:left="260"/>
              <w:spacing w:after="0"/>
              <w:rPr>
                <w:sz w:val="20"/>
                <w:szCs w:val="20"/>
                <w:color w:val="auto"/>
              </w:rPr>
            </w:pPr>
            <w:r>
              <w:rPr>
                <w:rFonts w:ascii="Arial" w:cs="Arial" w:eastAsia="Arial" w:hAnsi="Arial"/>
                <w:sz w:val="12"/>
                <w:szCs w:val="12"/>
                <w:color w:val="auto"/>
              </w:rPr>
              <w:t>(State)</w:t>
            </w:r>
          </w:p>
        </w:tc>
        <w:tc>
          <w:tcPr>
            <w:tcW w:w="1580" w:type="dxa"/>
            <w:vAlign w:val="bottom"/>
          </w:tcPr>
          <w:p>
            <w:pPr>
              <w:ind w:left="20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Explanation of Responses:</w:t>
      </w:r>
    </w:p>
    <w:p>
      <w:pPr>
        <w:sectPr>
          <w:pgSz w:w="11900" w:h="16838" w:orient="portrait"/>
          <w:cols w:equalWidth="0" w:num="1">
            <w:col w:w="9962"/>
          </w:cols>
          <w:pgMar w:left="497" w:top="128" w:right="1440" w:bottom="1440" w:gutter="0" w:footer="0" w:header="0"/>
        </w:sectPr>
      </w:pPr>
    </w:p>
    <w:p>
      <w:pPr>
        <w:spacing w:after="0" w:line="49" w:lineRule="exact"/>
        <w:rPr>
          <w:sz w:val="20"/>
          <w:szCs w:val="20"/>
          <w:color w:val="auto"/>
        </w:rPr>
      </w:pPr>
    </w:p>
    <w:p>
      <w:pPr>
        <w:ind w:left="123" w:hanging="123"/>
        <w:spacing w:after="0"/>
        <w:tabs>
          <w:tab w:leader="none" w:pos="12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Notes are included on Exhibit 99.1 hereto.</w:t>
      </w:r>
    </w:p>
    <w:p>
      <w:pPr>
        <w:spacing w:after="0" w:line="49"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Notes are included on Exhibit 99.1 hereto.</w:t>
      </w:r>
    </w:p>
    <w:p>
      <w:pPr>
        <w:spacing w:after="0" w:line="49"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Notes are included on Exhibit 99.1 hereto.</w:t>
      </w:r>
    </w:p>
    <w:p>
      <w:pPr>
        <w:spacing w:after="0" w:line="49"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Notes are included on Exhibit 99.1 hereto.</w:t>
      </w:r>
    </w:p>
    <w:p>
      <w:pPr>
        <w:spacing w:after="0" w:line="49"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Notes are included on Exhibit 99.1 hereto.</w:t>
      </w:r>
    </w:p>
    <w:p>
      <w:pPr>
        <w:spacing w:after="0" w:line="49"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Notes are included on Exhibit 99.1 hereto.</w:t>
      </w:r>
    </w:p>
    <w:p>
      <w:pPr>
        <w:spacing w:after="0" w:line="49"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Notes are included on Exhibit 99.1 hereto.</w:t>
      </w:r>
    </w:p>
    <w:p>
      <w:pPr>
        <w:spacing w:after="0" w:line="49"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Notes are included on Exhibit 99.1 hereto.</w:t>
      </w:r>
    </w:p>
    <w:p>
      <w:pPr>
        <w:spacing w:after="0" w:line="49"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Notes are included on Exhibit 99.1 hereto.</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5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008000"/>
        </w:rPr>
        <w:t>Exhibit List: Exhibit 99.1 - Explanation of Responses Exhibit 99.2 - Joint Filer Information Exhibit 99.3 - Joint Filers' Signatures</w:t>
      </w:r>
    </w:p>
    <w:p>
      <w:pPr>
        <w:spacing w:after="0" w:line="74"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Basswood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33604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33604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2717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27178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10/29/2026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9" w:lineRule="exact"/>
        <w:rPr>
          <w:sz w:val="20"/>
          <w:szCs w:val="20"/>
          <w:color w:val="auto"/>
        </w:rPr>
      </w:pPr>
    </w:p>
    <w:p>
      <w:pPr>
        <w:sectPr>
          <w:pgSz w:w="11900" w:h="16838" w:orient="portrait"/>
          <w:cols w:equalWidth="0" w:num="2">
            <w:col w:w="8663" w:space="100"/>
            <w:col w:w="1199"/>
          </w:cols>
          <w:pgMar w:left="497" w:top="128" w:right="1440" w:bottom="1440" w:gutter="0" w:footer="0" w:header="0"/>
          <w:type w:val="continuous"/>
        </w:sect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59" w:hanging="3"/>
        <w:spacing w:after="0" w:line="325"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62"/>
          </w:cols>
          <w:pgMar w:left="497" w:top="128" w:right="1440" w:bottom="1440" w:gutter="0" w:footer="0" w:header="0"/>
          <w:type w:val="continuous"/>
        </w:sectPr>
      </w:pPr>
    </w:p>
    <w:bookmarkStart w:id="3" w:name="page4"/>
    <w:bookmarkEnd w:id="3"/>
    <w:p>
      <w:pPr>
        <w:ind w:left="600"/>
        <w:spacing w:after="0"/>
        <w:rPr>
          <w:sz w:val="20"/>
          <w:szCs w:val="20"/>
          <w:color w:val="auto"/>
        </w:rPr>
      </w:pPr>
      <w:r>
        <w:rPr>
          <w:rFonts w:ascii="Times New Roman" w:cs="Times New Roman" w:eastAsia="Times New Roman" w:hAnsi="Times New Roman"/>
          <w:sz w:val="19"/>
          <w:szCs w:val="19"/>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Basswood Capital Management, L.L.C.</w:t>
      </w:r>
    </w:p>
    <w:p>
      <w:pPr>
        <w:spacing w:after="0" w:line="200" w:lineRule="exact"/>
        <w:rPr>
          <w:sz w:val="20"/>
          <w:szCs w:val="20"/>
          <w:color w:val="auto"/>
        </w:rPr>
      </w:pPr>
    </w:p>
    <w:p>
      <w:pPr>
        <w:sectPr>
          <w:pgSz w:w="11900" w:h="16838" w:orient="portrait"/>
          <w:cols w:equalWidth="0" w:num="2">
            <w:col w:w="3480" w:space="720"/>
            <w:col w:w="6740"/>
          </w:cols>
          <w:pgMar w:left="460" w:top="114" w:right="499" w:bottom="1440" w:gutter="0" w:footer="0" w:header="0"/>
        </w:sectPr>
      </w:pP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auto"/>
        </w:rPr>
        <w:t>Issuer &amp;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Dime Community Bancshares, Inc. [DCOM]</w:t>
      </w:r>
    </w:p>
    <w:p>
      <w:pPr>
        <w:spacing w:after="0" w:line="200" w:lineRule="exact"/>
        <w:rPr>
          <w:sz w:val="20"/>
          <w:szCs w:val="20"/>
          <w:color w:val="auto"/>
        </w:rPr>
      </w:pPr>
    </w:p>
    <w:p>
      <w:pPr>
        <w:sectPr>
          <w:pgSz w:w="11900" w:h="16838" w:orient="portrait"/>
          <w:cols w:equalWidth="0" w:num="2">
            <w:col w:w="3480" w:space="720"/>
            <w:col w:w="6740"/>
          </w:cols>
          <w:pgMar w:left="460" w:top="114" w:right="499" w:bottom="1440" w:gutter="0" w:footer="0" w:header="0"/>
          <w:type w:val="continuous"/>
        </w:sectPr>
      </w:pP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auto"/>
        </w:rPr>
        <w:t>Date of Event Requiring Statement:</w:t>
      </w:r>
    </w:p>
    <w:p>
      <w:pPr>
        <w:spacing w:after="0" w:line="20" w:lineRule="exact"/>
        <w:rPr>
          <w:sz w:val="20"/>
          <w:szCs w:val="20"/>
          <w:color w:val="auto"/>
        </w:rPr>
      </w:pPr>
      <w:r>
        <w:rPr>
          <w:sz w:val="20"/>
          <w:szCs w:val="20"/>
          <w:color w:val="auto"/>
        </w:rPr>
        <w:br w:type="column"/>
      </w:r>
    </w:p>
    <w:p>
      <w:pPr>
        <w:jc w:val="center"/>
        <w:ind w:right="2960"/>
        <w:spacing w:after="0"/>
        <w:rPr>
          <w:sz w:val="20"/>
          <w:szCs w:val="20"/>
          <w:color w:val="auto"/>
        </w:rPr>
      </w:pPr>
      <w:r>
        <w:rPr>
          <w:rFonts w:ascii="Times New Roman" w:cs="Times New Roman" w:eastAsia="Times New Roman" w:hAnsi="Times New Roman"/>
          <w:sz w:val="20"/>
          <w:szCs w:val="20"/>
          <w:color w:val="auto"/>
        </w:rPr>
        <w:t>October 27, 2026</w:t>
      </w:r>
    </w:p>
    <w:p>
      <w:pPr>
        <w:spacing w:after="0" w:line="200" w:lineRule="exact"/>
        <w:rPr>
          <w:sz w:val="20"/>
          <w:szCs w:val="20"/>
          <w:color w:val="auto"/>
        </w:rPr>
      </w:pPr>
    </w:p>
    <w:p>
      <w:pPr>
        <w:sectPr>
          <w:pgSz w:w="11900" w:h="16838" w:orient="portrait"/>
          <w:cols w:equalWidth="0" w:num="2">
            <w:col w:w="5860" w:space="720"/>
            <w:col w:w="4360"/>
          </w:cols>
          <w:pgMar w:left="460" w:top="11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Explanation of Responses:</w:t>
      </w:r>
    </w:p>
    <w:p>
      <w:pPr>
        <w:spacing w:after="0" w:line="195" w:lineRule="exact"/>
        <w:rPr>
          <w:sz w:val="20"/>
          <w:szCs w:val="20"/>
          <w:color w:val="auto"/>
        </w:rPr>
      </w:pPr>
    </w:p>
    <w:p>
      <w:pPr>
        <w:ind w:left="460" w:hanging="305"/>
        <w:spacing w:after="0" w:line="262" w:lineRule="auto"/>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Form 4 is filed on behalf of Matthew Lindenbaum, Bennett Lindenbaum, Basswood Capital Management, L.L.C. (“BCM”), Basswood Financial Fund, LP (“BFF LP”), Basswood Financial Fund, Ltd. (“BFF LTD”), Basswood Opportunity Partners, LP (“BOP”) and Basswood Financial Long Only Fund, LP (“BFLOF”) (collectively, the “Reporting Persons”). BCM is the investment manager or adviser to BFF LP, BFF LTD, BOP, BFLOF and Basswood Strategic Financial Fund (“BSFF”) and (collectively, the “Funds”) and certain separate managed accounts managed by BCM (the “Managed Accounts”) and may be deemed to have a pecuniary interest in the Common Stock directly held by the Funds and held in the Managed Accounts. Basswood Partners, L.L.C. (“Partners”) is the general partner of BFF LP, BOP, BFLOF, and BSFF, and may be deemed to have a pecuniary interest in the Common Stock held directly by BFF LP, BOP, BFLOF, and BSFF. Matthew Lindenbaum and Bennett Lindenbaum are the managing members of BCM and may be deemed to have a pecuniary interest in the Common Stock directly held by the Funds and held in the Managed Accounts, and also directly hold shares of Common Stock. In accordance with Instruction 4(b)(iv), the entire amount of Common Stock held by the Funds or Managed Accounts are reported herein. Each Reporting Person disclaims beneficial ownership of all shares of Common Stock that are beneficially owned by the Funds or Managed Accounts, except to the extent of any direct or indirect pecuniary interest therein. BCM also disclaims beneficial ownership of the shares held directly by Matthew Lindenbaum and Bennett Lindenbaum. Matthew Lindenbaum and Bennett Lindenbaum each disclaim beneficial ownership of the shares held directly by the other. The inclusion of these securities in this report shall not be deemed an admission of beneficial ownership of any securities reported herein for purposes of Section 16 of the Securities Exchange Act of 1934, as amended (the “Exchange Act”) or otherwise.</w:t>
      </w:r>
    </w:p>
    <w:p>
      <w:pPr>
        <w:spacing w:after="0" w:line="184" w:lineRule="exact"/>
        <w:rPr>
          <w:rFonts w:ascii="Times New Roman" w:cs="Times New Roman" w:eastAsia="Times New Roman" w:hAnsi="Times New Roman"/>
          <w:sz w:val="15"/>
          <w:szCs w:val="15"/>
          <w:color w:val="auto"/>
        </w:rPr>
      </w:pPr>
    </w:p>
    <w:p>
      <w:pPr>
        <w:ind w:left="460"/>
        <w:spacing w:after="0" w:line="27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Matthew Lindenbaum, a managing member of BCM, serves on the board of directors of the Issuer as a representative of the Reporting Persons. As a result, each of the Reporting Persons is a “director-by-deputization” solely for purposes of Section 16 of the Exchange Act. By reason of the provisions of Rule 16a-1 of the Exchange Act, each of the Reporting Persons may be deemed to be a beneficial owner of the shares of Common Stock issued to Matthew Lindenbaum.</w:t>
      </w:r>
    </w:p>
    <w:p>
      <w:pPr>
        <w:spacing w:after="0" w:line="170" w:lineRule="exact"/>
        <w:rPr>
          <w:rFonts w:ascii="Times New Roman" w:cs="Times New Roman" w:eastAsia="Times New Roman" w:hAnsi="Times New Roman"/>
          <w:sz w:val="15"/>
          <w:szCs w:val="15"/>
          <w:color w:val="auto"/>
        </w:rPr>
      </w:pPr>
    </w:p>
    <w:p>
      <w:pPr>
        <w:ind w:left="460" w:hanging="305"/>
        <w:spacing w:after="0"/>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held directly by certain separate Managed Accounts managed by BCM.</w:t>
      </w:r>
    </w:p>
    <w:p>
      <w:pPr>
        <w:spacing w:after="0" w:line="214" w:lineRule="exact"/>
        <w:rPr>
          <w:rFonts w:ascii="Times New Roman" w:cs="Times New Roman" w:eastAsia="Times New Roman" w:hAnsi="Times New Roman"/>
          <w:sz w:val="15"/>
          <w:szCs w:val="15"/>
          <w:color w:val="auto"/>
        </w:rPr>
      </w:pPr>
    </w:p>
    <w:p>
      <w:pPr>
        <w:ind w:left="460" w:hanging="305"/>
        <w:spacing w:after="0"/>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held directly by BFLOF.</w:t>
      </w:r>
    </w:p>
    <w:p>
      <w:pPr>
        <w:spacing w:after="0" w:line="214" w:lineRule="exact"/>
        <w:rPr>
          <w:rFonts w:ascii="Times New Roman" w:cs="Times New Roman" w:eastAsia="Times New Roman" w:hAnsi="Times New Roman"/>
          <w:sz w:val="15"/>
          <w:szCs w:val="15"/>
          <w:color w:val="auto"/>
        </w:rPr>
      </w:pPr>
    </w:p>
    <w:p>
      <w:pPr>
        <w:ind w:left="460" w:hanging="305"/>
        <w:spacing w:after="0"/>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held directly by BFF LP.</w:t>
      </w:r>
    </w:p>
    <w:p>
      <w:pPr>
        <w:spacing w:after="0" w:line="214" w:lineRule="exact"/>
        <w:rPr>
          <w:rFonts w:ascii="Times New Roman" w:cs="Times New Roman" w:eastAsia="Times New Roman" w:hAnsi="Times New Roman"/>
          <w:sz w:val="15"/>
          <w:szCs w:val="15"/>
          <w:color w:val="auto"/>
        </w:rPr>
      </w:pPr>
    </w:p>
    <w:p>
      <w:pPr>
        <w:ind w:left="460" w:hanging="305"/>
        <w:spacing w:after="0"/>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held directly by BFF LTD.</w:t>
      </w:r>
    </w:p>
    <w:p>
      <w:pPr>
        <w:spacing w:after="0" w:line="214" w:lineRule="exact"/>
        <w:rPr>
          <w:rFonts w:ascii="Times New Roman" w:cs="Times New Roman" w:eastAsia="Times New Roman" w:hAnsi="Times New Roman"/>
          <w:sz w:val="15"/>
          <w:szCs w:val="15"/>
          <w:color w:val="auto"/>
        </w:rPr>
      </w:pPr>
    </w:p>
    <w:p>
      <w:pPr>
        <w:ind w:left="460" w:hanging="305"/>
        <w:spacing w:after="0"/>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held directly by BOP.</w:t>
      </w:r>
    </w:p>
    <w:p>
      <w:pPr>
        <w:spacing w:after="0" w:line="214" w:lineRule="exact"/>
        <w:rPr>
          <w:rFonts w:ascii="Times New Roman" w:cs="Times New Roman" w:eastAsia="Times New Roman" w:hAnsi="Times New Roman"/>
          <w:sz w:val="15"/>
          <w:szCs w:val="15"/>
          <w:color w:val="auto"/>
        </w:rPr>
      </w:pPr>
    </w:p>
    <w:p>
      <w:pPr>
        <w:ind w:left="460" w:hanging="305"/>
        <w:spacing w:after="0"/>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held directly by BSFF.</w:t>
      </w:r>
    </w:p>
    <w:p>
      <w:pPr>
        <w:spacing w:after="0" w:line="214" w:lineRule="exact"/>
        <w:rPr>
          <w:rFonts w:ascii="Times New Roman" w:cs="Times New Roman" w:eastAsia="Times New Roman" w:hAnsi="Times New Roman"/>
          <w:sz w:val="15"/>
          <w:szCs w:val="15"/>
          <w:color w:val="auto"/>
        </w:rPr>
      </w:pPr>
    </w:p>
    <w:p>
      <w:pPr>
        <w:ind w:left="460" w:hanging="305"/>
        <w:spacing w:after="0" w:line="289" w:lineRule="auto"/>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held directly by Matthew Lindenbaum, which includes 1,865 shares of Common Stock underlying restricted stock unit awards. As of the date hereof, Matthew Lindenbaum also has a short position of 161,016 shares of Common Stock that was entered into prior to Matthew Lindenbaum becoming a reporting person.</w:t>
      </w:r>
    </w:p>
    <w:p>
      <w:pPr>
        <w:spacing w:after="0" w:line="158" w:lineRule="exact"/>
        <w:rPr>
          <w:rFonts w:ascii="Times New Roman" w:cs="Times New Roman" w:eastAsia="Times New Roman" w:hAnsi="Times New Roman"/>
          <w:sz w:val="15"/>
          <w:szCs w:val="15"/>
          <w:color w:val="auto"/>
        </w:rPr>
      </w:pPr>
    </w:p>
    <w:p>
      <w:pPr>
        <w:ind w:left="460" w:right="360" w:hanging="305"/>
        <w:spacing w:after="0" w:line="289" w:lineRule="auto"/>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held directly by Bennett Lindenbaum. As of the date hereof, Bennett Lindenbaum also has a short position of 138,281 shares of Common Stock that was entered into prior to Bennett Lindenbaum becoming a reporting person.</w:t>
      </w:r>
    </w:p>
    <w:p>
      <w:pPr>
        <w:spacing w:after="0" w:line="1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Remarks:</w:t>
      </w:r>
    </w:p>
    <w:p>
      <w:pPr>
        <w:sectPr>
          <w:pgSz w:w="11900" w:h="16838" w:orient="portrait"/>
          <w:cols w:equalWidth="0" w:num="1">
            <w:col w:w="10940"/>
          </w:cols>
          <w:pgMar w:left="460" w:top="114" w:right="49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61"/>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Designated Filer:</w:t>
            </w:r>
          </w:p>
        </w:tc>
        <w:tc>
          <w:tcPr>
            <w:tcW w:w="40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Basswood Capital Management, L.L.C.</w:t>
            </w:r>
          </w:p>
        </w:tc>
        <w:tc>
          <w:tcPr>
            <w:tcW w:w="0" w:type="dxa"/>
            <w:vAlign w:val="bottom"/>
          </w:tcPr>
          <w:p>
            <w:pPr>
              <w:spacing w:after="0"/>
              <w:rPr>
                <w:sz w:val="1"/>
                <w:szCs w:val="1"/>
                <w:color w:val="auto"/>
              </w:rPr>
            </w:pPr>
          </w:p>
        </w:tc>
      </w:tr>
      <w:tr>
        <w:trPr>
          <w:trHeight w:val="424"/>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Issuer &amp; Ticker Symbol:</w:t>
            </w:r>
          </w:p>
        </w:tc>
        <w:tc>
          <w:tcPr>
            <w:tcW w:w="40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Dime Community Bancshares, Inc. [DCOM]</w:t>
            </w:r>
          </w:p>
        </w:tc>
        <w:tc>
          <w:tcPr>
            <w:tcW w:w="0" w:type="dxa"/>
            <w:vAlign w:val="bottom"/>
          </w:tcPr>
          <w:p>
            <w:pPr>
              <w:spacing w:after="0"/>
              <w:rPr>
                <w:sz w:val="1"/>
                <w:szCs w:val="1"/>
                <w:color w:val="auto"/>
              </w:rPr>
            </w:pPr>
          </w:p>
        </w:tc>
      </w:tr>
      <w:tr>
        <w:trPr>
          <w:trHeight w:val="424"/>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 of Event Requiring Statement:</w:t>
            </w:r>
          </w:p>
        </w:tc>
        <w:tc>
          <w:tcPr>
            <w:tcW w:w="4080" w:type="dxa"/>
            <w:vAlign w:val="bottom"/>
          </w:tcPr>
          <w:p>
            <w:pPr>
              <w:ind w:left="2680"/>
              <w:spacing w:after="0"/>
              <w:rPr>
                <w:sz w:val="20"/>
                <w:szCs w:val="20"/>
                <w:color w:val="auto"/>
              </w:rPr>
            </w:pPr>
            <w:r>
              <w:rPr>
                <w:rFonts w:ascii="Times New Roman" w:cs="Times New Roman" w:eastAsia="Times New Roman" w:hAnsi="Times New Roman"/>
                <w:sz w:val="20"/>
                <w:szCs w:val="20"/>
                <w:color w:val="auto"/>
                <w:w w:val="98"/>
              </w:rPr>
              <w:t>October 27, 2026</w:t>
            </w:r>
          </w:p>
        </w:tc>
        <w:tc>
          <w:tcPr>
            <w:tcW w:w="0" w:type="dxa"/>
            <w:vAlign w:val="bottom"/>
          </w:tcPr>
          <w:p>
            <w:pPr>
              <w:spacing w:after="0"/>
              <w:rPr>
                <w:sz w:val="1"/>
                <w:szCs w:val="1"/>
                <w:color w:val="auto"/>
              </w:rPr>
            </w:pPr>
          </w:p>
        </w:tc>
      </w:tr>
      <w:tr>
        <w:trPr>
          <w:trHeight w:val="636"/>
        </w:trPr>
        <w:tc>
          <w:tcPr>
            <w:tcW w:w="1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Joint Filers:</w:t>
            </w:r>
          </w:p>
        </w:tc>
        <w:tc>
          <w:tcPr>
            <w:tcW w:w="2220" w:type="dxa"/>
            <w:vAlign w:val="bottom"/>
          </w:tcPr>
          <w:p>
            <w:pPr>
              <w:spacing w:after="0"/>
              <w:rPr>
                <w:sz w:val="24"/>
                <w:szCs w:val="24"/>
                <w:color w:val="auto"/>
              </w:rPr>
            </w:pPr>
          </w:p>
        </w:tc>
        <w:tc>
          <w:tcPr>
            <w:tcW w:w="408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Exhibit 99.2 - Joint Filer Information</w:t>
            </w:r>
          </w:p>
        </w:tc>
        <w:tc>
          <w:tcPr>
            <w:tcW w:w="0" w:type="dxa"/>
            <w:vAlign w:val="bottom"/>
          </w:tcPr>
          <w:p>
            <w:pPr>
              <w:spacing w:after="0"/>
              <w:rPr>
                <w:sz w:val="1"/>
                <w:szCs w:val="1"/>
                <w:color w:val="auto"/>
              </w:rPr>
            </w:pPr>
          </w:p>
        </w:tc>
      </w:tr>
      <w:tr>
        <w:trPr>
          <w:trHeight w:val="225"/>
        </w:trPr>
        <w:tc>
          <w:tcPr>
            <w:tcW w:w="1080" w:type="dxa"/>
            <w:vAlign w:val="bottom"/>
            <w:vMerge w:val="continue"/>
          </w:tcPr>
          <w:p>
            <w:pPr>
              <w:spacing w:after="0"/>
              <w:rPr>
                <w:sz w:val="19"/>
                <w:szCs w:val="19"/>
                <w:color w:val="auto"/>
              </w:rPr>
            </w:pPr>
          </w:p>
        </w:tc>
        <w:tc>
          <w:tcPr>
            <w:tcW w:w="22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 Name:</w:t>
            </w:r>
          </w:p>
        </w:tc>
        <w:tc>
          <w:tcPr>
            <w:tcW w:w="2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Matthew Lindenbaum</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38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Address: c/o Basswood Capital Management, LLC</w:t>
            </w:r>
          </w:p>
        </w:tc>
        <w:tc>
          <w:tcPr>
            <w:tcW w:w="0" w:type="dxa"/>
            <w:vAlign w:val="bottom"/>
          </w:tcPr>
          <w:p>
            <w:pPr>
              <w:spacing w:after="0"/>
              <w:rPr>
                <w:sz w:val="1"/>
                <w:szCs w:val="1"/>
                <w:color w:val="auto"/>
              </w:rPr>
            </w:pPr>
          </w:p>
        </w:tc>
      </w:tr>
      <w:tr>
        <w:trPr>
          <w:trHeight w:val="266"/>
        </w:trPr>
        <w:tc>
          <w:tcPr>
            <w:tcW w:w="3300" w:type="dxa"/>
            <w:vAlign w:val="bottom"/>
            <w:gridSpan w:val="2"/>
          </w:tcPr>
          <w:p>
            <w:pPr>
              <w:ind w:left="600"/>
              <w:spacing w:after="0" w:line="265" w:lineRule="exact"/>
              <w:rPr>
                <w:sz w:val="20"/>
                <w:szCs w:val="20"/>
                <w:color w:val="auto"/>
              </w:rPr>
            </w:pPr>
            <w:r>
              <w:rPr>
                <w:rFonts w:ascii="Times New Roman" w:cs="Times New Roman" w:eastAsia="Times New Roman" w:hAnsi="Times New Roman"/>
                <w:sz w:val="19"/>
                <w:szCs w:val="19"/>
                <w:color w:val="auto"/>
              </w:rPr>
              <w:t>645 Madison Avenue, 10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9"/>
                <w:szCs w:val="19"/>
                <w:color w:val="auto"/>
              </w:rPr>
              <w:t xml:space="preserve"> Floor</w:t>
            </w:r>
          </w:p>
        </w:tc>
        <w:tc>
          <w:tcPr>
            <w:tcW w:w="4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30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auto"/>
              </w:rPr>
              <w:t>New York, NY 10022</w:t>
            </w:r>
          </w:p>
        </w:tc>
        <w:tc>
          <w:tcPr>
            <w:tcW w:w="4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2. Name:</w:t>
            </w:r>
          </w:p>
        </w:tc>
        <w:tc>
          <w:tcPr>
            <w:tcW w:w="2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Bennett Lindenbaum</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38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Address: c/o Basswood Capital Management, LLC</w:t>
            </w:r>
          </w:p>
        </w:tc>
        <w:tc>
          <w:tcPr>
            <w:tcW w:w="0" w:type="dxa"/>
            <w:vAlign w:val="bottom"/>
          </w:tcPr>
          <w:p>
            <w:pPr>
              <w:spacing w:after="0"/>
              <w:rPr>
                <w:sz w:val="1"/>
                <w:szCs w:val="1"/>
                <w:color w:val="auto"/>
              </w:rPr>
            </w:pPr>
          </w:p>
        </w:tc>
      </w:tr>
      <w:tr>
        <w:trPr>
          <w:trHeight w:val="266"/>
        </w:trPr>
        <w:tc>
          <w:tcPr>
            <w:tcW w:w="3300" w:type="dxa"/>
            <w:vAlign w:val="bottom"/>
            <w:gridSpan w:val="2"/>
          </w:tcPr>
          <w:p>
            <w:pPr>
              <w:ind w:left="600"/>
              <w:spacing w:after="0" w:line="265" w:lineRule="exact"/>
              <w:rPr>
                <w:sz w:val="20"/>
                <w:szCs w:val="20"/>
                <w:color w:val="auto"/>
              </w:rPr>
            </w:pPr>
            <w:r>
              <w:rPr>
                <w:rFonts w:ascii="Times New Roman" w:cs="Times New Roman" w:eastAsia="Times New Roman" w:hAnsi="Times New Roman"/>
                <w:sz w:val="19"/>
                <w:szCs w:val="19"/>
                <w:color w:val="auto"/>
              </w:rPr>
              <w:t>645 Madison Avenue, 10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9"/>
                <w:szCs w:val="19"/>
                <w:color w:val="auto"/>
              </w:rPr>
              <w:t xml:space="preserve"> Floor</w:t>
            </w:r>
          </w:p>
        </w:tc>
        <w:tc>
          <w:tcPr>
            <w:tcW w:w="4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30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auto"/>
              </w:rPr>
              <w:t>New York, NY 10022</w:t>
            </w:r>
          </w:p>
        </w:tc>
        <w:tc>
          <w:tcPr>
            <w:tcW w:w="4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3. Name:</w:t>
            </w:r>
          </w:p>
        </w:tc>
        <w:tc>
          <w:tcPr>
            <w:tcW w:w="6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Basswood Capital Management, L.L.C.</w:t>
            </w:r>
          </w:p>
        </w:tc>
        <w:tc>
          <w:tcPr>
            <w:tcW w:w="0" w:type="dxa"/>
            <w:vAlign w:val="bottom"/>
          </w:tcPr>
          <w:p>
            <w:pPr>
              <w:spacing w:after="0"/>
              <w:rPr>
                <w:sz w:val="1"/>
                <w:szCs w:val="1"/>
                <w:color w:val="auto"/>
              </w:rPr>
            </w:pPr>
          </w:p>
        </w:tc>
      </w:tr>
      <w:tr>
        <w:trPr>
          <w:trHeight w:val="233"/>
        </w:trPr>
        <w:tc>
          <w:tcPr>
            <w:tcW w:w="738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Address: c/o Basswood Capital Management, LLC</w:t>
            </w:r>
          </w:p>
        </w:tc>
        <w:tc>
          <w:tcPr>
            <w:tcW w:w="0" w:type="dxa"/>
            <w:vAlign w:val="bottom"/>
          </w:tcPr>
          <w:p>
            <w:pPr>
              <w:spacing w:after="0"/>
              <w:rPr>
                <w:sz w:val="1"/>
                <w:szCs w:val="1"/>
                <w:color w:val="auto"/>
              </w:rPr>
            </w:pPr>
          </w:p>
        </w:tc>
      </w:tr>
      <w:tr>
        <w:trPr>
          <w:trHeight w:val="266"/>
        </w:trPr>
        <w:tc>
          <w:tcPr>
            <w:tcW w:w="3300" w:type="dxa"/>
            <w:vAlign w:val="bottom"/>
            <w:gridSpan w:val="2"/>
          </w:tcPr>
          <w:p>
            <w:pPr>
              <w:ind w:left="600"/>
              <w:spacing w:after="0" w:line="265" w:lineRule="exact"/>
              <w:rPr>
                <w:sz w:val="20"/>
                <w:szCs w:val="20"/>
                <w:color w:val="auto"/>
              </w:rPr>
            </w:pPr>
            <w:r>
              <w:rPr>
                <w:rFonts w:ascii="Times New Roman" w:cs="Times New Roman" w:eastAsia="Times New Roman" w:hAnsi="Times New Roman"/>
                <w:sz w:val="19"/>
                <w:szCs w:val="19"/>
                <w:color w:val="auto"/>
              </w:rPr>
              <w:t>645 Madison Avenue, 10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9"/>
                <w:szCs w:val="19"/>
                <w:color w:val="auto"/>
              </w:rPr>
              <w:t xml:space="preserve"> Floor</w:t>
            </w:r>
          </w:p>
        </w:tc>
        <w:tc>
          <w:tcPr>
            <w:tcW w:w="4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30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auto"/>
              </w:rPr>
              <w:t>New York, NY 10022</w:t>
            </w:r>
          </w:p>
        </w:tc>
        <w:tc>
          <w:tcPr>
            <w:tcW w:w="4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4. Name:</w:t>
            </w:r>
          </w:p>
        </w:tc>
        <w:tc>
          <w:tcPr>
            <w:tcW w:w="6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Basswood Financial Fund, LP</w:t>
            </w:r>
          </w:p>
        </w:tc>
        <w:tc>
          <w:tcPr>
            <w:tcW w:w="0" w:type="dxa"/>
            <w:vAlign w:val="bottom"/>
          </w:tcPr>
          <w:p>
            <w:pPr>
              <w:spacing w:after="0"/>
              <w:rPr>
                <w:sz w:val="1"/>
                <w:szCs w:val="1"/>
                <w:color w:val="auto"/>
              </w:rPr>
            </w:pPr>
          </w:p>
        </w:tc>
      </w:tr>
      <w:tr>
        <w:trPr>
          <w:trHeight w:val="233"/>
        </w:trPr>
        <w:tc>
          <w:tcPr>
            <w:tcW w:w="738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Address: c/o Basswood Capital Management, LLC</w:t>
            </w:r>
          </w:p>
        </w:tc>
        <w:tc>
          <w:tcPr>
            <w:tcW w:w="0" w:type="dxa"/>
            <w:vAlign w:val="bottom"/>
          </w:tcPr>
          <w:p>
            <w:pPr>
              <w:spacing w:after="0"/>
              <w:rPr>
                <w:sz w:val="1"/>
                <w:szCs w:val="1"/>
                <w:color w:val="auto"/>
              </w:rPr>
            </w:pPr>
          </w:p>
        </w:tc>
      </w:tr>
      <w:tr>
        <w:trPr>
          <w:trHeight w:val="266"/>
        </w:trPr>
        <w:tc>
          <w:tcPr>
            <w:tcW w:w="3300" w:type="dxa"/>
            <w:vAlign w:val="bottom"/>
            <w:gridSpan w:val="2"/>
          </w:tcPr>
          <w:p>
            <w:pPr>
              <w:ind w:left="600"/>
              <w:spacing w:after="0" w:line="265" w:lineRule="exact"/>
              <w:rPr>
                <w:sz w:val="20"/>
                <w:szCs w:val="20"/>
                <w:color w:val="auto"/>
              </w:rPr>
            </w:pPr>
            <w:r>
              <w:rPr>
                <w:rFonts w:ascii="Times New Roman" w:cs="Times New Roman" w:eastAsia="Times New Roman" w:hAnsi="Times New Roman"/>
                <w:sz w:val="19"/>
                <w:szCs w:val="19"/>
                <w:color w:val="auto"/>
              </w:rPr>
              <w:t>645 Madison Avenue, 10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9"/>
                <w:szCs w:val="19"/>
                <w:color w:val="auto"/>
              </w:rPr>
              <w:t xml:space="preserve"> Floor</w:t>
            </w:r>
          </w:p>
        </w:tc>
        <w:tc>
          <w:tcPr>
            <w:tcW w:w="4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30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auto"/>
              </w:rPr>
              <w:t>New York, NY 10022</w:t>
            </w:r>
          </w:p>
        </w:tc>
        <w:tc>
          <w:tcPr>
            <w:tcW w:w="4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5. Name:</w:t>
            </w:r>
          </w:p>
        </w:tc>
        <w:tc>
          <w:tcPr>
            <w:tcW w:w="6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Basswood Financial Fund, Ltd.</w:t>
            </w:r>
          </w:p>
        </w:tc>
        <w:tc>
          <w:tcPr>
            <w:tcW w:w="0" w:type="dxa"/>
            <w:vAlign w:val="bottom"/>
          </w:tcPr>
          <w:p>
            <w:pPr>
              <w:spacing w:after="0"/>
              <w:rPr>
                <w:sz w:val="1"/>
                <w:szCs w:val="1"/>
                <w:color w:val="auto"/>
              </w:rPr>
            </w:pPr>
          </w:p>
        </w:tc>
      </w:tr>
      <w:tr>
        <w:trPr>
          <w:trHeight w:val="233"/>
        </w:trPr>
        <w:tc>
          <w:tcPr>
            <w:tcW w:w="738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Address: c/o Basswood Capital Management, LLC</w:t>
            </w:r>
          </w:p>
        </w:tc>
        <w:tc>
          <w:tcPr>
            <w:tcW w:w="0" w:type="dxa"/>
            <w:vAlign w:val="bottom"/>
          </w:tcPr>
          <w:p>
            <w:pPr>
              <w:spacing w:after="0"/>
              <w:rPr>
                <w:sz w:val="1"/>
                <w:szCs w:val="1"/>
                <w:color w:val="auto"/>
              </w:rPr>
            </w:pPr>
          </w:p>
        </w:tc>
      </w:tr>
      <w:tr>
        <w:trPr>
          <w:trHeight w:val="266"/>
        </w:trPr>
        <w:tc>
          <w:tcPr>
            <w:tcW w:w="3300" w:type="dxa"/>
            <w:vAlign w:val="bottom"/>
            <w:gridSpan w:val="2"/>
          </w:tcPr>
          <w:p>
            <w:pPr>
              <w:ind w:left="600"/>
              <w:spacing w:after="0" w:line="265" w:lineRule="exact"/>
              <w:rPr>
                <w:sz w:val="20"/>
                <w:szCs w:val="20"/>
                <w:color w:val="auto"/>
              </w:rPr>
            </w:pPr>
            <w:r>
              <w:rPr>
                <w:rFonts w:ascii="Times New Roman" w:cs="Times New Roman" w:eastAsia="Times New Roman" w:hAnsi="Times New Roman"/>
                <w:sz w:val="19"/>
                <w:szCs w:val="19"/>
                <w:color w:val="auto"/>
              </w:rPr>
              <w:t>645 Madison Avenue, 10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9"/>
                <w:szCs w:val="19"/>
                <w:color w:val="auto"/>
              </w:rPr>
              <w:t xml:space="preserve"> Floor</w:t>
            </w:r>
          </w:p>
        </w:tc>
        <w:tc>
          <w:tcPr>
            <w:tcW w:w="4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30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auto"/>
              </w:rPr>
              <w:t>New York, NY 10022</w:t>
            </w:r>
          </w:p>
        </w:tc>
        <w:tc>
          <w:tcPr>
            <w:tcW w:w="4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6. Name:</w:t>
            </w:r>
          </w:p>
        </w:tc>
        <w:tc>
          <w:tcPr>
            <w:tcW w:w="6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Basswood Opportunity Partners, LP</w:t>
            </w:r>
          </w:p>
        </w:tc>
        <w:tc>
          <w:tcPr>
            <w:tcW w:w="0" w:type="dxa"/>
            <w:vAlign w:val="bottom"/>
          </w:tcPr>
          <w:p>
            <w:pPr>
              <w:spacing w:after="0"/>
              <w:rPr>
                <w:sz w:val="1"/>
                <w:szCs w:val="1"/>
                <w:color w:val="auto"/>
              </w:rPr>
            </w:pPr>
          </w:p>
        </w:tc>
      </w:tr>
      <w:tr>
        <w:trPr>
          <w:trHeight w:val="233"/>
        </w:trPr>
        <w:tc>
          <w:tcPr>
            <w:tcW w:w="738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Address: c/o Basswood Capital Management, LLC</w:t>
            </w:r>
          </w:p>
        </w:tc>
        <w:tc>
          <w:tcPr>
            <w:tcW w:w="0" w:type="dxa"/>
            <w:vAlign w:val="bottom"/>
          </w:tcPr>
          <w:p>
            <w:pPr>
              <w:spacing w:after="0"/>
              <w:rPr>
                <w:sz w:val="1"/>
                <w:szCs w:val="1"/>
                <w:color w:val="auto"/>
              </w:rPr>
            </w:pPr>
          </w:p>
        </w:tc>
      </w:tr>
      <w:tr>
        <w:trPr>
          <w:trHeight w:val="266"/>
        </w:trPr>
        <w:tc>
          <w:tcPr>
            <w:tcW w:w="3300" w:type="dxa"/>
            <w:vAlign w:val="bottom"/>
            <w:gridSpan w:val="2"/>
          </w:tcPr>
          <w:p>
            <w:pPr>
              <w:ind w:left="600"/>
              <w:spacing w:after="0" w:line="265" w:lineRule="exact"/>
              <w:rPr>
                <w:sz w:val="20"/>
                <w:szCs w:val="20"/>
                <w:color w:val="auto"/>
              </w:rPr>
            </w:pPr>
            <w:r>
              <w:rPr>
                <w:rFonts w:ascii="Times New Roman" w:cs="Times New Roman" w:eastAsia="Times New Roman" w:hAnsi="Times New Roman"/>
                <w:sz w:val="19"/>
                <w:szCs w:val="19"/>
                <w:color w:val="auto"/>
              </w:rPr>
              <w:t>645 Madison Avenue, 10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9"/>
                <w:szCs w:val="19"/>
                <w:color w:val="auto"/>
              </w:rPr>
              <w:t xml:space="preserve"> Floor</w:t>
            </w:r>
          </w:p>
        </w:tc>
        <w:tc>
          <w:tcPr>
            <w:tcW w:w="4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30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auto"/>
              </w:rPr>
              <w:t>New York, NY 10022</w:t>
            </w:r>
          </w:p>
        </w:tc>
        <w:tc>
          <w:tcPr>
            <w:tcW w:w="4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7. Name:</w:t>
            </w:r>
          </w:p>
        </w:tc>
        <w:tc>
          <w:tcPr>
            <w:tcW w:w="6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Basswood Financial Long Only Fund, LP</w:t>
            </w:r>
          </w:p>
        </w:tc>
        <w:tc>
          <w:tcPr>
            <w:tcW w:w="0" w:type="dxa"/>
            <w:vAlign w:val="bottom"/>
          </w:tcPr>
          <w:p>
            <w:pPr>
              <w:spacing w:after="0"/>
              <w:rPr>
                <w:sz w:val="1"/>
                <w:szCs w:val="1"/>
                <w:color w:val="auto"/>
              </w:rPr>
            </w:pPr>
          </w:p>
        </w:tc>
      </w:tr>
    </w:tbl>
    <w:p>
      <w:pPr>
        <w:ind w:left="600"/>
        <w:spacing w:after="0"/>
        <w:rPr>
          <w:sz w:val="20"/>
          <w:szCs w:val="20"/>
          <w:color w:val="auto"/>
        </w:rPr>
      </w:pPr>
      <w:r>
        <w:rPr>
          <w:rFonts w:ascii="Times New Roman" w:cs="Times New Roman" w:eastAsia="Times New Roman" w:hAnsi="Times New Roman"/>
          <w:sz w:val="20"/>
          <w:szCs w:val="20"/>
          <w:color w:val="auto"/>
        </w:rPr>
        <w:t>Address: c/o Basswood Capital Management, LLC</w:t>
      </w:r>
    </w:p>
    <w:p>
      <w:pPr>
        <w:ind w:left="600"/>
        <w:spacing w:after="0" w:line="181" w:lineRule="auto"/>
        <w:rPr>
          <w:sz w:val="20"/>
          <w:szCs w:val="20"/>
          <w:color w:val="auto"/>
        </w:rPr>
      </w:pPr>
      <w:r>
        <w:rPr>
          <w:rFonts w:ascii="Times New Roman" w:cs="Times New Roman" w:eastAsia="Times New Roman" w:hAnsi="Times New Roman"/>
          <w:sz w:val="19"/>
          <w:szCs w:val="19"/>
          <w:color w:val="auto"/>
        </w:rPr>
        <w:t>645 Madison Avenue, 10</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Floor</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New York, NY 10022</w:t>
      </w:r>
    </w:p>
    <w:p>
      <w:pPr>
        <w:sectPr>
          <w:pgSz w:w="11900" w:h="16838" w:orient="portrait"/>
          <w:cols w:equalWidth="0" w:num="1">
            <w:col w:w="9399"/>
          </w:cols>
          <w:pgMar w:left="1060" w:top="114"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9"/>
          <w:szCs w:val="19"/>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Basswood Capital Management, L.L.C.</w:t>
      </w:r>
    </w:p>
    <w:p>
      <w:pPr>
        <w:spacing w:after="0" w:line="200" w:lineRule="exact"/>
        <w:rPr>
          <w:sz w:val="20"/>
          <w:szCs w:val="20"/>
          <w:color w:val="auto"/>
        </w:rPr>
      </w:pPr>
    </w:p>
    <w:p>
      <w:pPr>
        <w:sectPr>
          <w:pgSz w:w="11900" w:h="16838" w:orient="portrait"/>
          <w:cols w:equalWidth="0" w:num="2">
            <w:col w:w="2880" w:space="720"/>
            <w:col w:w="5799"/>
          </w:cols>
          <w:pgMar w:left="1060" w:top="114" w:right="1440" w:bottom="1440" w:gutter="0" w:footer="0" w:header="0"/>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Issuer &amp;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Dime Community Bancshares, Inc. [DCOM]</w:t>
      </w:r>
    </w:p>
    <w:p>
      <w:pPr>
        <w:spacing w:after="0" w:line="200" w:lineRule="exact"/>
        <w:rPr>
          <w:sz w:val="20"/>
          <w:szCs w:val="20"/>
          <w:color w:val="auto"/>
        </w:rPr>
      </w:pPr>
    </w:p>
    <w:p>
      <w:pPr>
        <w:sectPr>
          <w:pgSz w:w="11900" w:h="16838" w:orient="portrait"/>
          <w:cols w:equalWidth="0" w:num="2">
            <w:col w:w="2880" w:space="720"/>
            <w:col w:w="5799"/>
          </w:cols>
          <w:pgMar w:left="1060" w:top="114"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of Event Requiring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October 27, 2026</w:t>
      </w:r>
    </w:p>
    <w:p>
      <w:pPr>
        <w:spacing w:after="0" w:line="200" w:lineRule="exact"/>
        <w:rPr>
          <w:sz w:val="20"/>
          <w:szCs w:val="20"/>
          <w:color w:val="auto"/>
        </w:rPr>
      </w:pPr>
    </w:p>
    <w:p>
      <w:pPr>
        <w:sectPr>
          <w:pgSz w:w="11900" w:h="16838" w:orient="portrait"/>
          <w:cols w:equalWidth="0" w:num="2">
            <w:col w:w="5260" w:space="720"/>
            <w:col w:w="3419"/>
          </w:cols>
          <w:pgMar w:left="1060" w:top="114" w:right="1440"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9"/>
          <w:szCs w:val="19"/>
          <w:b w:val="1"/>
          <w:bCs w:val="1"/>
          <w:color w:val="auto"/>
        </w:rPr>
        <w:t>Exhibit 99.3 - Joint Filers’ Signatures</w:t>
      </w:r>
    </w:p>
    <w:p>
      <w:pPr>
        <w:sectPr>
          <w:pgSz w:w="11900" w:h="16838" w:orient="portrait"/>
          <w:cols w:equalWidth="0" w:num="1">
            <w:col w:w="9399"/>
          </w:cols>
          <w:pgMar w:left="106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________________________</w:t>
      </w:r>
    </w:p>
    <w:p>
      <w:pPr>
        <w:spacing w:after="0" w:line="1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Matthew Lindenbaum</w:t>
      </w:r>
    </w:p>
    <w:p>
      <w:pPr>
        <w:spacing w:after="0" w:line="200" w:lineRule="exact"/>
        <w:rPr>
          <w:sz w:val="20"/>
          <w:szCs w:val="20"/>
          <w:color w:val="auto"/>
        </w:rPr>
      </w:pPr>
    </w:p>
    <w:p>
      <w:pPr>
        <w:spacing w:after="0" w:line="22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__________________________</w:t>
      </w:r>
    </w:p>
    <w:p>
      <w:pPr>
        <w:spacing w:after="0" w:line="1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Bennett Lindenbaum</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b w:val="1"/>
          <w:bCs w:val="1"/>
          <w:color w:val="auto"/>
        </w:rPr>
        <w:t>Basswood Capital Management, L.L.C.</w:t>
      </w:r>
    </w:p>
    <w:p>
      <w:pPr>
        <w:spacing w:after="0" w:line="22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By:</w:t>
      </w:r>
    </w:p>
    <w:p>
      <w:pPr>
        <w:spacing w:after="0" w:line="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Matthew Lindenbaum</w:t>
      </w:r>
    </w:p>
    <w:p>
      <w:pPr>
        <w:ind w:left="330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b w:val="1"/>
          <w:bCs w:val="1"/>
          <w:color w:val="auto"/>
        </w:rPr>
        <w:t>Basswood Financial Fund, LP</w:t>
      </w:r>
    </w:p>
    <w:p>
      <w:pPr>
        <w:spacing w:after="0" w:line="22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9"/>
          <w:szCs w:val="19"/>
          <w:color w:val="auto"/>
        </w:rPr>
        <w:t>By: Basswood Capital Management, L.L.C.</w:t>
      </w:r>
    </w:p>
    <w:p>
      <w:pPr>
        <w:spacing w:after="0" w:line="2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By:</w:t>
      </w:r>
    </w:p>
    <w:p>
      <w:pPr>
        <w:spacing w:after="0" w:line="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Matthew Lindenbaum</w:t>
      </w:r>
    </w:p>
    <w:p>
      <w:pPr>
        <w:ind w:left="330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49530</wp:posOffset>
            </wp:positionV>
            <wp:extent cx="699770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6997700" cy="41275"/>
                    </a:xfrm>
                    <a:prstGeom prst="rect">
                      <a:avLst/>
                    </a:prstGeom>
                    <a:noFill/>
                  </pic:spPr>
                </pic:pic>
              </a:graphicData>
            </a:graphic>
          </wp:anchor>
        </w:drawing>
      </w:r>
    </w:p>
    <w:p>
      <w:pPr>
        <w:sectPr>
          <w:pgSz w:w="11900" w:h="16838" w:orient="portrait"/>
          <w:cols w:equalWidth="0" w:num="1">
            <w:col w:w="9399"/>
          </w:cols>
          <w:pgMar w:left="1060" w:top="114" w:right="1440"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9"/>
          <w:szCs w:val="19"/>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Basswood Capital Management, L.L.C.</w:t>
      </w:r>
    </w:p>
    <w:p>
      <w:pPr>
        <w:spacing w:after="0" w:line="200" w:lineRule="exact"/>
        <w:rPr>
          <w:sz w:val="20"/>
          <w:szCs w:val="20"/>
          <w:color w:val="auto"/>
        </w:rPr>
      </w:pPr>
    </w:p>
    <w:p>
      <w:pPr>
        <w:sectPr>
          <w:pgSz w:w="11900" w:h="16838" w:orient="portrait"/>
          <w:cols w:equalWidth="0" w:num="2">
            <w:col w:w="2880" w:space="720"/>
            <w:col w:w="5799"/>
          </w:cols>
          <w:pgMar w:left="1060" w:top="114" w:right="1440" w:bottom="1440" w:gutter="0" w:footer="0" w:header="0"/>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Issuer &amp;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Dime Community Bancshares, Inc. [DCOM]</w:t>
      </w:r>
    </w:p>
    <w:p>
      <w:pPr>
        <w:spacing w:after="0" w:line="200" w:lineRule="exact"/>
        <w:rPr>
          <w:sz w:val="20"/>
          <w:szCs w:val="20"/>
          <w:color w:val="auto"/>
        </w:rPr>
      </w:pPr>
    </w:p>
    <w:p>
      <w:pPr>
        <w:sectPr>
          <w:pgSz w:w="11900" w:h="16838" w:orient="portrait"/>
          <w:cols w:equalWidth="0" w:num="2">
            <w:col w:w="2880" w:space="720"/>
            <w:col w:w="5799"/>
          </w:cols>
          <w:pgMar w:left="1060" w:top="114"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of Event Requiring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October 27, 2026</w:t>
      </w:r>
    </w:p>
    <w:p>
      <w:pPr>
        <w:spacing w:after="0" w:line="200" w:lineRule="exact"/>
        <w:rPr>
          <w:sz w:val="20"/>
          <w:szCs w:val="20"/>
          <w:color w:val="auto"/>
        </w:rPr>
      </w:pPr>
    </w:p>
    <w:p>
      <w:pPr>
        <w:sectPr>
          <w:pgSz w:w="11900" w:h="16838" w:orient="portrait"/>
          <w:cols w:equalWidth="0" w:num="2">
            <w:col w:w="5260" w:space="720"/>
            <w:col w:w="3419"/>
          </w:cols>
          <w:pgMar w:left="1060" w:top="114" w:right="1440" w:bottom="1440" w:gutter="0" w:footer="0" w:header="0"/>
          <w:type w:val="continuous"/>
        </w:sectPr>
      </w:pPr>
    </w:p>
    <w:p>
      <w:pPr>
        <w:spacing w:after="0" w:line="20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b w:val="1"/>
          <w:bCs w:val="1"/>
          <w:color w:val="auto"/>
        </w:rPr>
        <w:t>Basswood Financial Fund, Ltd.</w:t>
      </w:r>
    </w:p>
    <w:p>
      <w:pPr>
        <w:spacing w:after="0" w:line="22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By: Basswood Capital Management, L.L.C.</w:t>
      </w:r>
    </w:p>
    <w:p>
      <w:pPr>
        <w:spacing w:after="0" w:line="21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By:</w:t>
      </w:r>
    </w:p>
    <w:p>
      <w:pPr>
        <w:spacing w:after="0" w:line="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Matthew Lindenbaum</w:t>
      </w:r>
    </w:p>
    <w:p>
      <w:pPr>
        <w:ind w:left="330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b w:val="1"/>
          <w:bCs w:val="1"/>
          <w:color w:val="auto"/>
        </w:rPr>
        <w:t>Basswood Opportunity Partners, LP</w:t>
      </w:r>
    </w:p>
    <w:p>
      <w:pPr>
        <w:spacing w:after="0" w:line="22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By: Basswood Capital Management, L.L.C.</w:t>
      </w:r>
    </w:p>
    <w:p>
      <w:pPr>
        <w:spacing w:after="0" w:line="21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By:</w:t>
      </w:r>
    </w:p>
    <w:p>
      <w:pPr>
        <w:spacing w:after="0" w:line="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Matthew Lindenbaum</w:t>
      </w:r>
    </w:p>
    <w:p>
      <w:pPr>
        <w:ind w:left="330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Basswood Financial Long Only Fund, LP</w:t>
      </w:r>
    </w:p>
    <w:p>
      <w:pPr>
        <w:spacing w:after="0" w:line="23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By: Basswood Capital Management, L.L.C.</w:t>
      </w:r>
    </w:p>
    <w:p>
      <w:pPr>
        <w:spacing w:after="0" w:line="21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By:</w:t>
      </w:r>
    </w:p>
    <w:p>
      <w:pPr>
        <w:spacing w:after="0" w:line="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Matthew Lindenbaum</w:t>
      </w:r>
    </w:p>
    <w:p>
      <w:pPr>
        <w:ind w:left="3300"/>
        <w:spacing w:after="0"/>
        <w:rPr>
          <w:sz w:val="20"/>
          <w:szCs w:val="20"/>
          <w:color w:val="auto"/>
        </w:rPr>
      </w:pPr>
      <w:r>
        <w:rPr>
          <w:rFonts w:ascii="Times New Roman" w:cs="Times New Roman" w:eastAsia="Times New Roman" w:hAnsi="Times New Roman"/>
          <w:sz w:val="20"/>
          <w:szCs w:val="20"/>
          <w:color w:val="auto"/>
        </w:rPr>
        <w:t>Title: Managing Member</w:t>
      </w:r>
    </w:p>
    <w:sectPr>
      <w:pgSz w:w="11900" w:h="16838" w:orient="portrait"/>
      <w:cols w:equalWidth="0" w:num="1">
        <w:col w:w="9399"/>
      </w:cols>
      <w:pgMar w:left="106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13" Type="http://schemas.openxmlformats.org/officeDocument/2006/relationships/hyperlink" Target="http://www.sec.gov/cgi-bin/browse-edgar?action=getcompany&amp;CIK=0001085393" TargetMode="External"/><Relationship Id="rId14" Type="http://schemas.openxmlformats.org/officeDocument/2006/relationships/hyperlink" Target="http://www.sec.gov/cgi-bin/browse-edgar?action=getcompany&amp;CIK=0000846617" TargetMode="External"/><Relationship Id="rId15" Type="http://schemas.openxmlformats.org/officeDocument/2006/relationships/hyperlink" Target="http://www.sec.gov/cgi-bin/browse-edgar?action=getcompany&amp;CIK=0000927942" TargetMode="External"/><Relationship Id="rId16" Type="http://schemas.openxmlformats.org/officeDocument/2006/relationships/hyperlink" Target="http://www.sec.gov/cgi-bin/browse-edgar?action=getcompany&amp;CIK=0000927943" TargetMode="External"/><Relationship Id="rId17" Type="http://schemas.openxmlformats.org/officeDocument/2006/relationships/hyperlink" Target="http://www.sec.gov/cgi-bin/browse-edgar?action=getcompany&amp;CIK=0001519641" TargetMode="External"/><Relationship Id="rId18" Type="http://schemas.openxmlformats.org/officeDocument/2006/relationships/hyperlink" Target="http://www.sec.gov/cgi-bin/browse-edgar?action=getcompany&amp;CIK=0001085394" TargetMode="External"/><Relationship Id="rId19" Type="http://schemas.openxmlformats.org/officeDocument/2006/relationships/hyperlink" Target="http://www.sec.gov/cgi-bin/browse-edgar?action=getcompany&amp;CIK=0000947724" TargetMode="External"/><Relationship Id="rId22" Type="http://schemas.openxmlformats.org/officeDocument/2006/relationships/hyperlink" Target="http://www.sec.gov/cgi-bin/browse-edgar?action=getcompany&amp;CIK=0001538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2026-10-29T17:16:27Z</dcterms:created>
  <dcterms:modified xsi:type="dcterms:W3CDTF">2026-10-29T17:16:27Z</dcterms:modified>
</cp:coreProperties>
</file>