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MGS Partners, LLC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BASSWOOD CAPITAL MANAGEMENT, LLC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BRIDGE BANCORP,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BDGE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120" w:space="6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645 MADISON AVENUE, 10TH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50,197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406,749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See Exhibit 99.1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Explanation of Responses: Notes are included on Exhibit 99.1 hereto. Exhibit List: Exhibit 99.1 - Explanation of Responses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MGS PARTNERS, LLC,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88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Nathan Lindenbaum,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Managing Member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6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Designated Filer: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MGS Partners, LLC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Issuer &amp; Ticker Symbol: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auto"/>
        </w:rPr>
        <w:t>Bridge Bancorp, Inc. [BDGE]</w:t>
      </w:r>
    </w:p>
    <w:p>
      <w:pPr>
        <w:spacing w:after="0"/>
        <w:tabs>
          <w:tab w:leader="none" w:pos="700" w:val="left"/>
          <w:tab w:leader="none" w:pos="118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Date</w:t>
        <w:tab/>
        <w:t>of</w:t>
        <w:tab/>
        <w:t>Event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RequiringNovember 13,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Statement: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Explanation of Responses: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both"/>
        <w:ind w:left="480" w:hanging="307"/>
        <w:spacing w:after="0" w:line="322" w:lineRule="auto"/>
        <w:tabs>
          <w:tab w:leader="none" w:pos="480" w:val="left"/>
        </w:tabs>
        <w:numPr>
          <w:ilvl w:val="0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November 13, 2020 the Nathan J Lindenbaum 2015 Trust transferred all of its shares of common stock of Bridge Bancorp, Inc. through a voluntary transfer for no consideration. Such shares are now held directly by MGS Partners, LLC.</w:t>
      </w:r>
    </w:p>
    <w:sectPr>
      <w:pgSz w:w="11900" w:h="16838" w:orient="portrait"/>
      <w:cols w:equalWidth="0" w:num="1">
        <w:col w:w="10980"/>
      </w:cols>
      <w:pgMar w:left="460" w:top="118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645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2020-11-24T17:12:46Z</dcterms:created>
  <dcterms:modified xsi:type="dcterms:W3CDTF">2020-11-24T17:12:46Z</dcterms:modified>
</cp:coreProperties>
</file>