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0001519641</w:t>
            </w:r>
          </w:p>
        </w:tc>
        <w:tc>
          <w:tcPr>
            <w:tcW w:w="4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835"/>
        </w:trPr>
        <w:tc>
          <w:tcPr>
            <w:tcW w:w="62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3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20" w:type="dxa"/>
            <w:vAlign w:val="bottom"/>
          </w:tcPr>
          <w:p>
            <w:pPr>
              <w:spacing w:after="0"/>
              <w:rPr>
                <w:sz w:val="24"/>
                <w:szCs w:val="24"/>
                <w:color w:val="auto"/>
              </w:rPr>
            </w:pPr>
          </w:p>
        </w:tc>
        <w:tc>
          <w:tcPr>
            <w:tcW w:w="436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DIME COMMUNITY BANCSHARES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20" w:type="dxa"/>
            <w:vAlign w:val="bottom"/>
          </w:tcPr>
          <w:p>
            <w:pPr>
              <w:spacing w:after="0"/>
              <w:rPr>
                <w:sz w:val="24"/>
                <w:szCs w:val="24"/>
                <w:color w:val="auto"/>
              </w:rPr>
            </w:pPr>
          </w:p>
        </w:tc>
        <w:tc>
          <w:tcPr>
            <w:tcW w:w="43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001-39211</w:t>
            </w:r>
          </w:p>
        </w:tc>
      </w:tr>
      <w:tr>
        <w:trPr>
          <w:trHeight w:val="258"/>
        </w:trPr>
        <w:tc>
          <w:tcPr>
            <w:tcW w:w="300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43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898 Veterans Memorial Highway</w:t>
            </w:r>
          </w:p>
        </w:tc>
      </w:tr>
      <w:tr>
        <w:trPr>
          <w:trHeight w:val="243"/>
        </w:trPr>
        <w:tc>
          <w:tcPr>
            <w:tcW w:w="30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3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Suite 560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20" w:type="dxa"/>
            <w:vAlign w:val="bottom"/>
          </w:tcPr>
          <w:p>
            <w:pPr>
              <w:spacing w:after="0"/>
              <w:rPr>
                <w:sz w:val="21"/>
                <w:szCs w:val="21"/>
                <w:color w:val="auto"/>
              </w:rPr>
            </w:pPr>
          </w:p>
        </w:tc>
        <w:tc>
          <w:tcPr>
            <w:tcW w:w="43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Hauppauge</w:t>
            </w:r>
          </w:p>
        </w:tc>
      </w:tr>
      <w:tr>
        <w:trPr>
          <w:trHeight w:val="243"/>
        </w:trPr>
        <w:tc>
          <w:tcPr>
            <w:tcW w:w="30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3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3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11788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20" w:type="dxa"/>
            <w:vAlign w:val="bottom"/>
          </w:tcPr>
          <w:p>
            <w:pPr>
              <w:spacing w:after="0"/>
              <w:rPr>
                <w:sz w:val="24"/>
                <w:szCs w:val="24"/>
                <w:color w:val="auto"/>
              </w:rPr>
            </w:pPr>
          </w:p>
        </w:tc>
        <w:tc>
          <w:tcPr>
            <w:tcW w:w="43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6315371000</w:t>
            </w:r>
          </w:p>
        </w:tc>
      </w:tr>
      <w:tr>
        <w:trPr>
          <w:trHeight w:val="297"/>
        </w:trPr>
        <w:tc>
          <w:tcPr>
            <w:tcW w:w="62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3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BASSWOOD FINANCIAL FUND,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80" w:type="dxa"/>
            <w:vAlign w:val="bottom"/>
            <w:vMerge w:val="restart"/>
          </w:tcPr>
          <w:p>
            <w:pPr>
              <w:ind w:left="28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8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KEEFE, BRUYETTE &amp;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23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WOODS, 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2360" w:type="dxa"/>
            <w:vAlign w:val="bottom"/>
          </w:tcPr>
          <w:p>
            <w:pPr>
              <w:spacing w:after="0"/>
              <w:rPr>
                <w:sz w:val="20"/>
                <w:szCs w:val="20"/>
                <w:color w:val="auto"/>
              </w:rPr>
            </w:pPr>
            <w:r>
              <w:rPr>
                <w:rFonts w:ascii="Times New Roman" w:cs="Times New Roman" w:eastAsia="Times New Roman" w:hAnsi="Times New Roman"/>
                <w:sz w:val="22"/>
                <w:szCs w:val="22"/>
                <w:color w:val="auto"/>
              </w:rPr>
              <w:t>Common Stock, par value</w:t>
            </w: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787 7TH AVENUE, 4TH</w:t>
            </w:r>
          </w:p>
        </w:tc>
        <w:tc>
          <w:tcPr>
            <w:tcW w:w="12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11280</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449057.00</w:t>
            </w:r>
          </w:p>
        </w:tc>
        <w:tc>
          <w:tcPr>
            <w:tcW w:w="0" w:type="dxa"/>
            <w:vAlign w:val="bottom"/>
          </w:tcPr>
          <w:p>
            <w:pPr>
              <w:spacing w:after="0"/>
              <w:rPr>
                <w:sz w:val="1"/>
                <w:szCs w:val="1"/>
                <w:color w:val="auto"/>
              </w:rPr>
            </w:pPr>
          </w:p>
        </w:tc>
      </w:tr>
      <w:tr>
        <w:trPr>
          <w:trHeight w:val="148"/>
        </w:trPr>
        <w:tc>
          <w:tcPr>
            <w:tcW w:w="23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$0.10 ("Common Stock")</w:t>
            </w:r>
          </w:p>
        </w:tc>
        <w:tc>
          <w:tcPr>
            <w:tcW w:w="2380" w:type="dxa"/>
            <w:vAlign w:val="bottom"/>
          </w:tcPr>
          <w:p>
            <w:pPr>
              <w:ind w:left="100"/>
              <w:spacing w:after="0" w:line="148" w:lineRule="exact"/>
              <w:rPr>
                <w:sz w:val="20"/>
                <w:szCs w:val="20"/>
                <w:color w:val="auto"/>
              </w:rPr>
            </w:pPr>
            <w:r>
              <w:rPr>
                <w:rFonts w:ascii="Times New Roman" w:cs="Times New Roman" w:eastAsia="Times New Roman" w:hAnsi="Times New Roman"/>
                <w:sz w:val="17"/>
                <w:szCs w:val="17"/>
                <w:color w:val="auto"/>
              </w:rPr>
              <w:t>FLOOR</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23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60" w:type="dxa"/>
            <w:vAlign w:val="bottom"/>
          </w:tcPr>
          <w:p>
            <w:pPr>
              <w:spacing w:after="0"/>
              <w:rPr>
                <w:sz w:val="24"/>
                <w:szCs w:val="24"/>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10019</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43886835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36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2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6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8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8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Open Market</w:t>
            </w: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02/03/2014 (3)</w:t>
            </w:r>
          </w:p>
        </w:tc>
        <w:tc>
          <w:tcPr>
            <w:tcW w:w="1280" w:type="dxa"/>
            <w:vAlign w:val="bottom"/>
          </w:tcPr>
          <w:p>
            <w:pPr>
              <w:spacing w:after="0"/>
              <w:rPr>
                <w:sz w:val="21"/>
                <w:szCs w:val="21"/>
                <w:color w:val="auto"/>
              </w:rPr>
            </w:pPr>
          </w:p>
        </w:tc>
        <w:tc>
          <w:tcPr>
            <w:tcW w:w="162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color w:val="auto"/>
                <w:w w:val="98"/>
              </w:rPr>
              <w:t>and/or Transfers</w:t>
            </w: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472"/>
              <w:spacing w:after="0" w:line="243" w:lineRule="exact"/>
              <w:rPr>
                <w:sz w:val="20"/>
                <w:szCs w:val="20"/>
                <w:color w:val="auto"/>
              </w:rPr>
            </w:pPr>
            <w:r>
              <w:rPr>
                <w:rFonts w:ascii="Times New Roman" w:cs="Times New Roman" w:eastAsia="Times New Roman" w:hAnsi="Times New Roman"/>
                <w:sz w:val="22"/>
                <w:szCs w:val="22"/>
                <w:color w:val="auto"/>
                <w:w w:val="99"/>
              </w:rPr>
              <w:t>165169</w:t>
            </w:r>
          </w:p>
        </w:tc>
        <w:tc>
          <w:tcPr>
            <w:tcW w:w="24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02/03/2014 Cash (3)</w:t>
            </w:r>
          </w:p>
        </w:tc>
      </w:tr>
      <w:tr>
        <w:trPr>
          <w:trHeight w:val="282"/>
        </w:trPr>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from Affiliate</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left="1" w:right="260" w:hanging="1"/>
        <w:spacing w:after="0" w:line="238" w:lineRule="auto"/>
        <w:tabs>
          <w:tab w:leader="none" w:pos="30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Market Value is based on the closing price of $39.81 of the Common Stock on June 11, 2026. (2) The Number of Shares Outstanding is based on the number of shares of Common Stock outstanding as of May 28, 2026, as reported by the issuer in its 8-K, which was filed with the Commission on June 1,2026. (3) BASSWOOD FINANCIAL FUND, L.P. obtained the shares of Common Stock listed in Table I through open market purchases and/or Transfers from Affiliates, from January 2014 through November 2025.</w:t>
      </w:r>
    </w:p>
    <w:p>
      <w:pPr>
        <w:spacing w:after="0" w:line="13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06/12/2026</w:t>
      </w:r>
    </w:p>
    <w:p>
      <w:pPr>
        <w:spacing w:after="0" w:line="159" w:lineRule="exact"/>
        <w:rPr>
          <w:sz w:val="20"/>
          <w:szCs w:val="20"/>
          <w:color w:val="auto"/>
        </w:rPr>
      </w:pPr>
    </w:p>
    <w:p>
      <w:pPr>
        <w:sectPr>
          <w:pgSz w:w="11900" w:h="16838" w:orient="portrait"/>
          <w:cols w:equalWidth="0" w:num="2">
            <w:col w:w="820" w:space="119"/>
            <w:col w:w="10301"/>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jc w:val="both"/>
        <w:ind w:left="940" w:right="40" w:hanging="890"/>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By: Basswood Capital Management L.L.C, its investment manager; By: /s/ Marc Samit, Principal and Chief Operating Officer</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2026-06-12T20:31:10Z</dcterms:created>
  <dcterms:modified xsi:type="dcterms:W3CDTF">2026-06-12T20:31:10Z</dcterms:modified>
</cp:coreProperties>
</file>