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8" w:lineRule="exact"/>
        <w:rPr>
          <w:sz w:val="24"/>
          <w:szCs w:val="24"/>
          <w:color w:val="auto"/>
        </w:rPr>
      </w:pPr>
    </w:p>
    <w:p>
      <w:pPr>
        <w:ind w:left="1740" w:hanging="169"/>
        <w:spacing w:after="0"/>
        <w:tabs>
          <w:tab w:leader="none" w:pos="17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93" w:lineRule="exact"/>
        <w:rPr>
          <w:sz w:val="24"/>
          <w:szCs w:val="24"/>
          <w:color w:val="auto"/>
        </w:rPr>
      </w:pPr>
    </w:p>
    <w:p>
      <w:pPr>
        <w:ind w:left="1760" w:hanging="215"/>
        <w:spacing w:after="0"/>
        <w:tabs>
          <w:tab w:leader="none" w:pos="17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09" w:lineRule="exact"/>
        <w:rPr>
          <w:sz w:val="24"/>
          <w:szCs w:val="24"/>
          <w:color w:val="auto"/>
        </w:rPr>
      </w:pPr>
    </w:p>
    <w:p>
      <w:pPr>
        <w:ind w:left="4000"/>
        <w:spacing w:after="0"/>
        <w:tabs>
          <w:tab w:leader="none" w:pos="6120" w:val="left"/>
        </w:tabs>
        <w:rPr>
          <w:sz w:val="20"/>
          <w:szCs w:val="20"/>
          <w:color w:val="auto"/>
        </w:rPr>
      </w:pPr>
      <w:r>
        <w:rPr>
          <w:rFonts w:ascii="Times New Roman" w:cs="Times New Roman" w:eastAsia="Times New Roman" w:hAnsi="Times New Roman"/>
          <w:sz w:val="14"/>
          <w:szCs w:val="14"/>
          <w:color w:val="auto"/>
        </w:rPr>
        <w:t>For the transition period from</w:t>
      </w:r>
      <w:r>
        <w:rPr>
          <w:sz w:val="20"/>
          <w:szCs w:val="20"/>
          <w:color w:val="auto"/>
        </w:rPr>
        <w:tab/>
      </w:r>
      <w:r>
        <w:rPr>
          <w:rFonts w:ascii="Times New Roman" w:cs="Times New Roman" w:eastAsia="Times New Roman" w:hAnsi="Times New Roman"/>
          <w:sz w:val="14"/>
          <w:szCs w:val="14"/>
          <w:color w:val="auto"/>
        </w:rPr>
        <w:t>to</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 001-34096</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DIME COMMUNITY BANCSHARES, INC.</w:t>
      </w:r>
    </w:p>
    <w:p>
      <w:pPr>
        <w:spacing w:after="0" w:line="5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jc w:val="center"/>
              <w:ind w:left="1664"/>
              <w:spacing w:after="0"/>
              <w:rPr>
                <w:sz w:val="20"/>
                <w:szCs w:val="20"/>
                <w:color w:val="auto"/>
              </w:rPr>
            </w:pPr>
            <w:r>
              <w:rPr>
                <w:rFonts w:ascii="Times New Roman" w:cs="Times New Roman" w:eastAsia="Times New Roman" w:hAnsi="Times New Roman"/>
                <w:sz w:val="16"/>
                <w:szCs w:val="16"/>
                <w:b w:val="1"/>
                <w:bCs w:val="1"/>
                <w:color w:val="auto"/>
                <w:w w:val="97"/>
              </w:rPr>
              <w:t>New York</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20" w:type="dxa"/>
            <w:vAlign w:val="bottom"/>
          </w:tcPr>
          <w:p>
            <w:pPr>
              <w:jc w:val="right"/>
              <w:ind w:right="2024"/>
              <w:spacing w:after="0"/>
              <w:rPr>
                <w:sz w:val="20"/>
                <w:szCs w:val="20"/>
                <w:color w:val="auto"/>
              </w:rPr>
            </w:pPr>
            <w:r>
              <w:rPr>
                <w:rFonts w:ascii="Times New Roman" w:cs="Times New Roman" w:eastAsia="Times New Roman" w:hAnsi="Times New Roman"/>
                <w:sz w:val="16"/>
                <w:szCs w:val="16"/>
                <w:b w:val="1"/>
                <w:bCs w:val="1"/>
                <w:color w:val="auto"/>
              </w:rPr>
              <w:t>11-2934195</w:t>
            </w:r>
          </w:p>
        </w:tc>
        <w:tc>
          <w:tcPr>
            <w:tcW w:w="0" w:type="dxa"/>
            <w:vAlign w:val="bottom"/>
          </w:tcPr>
          <w:p>
            <w:pPr>
              <w:spacing w:after="0"/>
              <w:rPr>
                <w:sz w:val="1"/>
                <w:szCs w:val="1"/>
                <w:color w:val="auto"/>
              </w:rPr>
            </w:pPr>
          </w:p>
        </w:tc>
      </w:tr>
      <w:tr>
        <w:trPr>
          <w:trHeight w:val="212"/>
        </w:trPr>
        <w:tc>
          <w:tcPr>
            <w:tcW w:w="600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4220" w:type="dxa"/>
            <w:vAlign w:val="bottom"/>
          </w:tcPr>
          <w:p>
            <w:pPr>
              <w:jc w:val="center"/>
              <w:ind w:right="684"/>
              <w:spacing w:after="0"/>
              <w:rPr>
                <w:sz w:val="20"/>
                <w:szCs w:val="20"/>
                <w:color w:val="auto"/>
              </w:rPr>
            </w:pPr>
            <w:r>
              <w:rPr>
                <w:rFonts w:ascii="Times New Roman" w:cs="Times New Roman" w:eastAsia="Times New Roman" w:hAnsi="Times New Roman"/>
                <w:sz w:val="16"/>
                <w:szCs w:val="16"/>
                <w:b w:val="1"/>
                <w:bCs w:val="1"/>
                <w:color w:val="auto"/>
              </w:rPr>
              <w:t>(I.R.S. employer identification number)</w:t>
            </w:r>
          </w:p>
        </w:tc>
        <w:tc>
          <w:tcPr>
            <w:tcW w:w="0" w:type="dxa"/>
            <w:vAlign w:val="bottom"/>
          </w:tcPr>
          <w:p>
            <w:pPr>
              <w:spacing w:after="0"/>
              <w:rPr>
                <w:sz w:val="1"/>
                <w:szCs w:val="1"/>
                <w:color w:val="auto"/>
              </w:rPr>
            </w:pPr>
          </w:p>
        </w:tc>
      </w:tr>
      <w:tr>
        <w:trPr>
          <w:trHeight w:val="393"/>
        </w:trPr>
        <w:tc>
          <w:tcPr>
            <w:tcW w:w="6000" w:type="dxa"/>
            <w:vAlign w:val="bottom"/>
            <w:gridSpan w:val="6"/>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rPr>
              <w:t>898 Veterans Memorial Highway, Suite 560, Hauppauge, NY</w:t>
            </w:r>
          </w:p>
        </w:tc>
        <w:tc>
          <w:tcPr>
            <w:tcW w:w="422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11788</w:t>
            </w:r>
          </w:p>
        </w:tc>
        <w:tc>
          <w:tcPr>
            <w:tcW w:w="0" w:type="dxa"/>
            <w:vAlign w:val="bottom"/>
          </w:tcPr>
          <w:p>
            <w:pPr>
              <w:spacing w:after="0"/>
              <w:rPr>
                <w:sz w:val="1"/>
                <w:szCs w:val="1"/>
                <w:color w:val="auto"/>
              </w:rPr>
            </w:pPr>
          </w:p>
        </w:tc>
      </w:tr>
      <w:tr>
        <w:trPr>
          <w:trHeight w:val="214"/>
        </w:trPr>
        <w:tc>
          <w:tcPr>
            <w:tcW w:w="6000" w:type="dxa"/>
            <w:vAlign w:val="bottom"/>
            <w:gridSpan w:val="6"/>
          </w:tcPr>
          <w:p>
            <w:pPr>
              <w:jc w:val="center"/>
              <w:ind w:right="920"/>
              <w:spacing w:after="0"/>
              <w:rPr>
                <w:sz w:val="20"/>
                <w:szCs w:val="20"/>
                <w:color w:val="auto"/>
              </w:rPr>
            </w:pP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Address of principal executive offices)</w:t>
            </w:r>
          </w:p>
        </w:tc>
        <w:tc>
          <w:tcPr>
            <w:tcW w:w="4220" w:type="dxa"/>
            <w:vAlign w:val="bottom"/>
          </w:tcPr>
          <w:p>
            <w:pPr>
              <w:jc w:val="center"/>
              <w:ind w:right="704"/>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3"/>
                <w:szCs w:val="23"/>
                <w:color w:val="auto"/>
              </w:rPr>
            </w:pPr>
          </w:p>
        </w:tc>
        <w:tc>
          <w:tcPr>
            <w:tcW w:w="270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(631) 537-1000</w:t>
            </w:r>
          </w:p>
        </w:tc>
        <w:tc>
          <w:tcPr>
            <w:tcW w:w="4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6920" w:type="dxa"/>
            <w:vAlign w:val="bottom"/>
            <w:gridSpan w:val="6"/>
          </w:tcPr>
          <w:p>
            <w:pPr>
              <w:jc w:val="center"/>
              <w:ind w:right="3184"/>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251"/>
        </w:trPr>
        <w:tc>
          <w:tcPr>
            <w:tcW w:w="3300" w:type="dxa"/>
            <w:vAlign w:val="bottom"/>
            <w:vMerge w:val="restart"/>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220" w:type="dxa"/>
            <w:vAlign w:val="bottom"/>
            <w:vMerge w:val="restart"/>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00" w:type="dxa"/>
            <w:vAlign w:val="bottom"/>
            <w:tcBorders>
              <w:top w:val="single" w:sz="8" w:color="auto"/>
            </w:tcBorders>
          </w:tcPr>
          <w:p>
            <w:pPr>
              <w:jc w:val="center"/>
              <w:ind w:left="544"/>
              <w:spacing w:after="0" w:line="119" w:lineRule="exact"/>
              <w:rPr>
                <w:sz w:val="20"/>
                <w:szCs w:val="20"/>
                <w:color w:val="auto"/>
              </w:rPr>
            </w:pPr>
            <w:r>
              <w:rPr>
                <w:rFonts w:ascii="Times New Roman" w:cs="Times New Roman" w:eastAsia="Times New Roman" w:hAnsi="Times New Roman"/>
                <w:sz w:val="13"/>
                <w:szCs w:val="13"/>
                <w:color w:val="auto"/>
              </w:rPr>
              <w:t>Common Stock, $0.01 Par Value</w:t>
            </w: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DCOM</w:t>
            </w: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220" w:type="dxa"/>
            <w:vAlign w:val="bottom"/>
            <w:tcBorders>
              <w:top w:val="single" w:sz="8" w:color="auto"/>
            </w:tcBorders>
          </w:tcPr>
          <w:p>
            <w:pPr>
              <w:jc w:val="center"/>
              <w:ind w:right="304"/>
              <w:spacing w:after="0" w:line="119" w:lineRule="exact"/>
              <w:rPr>
                <w:sz w:val="20"/>
                <w:szCs w:val="20"/>
                <w:color w:val="auto"/>
              </w:rPr>
            </w:pPr>
            <w:r>
              <w:rPr>
                <w:rFonts w:ascii="Times New Roman" w:cs="Times New Roman" w:eastAsia="Times New Roman" w:hAnsi="Times New Roman"/>
                <w:sz w:val="13"/>
                <w:szCs w:val="13"/>
                <w:color w:val="auto"/>
              </w:rPr>
              <w:t>The NASDAQ Stock Market</w:t>
            </w:r>
          </w:p>
        </w:tc>
        <w:tc>
          <w:tcPr>
            <w:tcW w:w="0" w:type="dxa"/>
            <w:vAlign w:val="bottom"/>
          </w:tcPr>
          <w:p>
            <w:pPr>
              <w:spacing w:after="0"/>
              <w:rPr>
                <w:sz w:val="1"/>
                <w:szCs w:val="1"/>
                <w:color w:val="auto"/>
              </w:rPr>
            </w:pPr>
          </w:p>
        </w:tc>
      </w:tr>
      <w:tr>
        <w:trPr>
          <w:trHeight w:val="148"/>
        </w:trPr>
        <w:tc>
          <w:tcPr>
            <w:tcW w:w="3300" w:type="dxa"/>
            <w:vAlign w:val="bottom"/>
          </w:tcPr>
          <w:p>
            <w:pPr>
              <w:jc w:val="center"/>
              <w:ind w:left="524"/>
              <w:spacing w:after="0" w:line="149" w:lineRule="exact"/>
              <w:rPr>
                <w:sz w:val="20"/>
                <w:szCs w:val="20"/>
                <w:color w:val="auto"/>
              </w:rPr>
            </w:pPr>
            <w:r>
              <w:rPr>
                <w:rFonts w:ascii="Times New Roman" w:cs="Times New Roman" w:eastAsia="Times New Roman" w:hAnsi="Times New Roman"/>
                <w:sz w:val="14"/>
                <w:szCs w:val="14"/>
                <w:color w:val="auto"/>
              </w:rPr>
              <w:t>Preferred Stock, Series A, $0.01 Par Value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DCOMP</w:t>
            </w:r>
          </w:p>
        </w:tc>
        <w:tc>
          <w:tcPr>
            <w:tcW w:w="4220" w:type="dxa"/>
            <w:vAlign w:val="bottom"/>
          </w:tcPr>
          <w:p>
            <w:pPr>
              <w:jc w:val="center"/>
              <w:ind w:right="304"/>
              <w:spacing w:after="0" w:line="149" w:lineRule="exact"/>
              <w:rPr>
                <w:sz w:val="20"/>
                <w:szCs w:val="20"/>
                <w:color w:val="auto"/>
              </w:rPr>
            </w:pPr>
            <w:r>
              <w:rPr>
                <w:rFonts w:ascii="Times New Roman" w:cs="Times New Roman" w:eastAsia="Times New Roman" w:hAnsi="Times New Roman"/>
                <w:sz w:val="14"/>
                <w:szCs w:val="14"/>
                <w:color w:val="auto"/>
              </w:rPr>
              <w:t>The NASDAQ Stock Market</w:t>
            </w:r>
          </w:p>
        </w:tc>
        <w:tc>
          <w:tcPr>
            <w:tcW w:w="0" w:type="dxa"/>
            <w:vAlign w:val="bottom"/>
          </w:tcPr>
          <w:p>
            <w:pPr>
              <w:spacing w:after="0"/>
              <w:rPr>
                <w:sz w:val="1"/>
                <w:szCs w:val="1"/>
                <w:color w:val="auto"/>
              </w:rPr>
            </w:pPr>
          </w:p>
        </w:tc>
      </w:tr>
      <w:tr>
        <w:trPr>
          <w:trHeight w:val="188"/>
        </w:trPr>
        <w:tc>
          <w:tcPr>
            <w:tcW w:w="3300" w:type="dxa"/>
            <w:vAlign w:val="bottom"/>
          </w:tcPr>
          <w:p>
            <w:pPr>
              <w:jc w:val="center"/>
              <w:ind w:left="544"/>
              <w:spacing w:after="0"/>
              <w:rPr>
                <w:sz w:val="20"/>
                <w:szCs w:val="20"/>
                <w:color w:val="auto"/>
              </w:rPr>
            </w:pPr>
            <w:r>
              <w:rPr>
                <w:rFonts w:ascii="Times New Roman" w:cs="Times New Roman" w:eastAsia="Times New Roman" w:hAnsi="Times New Roman"/>
                <w:sz w:val="14"/>
                <w:szCs w:val="14"/>
                <w:color w:val="auto"/>
              </w:rPr>
              <w:t>9.000% Subordinated Notes, $25.00 Par Value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DCOMG</w:t>
            </w:r>
          </w:p>
        </w:tc>
        <w:tc>
          <w:tcPr>
            <w:tcW w:w="4220" w:type="dxa"/>
            <w:vAlign w:val="bottom"/>
          </w:tcPr>
          <w:p>
            <w:pPr>
              <w:jc w:val="center"/>
              <w:ind w:right="304"/>
              <w:spacing w:after="0"/>
              <w:rPr>
                <w:sz w:val="20"/>
                <w:szCs w:val="20"/>
                <w:color w:val="auto"/>
              </w:rPr>
            </w:pPr>
            <w:r>
              <w:rPr>
                <w:rFonts w:ascii="Times New Roman" w:cs="Times New Roman" w:eastAsia="Times New Roman" w:hAnsi="Times New Roman"/>
                <w:sz w:val="14"/>
                <w:szCs w:val="14"/>
                <w:color w:val="auto"/>
              </w:rPr>
              <w:t>The NASDAQ Stock Market</w:t>
            </w:r>
          </w:p>
        </w:tc>
        <w:tc>
          <w:tcPr>
            <w:tcW w:w="0" w:type="dxa"/>
            <w:vAlign w:val="bottom"/>
          </w:tcPr>
          <w:p>
            <w:pPr>
              <w:spacing w:after="0"/>
              <w:rPr>
                <w:sz w:val="1"/>
                <w:szCs w:val="1"/>
                <w:color w:val="auto"/>
              </w:rPr>
            </w:pPr>
          </w:p>
        </w:tc>
      </w:tr>
    </w:tbl>
    <w:p>
      <w:pPr>
        <w:spacing w:after="0" w:line="50" w:lineRule="exact"/>
        <w:rPr>
          <w:sz w:val="24"/>
          <w:szCs w:val="24"/>
          <w:color w:val="auto"/>
        </w:rPr>
      </w:pPr>
    </w:p>
    <w:p>
      <w:pPr>
        <w:jc w:val="both"/>
        <w:ind w:lef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the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lef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lef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47"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3">
            <w:col w:w="4400" w:space="720"/>
            <w:col w:w="1860" w:space="60"/>
            <w:col w:w="3200"/>
          </w:cols>
          <w:pgMar w:left="820" w:top="661" w:right="839" w:bottom="1440" w:gutter="0" w:footer="0" w:header="0"/>
          <w:type w:val="continuous"/>
        </w:sectPr>
      </w:pPr>
    </w:p>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20" w:right="18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3120" w:type="dxa"/>
            <w:vAlign w:val="bottom"/>
            <w:gridSpan w:val="2"/>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Classes of Common Stock</w:t>
            </w:r>
          </w:p>
        </w:tc>
        <w:tc>
          <w:tcPr>
            <w:tcW w:w="550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Number of shares outstanding at August 1, 2025</w:t>
            </w:r>
          </w:p>
        </w:tc>
      </w:tr>
      <w:tr>
        <w:trPr>
          <w:trHeight w:val="217"/>
        </w:trPr>
        <w:tc>
          <w:tcPr>
            <w:tcW w:w="162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$0.01 Par Value</w:t>
            </w: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320" w:type="dxa"/>
            <w:vAlign w:val="bottom"/>
            <w:tcBorders>
              <w:top w:val="single" w:sz="8" w:color="auto"/>
            </w:tcBorders>
          </w:tcPr>
          <w:p>
            <w:pPr>
              <w:jc w:val="right"/>
              <w:ind w:right="1219"/>
              <w:spacing w:after="0"/>
              <w:rPr>
                <w:sz w:val="20"/>
                <w:szCs w:val="20"/>
                <w:color w:val="auto"/>
              </w:rPr>
            </w:pPr>
            <w:r>
              <w:rPr>
                <w:rFonts w:ascii="Times New Roman" w:cs="Times New Roman" w:eastAsia="Times New Roman" w:hAnsi="Times New Roman"/>
                <w:sz w:val="16"/>
                <w:szCs w:val="16"/>
                <w:color w:val="auto"/>
              </w:rPr>
              <w:t>43,891,098</w:t>
            </w:r>
          </w:p>
        </w:tc>
        <w:tc>
          <w:tcPr>
            <w:tcW w:w="860" w:type="dxa"/>
            <w:vAlign w:val="bottom"/>
          </w:tcPr>
          <w:p>
            <w:pPr>
              <w:spacing w:after="0"/>
              <w:rPr>
                <w:sz w:val="18"/>
                <w:szCs w:val="18"/>
                <w:color w:val="auto"/>
              </w:rPr>
            </w:pPr>
          </w:p>
        </w:tc>
      </w:tr>
      <w:tr>
        <w:trPr>
          <w:trHeight w:val="101"/>
        </w:trPr>
        <w:tc>
          <w:tcPr>
            <w:tcW w:w="16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68"/>
        </w:trPr>
        <w:tc>
          <w:tcPr>
            <w:tcW w:w="16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574"/>
        </w:trPr>
        <w:tc>
          <w:tcPr>
            <w:tcW w:w="1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8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142"/>
        </w:trPr>
        <w:tc>
          <w:tcPr>
            <w:tcW w:w="8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Item 1.</w:t>
            </w:r>
          </w:p>
        </w:tc>
        <w:tc>
          <w:tcPr>
            <w:tcW w:w="7640" w:type="dxa"/>
            <w:vAlign w:val="bottom"/>
            <w:gridSpan w:val="10"/>
          </w:tcPr>
          <w:p>
            <w:pPr>
              <w:spacing w:after="0" w:line="142" w:lineRule="exact"/>
              <w:rPr>
                <w:sz w:val="20"/>
                <w:szCs w:val="20"/>
                <w:color w:val="auto"/>
              </w:rPr>
            </w:pPr>
            <w:r>
              <w:rPr>
                <w:rFonts w:ascii="Times New Roman" w:cs="Times New Roman" w:eastAsia="Times New Roman" w:hAnsi="Times New Roman"/>
                <w:sz w:val="16"/>
                <w:szCs w:val="16"/>
                <w:color w:val="0000EE"/>
              </w:rPr>
              <w:t>Unaudited Condensed Consolidated Financial Statements</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6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rPr>
              <w:t>Consolidated Statements of Financial Condition at J</w:t>
            </w:r>
            <w:r>
              <w:rPr>
                <w:rFonts w:ascii="Times New Roman" w:cs="Times New Roman" w:eastAsia="Times New Roman" w:hAnsi="Times New Roman"/>
                <w:sz w:val="17"/>
                <w:szCs w:val="17"/>
                <w:color w:val="0000EE"/>
              </w:rPr>
              <w:t>une</w:t>
            </w:r>
            <w:r>
              <w:rPr>
                <w:rFonts w:ascii="Times New Roman" w:cs="Times New Roman" w:eastAsia="Times New Roman" w:hAnsi="Times New Roman"/>
                <w:sz w:val="16"/>
                <w:szCs w:val="16"/>
                <w:color w:val="0000EE"/>
              </w:rPr>
              <w:t xml:space="preserve"> 30, 2025 and December 31, 2024</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520" w:type="dxa"/>
            <w:vAlign w:val="bottom"/>
            <w:tcBorders>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Operations for the Three and Six Months Ended June 30, 2025 and 2024</w:t>
            </w:r>
          </w:p>
        </w:tc>
        <w:tc>
          <w:tcPr>
            <w:tcW w:w="1140" w:type="dxa"/>
            <w:vAlign w:val="bottom"/>
            <w:gridSpan w:val="3"/>
          </w:tcPr>
          <w:p>
            <w:pPr>
              <w:spacing w:after="0"/>
              <w:rPr>
                <w:sz w:val="15"/>
                <w:szCs w:val="15"/>
                <w:color w:val="auto"/>
              </w:rPr>
            </w:pPr>
          </w:p>
        </w:tc>
        <w:tc>
          <w:tcPr>
            <w:tcW w:w="3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6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Three and Six Months Ended June 30, 2025 and 2024</w:t>
            </w:r>
          </w:p>
        </w:tc>
        <w:tc>
          <w:tcPr>
            <w:tcW w:w="300" w:type="dxa"/>
            <w:vAlign w:val="bottom"/>
            <w:gridSpan w:val="2"/>
          </w:tcPr>
          <w:p>
            <w:pPr>
              <w:spacing w:after="0"/>
              <w:rPr>
                <w:sz w:val="15"/>
                <w:szCs w:val="15"/>
                <w:color w:val="auto"/>
              </w:rPr>
            </w:pPr>
          </w:p>
        </w:tc>
        <w:tc>
          <w:tcPr>
            <w:tcW w:w="3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60" w:type="dxa"/>
            <w:vAlign w:val="bottom"/>
            <w:tcBorders>
              <w:bottom w:val="single" w:sz="8" w:color="0000EE"/>
            </w:tcBorders>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Changes in Stockholders’ Equity for the Three and Six Months Ended June 30, 2025 and</w:t>
            </w:r>
          </w:p>
        </w:tc>
        <w:tc>
          <w:tcPr>
            <w:tcW w:w="3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7</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w w:val="93"/>
              </w:rPr>
              <w:t>2024</w:t>
            </w:r>
          </w:p>
        </w:tc>
        <w:tc>
          <w:tcPr>
            <w:tcW w:w="12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8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6"/>
                <w:szCs w:val="16"/>
                <w:color w:val="0000EE"/>
              </w:rPr>
              <w:t>Consolidated Statements of Cash Flows for the Six Months Ended June 30, 2025 and 2024</w:t>
            </w:r>
          </w:p>
        </w:tc>
        <w:tc>
          <w:tcPr>
            <w:tcW w:w="1780" w:type="dxa"/>
            <w:vAlign w:val="bottom"/>
            <w:gridSpan w:val="4"/>
          </w:tcPr>
          <w:p>
            <w:pPr>
              <w:spacing w:after="0"/>
              <w:rPr>
                <w:sz w:val="15"/>
                <w:szCs w:val="15"/>
                <w:color w:val="auto"/>
              </w:rPr>
            </w:pPr>
          </w:p>
        </w:tc>
        <w:tc>
          <w:tcPr>
            <w:tcW w:w="3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9</w:t>
            </w:r>
          </w:p>
        </w:tc>
      </w:tr>
      <w:tr>
        <w:trPr>
          <w:trHeight w:val="183"/>
        </w:trPr>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6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Notes to Unaudited Condensed Consolidated Financial Statements</w:t>
            </w:r>
          </w:p>
        </w:tc>
        <w:tc>
          <w:tcPr>
            <w:tcW w:w="3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w:t>
            </w: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766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3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40</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766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3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58</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83"/>
        </w:trPr>
        <w:tc>
          <w:tcPr>
            <w:tcW w:w="8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7660" w:type="dxa"/>
            <w:vAlign w:val="bottom"/>
            <w:gridSpan w:val="11"/>
          </w:tcPr>
          <w:p>
            <w:pPr>
              <w:spacing w:after="0" w:line="183" w:lineRule="exact"/>
              <w:rPr>
                <w:sz w:val="20"/>
                <w:szCs w:val="20"/>
                <w:color w:val="auto"/>
              </w:rPr>
            </w:pPr>
            <w:r>
              <w:rPr>
                <w:rFonts w:ascii="Times New Roman" w:cs="Times New Roman" w:eastAsia="Times New Roman" w:hAnsi="Times New Roman"/>
                <w:sz w:val="16"/>
                <w:szCs w:val="16"/>
                <w:color w:val="0000EE"/>
              </w:rPr>
              <w:t>Controls and Procedures</w:t>
            </w:r>
          </w:p>
        </w:tc>
        <w:tc>
          <w:tcPr>
            <w:tcW w:w="3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60</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Item 1.</w:t>
            </w:r>
          </w:p>
        </w:tc>
        <w:tc>
          <w:tcPr>
            <w:tcW w:w="708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1A.</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Risk Factors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60</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56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Item 2.</w:t>
            </w:r>
          </w:p>
        </w:tc>
        <w:tc>
          <w:tcPr>
            <w:tcW w:w="300" w:type="dxa"/>
            <w:vAlign w:val="bottom"/>
          </w:tcPr>
          <w:p>
            <w:pPr>
              <w:spacing w:after="0"/>
              <w:rPr>
                <w:sz w:val="15"/>
                <w:szCs w:val="15"/>
                <w:color w:val="auto"/>
              </w:rPr>
            </w:pP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Unregistered Sales of Equity Securities, Use of Proceeds and Issuer Purchases of Equity Securities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61</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2"/>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3.</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Defaults Upon Senior Securities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61</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4.</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Mine Safety Disclosures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61</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5.</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Other Information</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61</w:t>
            </w: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860" w:type="dxa"/>
            <w:vAlign w:val="bottom"/>
            <w:gridSpan w:val="3"/>
          </w:tcPr>
          <w:p>
            <w:pPr>
              <w:spacing w:after="0" w:line="183" w:lineRule="exact"/>
              <w:rPr>
                <w:sz w:val="20"/>
                <w:szCs w:val="20"/>
                <w:color w:val="auto"/>
              </w:rPr>
            </w:pPr>
            <w:r>
              <w:rPr>
                <w:rFonts w:ascii="Times New Roman" w:cs="Times New Roman" w:eastAsia="Times New Roman" w:hAnsi="Times New Roman"/>
                <w:sz w:val="16"/>
                <w:szCs w:val="16"/>
                <w:color w:val="0000EE"/>
              </w:rPr>
              <w:t>Item 6.</w:t>
            </w:r>
          </w:p>
        </w:tc>
        <w:tc>
          <w:tcPr>
            <w:tcW w:w="708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EE"/>
              </w:rPr>
              <w:t>Exhibits</w:t>
            </w: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62</w:t>
            </w:r>
          </w:p>
        </w:tc>
      </w:tr>
      <w:tr>
        <w:trPr>
          <w:trHeight w:val="20"/>
        </w:trPr>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w w:val="97"/>
              </w:rPr>
              <w:t>Signatures</w:t>
            </w:r>
          </w:p>
        </w:tc>
        <w:tc>
          <w:tcPr>
            <w:tcW w:w="6400" w:type="dxa"/>
            <w:vAlign w:val="bottom"/>
            <w:gridSpan w:val="6"/>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a number of forward-looking statements within the meaning of Section 27A of the Securities Act of 1933, as amended and Section 21E of the Securities Exchange Act of 1934, as amended (the “Exchange Act”). These statements may be identified by use of words such as “annualized,” “anticipate,” “believe,” “continue,” “could,” “estimate,” “expect,” “intend,” “seek,” “may,” “outlook,” “plan,” “potential,” “predict,” “project,” “should,” “will,” “would” and similar terms and phrases, including references to assumptions. Examples of forward-looking statements include, but are not limited to, the proposed use of proceeds from any offering, possible or assumed estimates with respect to the financial condition, expected or anticipated revenue, and results of operations and our business, including earnings growth; revenue growth in retail banking, lending and other areas; origination volume in the consumer, commercial and other lending businesses; current and future capital management programs; non-interest income levels, including fees from the title insurance subsidiary and banking services as well as product sales; tangible capital generation; market share; expense levels; and other business operations and strategies.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upon various assumptions and analyses made by Dime Community Bancshares, Inc. (together with its direct and indirect subsidiaries, the “Company”), in light of management’s experience and its perception of historical trends, current conditions and expected future developments, as well as other factors it believes appropriate under the circumstances. These statements are not guarantees of future performance and are subject to risks, uncertainties and other factors (many of which are beyond the Company’s control) that could cause actual conditions or results to differ materially from those expressed or implied by such forward-looking statements. Such factors include, without limitation, the following:</w:t>
      </w:r>
    </w:p>
    <w:p>
      <w:pPr>
        <w:spacing w:after="0" w:line="189"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competitive pressure among financial institutions or from non-financial institutions;</w:t>
      </w:r>
    </w:p>
    <w:p>
      <w:pPr>
        <w:spacing w:after="0" w:line="27"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fluctuation in market interest rates, which may affect demand for our products, interest margins and the fair value of financial instruments;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interest margin is subject to material short-term fluctuation based upon market rates;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 flows or composition, loan demand or real estate values;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quality and composition of our loan or investment portfolios or unanticipated or significant increases in loan losses;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or guidelines;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and/or individual income tax laws or policies;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conditions, including conditions caused by public health emergencies, international conflict, inflation and recessionary pressures, either nationally or locally in some or all areas in which the Company conducts business, or conditions in the securities markets or the banking industry;</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 including any changes in the monetary policies of the U.S. Treasury and the Board of Governors of the Federal Reserve System;</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and the responses of third parties thereto, which may increase inflationary pressures;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distribution of federal funds or freezing of federal funding or grants, which could have an adverse effect on the ability of consumers and businesses to pay debts or affect the demand for loans and deposits;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the Company’s information technology security systems;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new business initiatives or the integration of any acquired entities;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unanticipated expenses incurred in the consummation of new business initiatives or the integration of any acquired entities;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matters before regulatory agencies;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referred to in the section entitled “Risk Factors” in our Annual Report on Form 10-K for the year ended December 31, 2024, as updated by our subsequent Quarterly Reports on Form 10-Q and Current Reports on Form 8-K; and/or</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unexpected material adverse changes in our financial condition, operations or earnings.</w:t>
      </w:r>
    </w:p>
    <w:p>
      <w:pPr>
        <w:spacing w:after="0" w:line="9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Accordingly, you should not place undue reliance on forward-looking statements. The Company has no obligation to update any forward-looking statements to reflect events or circumstances after the date of this document.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left="1520" w:right="1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FINANCIAL CONDITION (UNAUDITED) </w:t>
      </w:r>
      <w:r>
        <w:rPr>
          <w:rFonts w:ascii="Times New Roman" w:cs="Times New Roman" w:eastAsia="Times New Roman" w:hAnsi="Times New Roman"/>
          <w:sz w:val="18"/>
          <w:szCs w:val="18"/>
          <w:color w:val="auto"/>
        </w:rPr>
        <w:t>(Dollars in thousands except share amounts)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1,156,754</w:t>
            </w:r>
          </w:p>
        </w:tc>
        <w:tc>
          <w:tcPr>
            <w:tcW w:w="18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1,283,571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available-for-sale, at fair value</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703,461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690,693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Securities held-to-maturity</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625,188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637,339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sale</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13,617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held for investment, net of fees and costs</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10,870,872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10,871,943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(93,189)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(88,751)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loans held for investment, net</w:t>
            </w: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10,777,683</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10,783,192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Premises and fixed assets, net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33,957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67,110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69,106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Owned Life Insurance ("BOLI")</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393,345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290,665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155,797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intangible assets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3,409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assets</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44,717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assets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90,966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interest receivable</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55,418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86,513</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14,207,935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14,353,258</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8,262,170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8,275,591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3,432,667</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3,355,829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Deposits (excluding mortgage escrow deposits)</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11,694,837</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11,631,420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Non-interest-bearing mortgage escrow deposits</w:t>
            </w: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45,256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54,715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Interest-bearing mortgage escrow deposits</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mortgage escrow deposits</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45,258</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54,721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Federal Home Loan Bank of New York ("FHLBNY") advances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508,000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608,000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1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272,414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272,325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69,840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47,559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liabilities</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86,110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52,911</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12,776,929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12,956,741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7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Preferred stock, Series A ($0.01 par, $25.00 liquidation value, 10,000,000 shares authorized and 5,299,200 shares</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116,569</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116,569</w:t>
            </w: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issued and outstanding at June 30, 2025 and December 31, 2024)</w:t>
            </w: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7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($0.01 par, 80,000,000 shares authorized, 46,146,806 shares and 46,141,361 shares issued at</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June 30, 2025 and December 31, 2024 respectively, and 43,888,938 shares and 43,622,292 shares outstanding at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2025 and December 31, 2024, respectively)</w:t>
            </w: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622,660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624,822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820,221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794,526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net of deferred taxes</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(37,937)</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(45,018)</w:t>
            </w:r>
          </w:p>
        </w:tc>
        <w:tc>
          <w:tcPr>
            <w:tcW w:w="0" w:type="dxa"/>
            <w:vAlign w:val="bottom"/>
          </w:tcPr>
          <w:p>
            <w:pPr>
              <w:spacing w:after="0"/>
              <w:rPr>
                <w:sz w:val="1"/>
                <w:szCs w:val="1"/>
                <w:color w:val="auto"/>
              </w:rPr>
            </w:pPr>
          </w:p>
        </w:tc>
      </w:tr>
      <w:tr>
        <w:trPr>
          <w:trHeight w:val="148"/>
        </w:trPr>
        <w:tc>
          <w:tcPr>
            <w:tcW w:w="6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Unearned equity awards</w:t>
            </w: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(13,525)</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0" w:type="dxa"/>
            <w:vAlign w:val="bottom"/>
          </w:tcPr>
          <w:p>
            <w:pPr>
              <w:spacing w:after="0"/>
              <w:rPr>
                <w:sz w:val="1"/>
                <w:szCs w:val="1"/>
                <w:color w:val="auto"/>
              </w:rPr>
            </w:pPr>
          </w:p>
        </w:tc>
      </w:tr>
      <w:tr>
        <w:trPr>
          <w:trHeight w:val="126"/>
        </w:trPr>
        <w:tc>
          <w:tcPr>
            <w:tcW w:w="67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Treasury stock, at cost (2,257,868 shares and 2,519,069 shares at June 30, 2025 and December 31, 2024,</w:t>
            </w: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(77,443)</w:t>
            </w:r>
          </w:p>
        </w:tc>
        <w:tc>
          <w:tcPr>
            <w:tcW w:w="16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(87,203)</w:t>
            </w: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1,431,006</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1,396,517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14,207,935</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14,353,258</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7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OPERATIONS (UNAUDITED) </w:t>
      </w:r>
      <w:r>
        <w:rPr>
          <w:rFonts w:ascii="Times New Roman" w:cs="Times New Roman" w:eastAsia="Times New Roman" w:hAnsi="Times New Roman"/>
          <w:sz w:val="18"/>
          <w:szCs w:val="18"/>
          <w:color w:val="auto"/>
        </w:rPr>
        <w:t>(Dollars in thousands except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70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5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Borders>
              <w:bottom w:val="single" w:sz="8" w:color="auto"/>
            </w:tcBorders>
          </w:tcPr>
          <w:p>
            <w:pPr>
              <w:spacing w:after="0"/>
              <w:rPr>
                <w:sz w:val="18"/>
                <w:szCs w:val="18"/>
                <w:color w:val="auto"/>
              </w:rPr>
            </w:pPr>
          </w:p>
        </w:tc>
      </w:tr>
      <w:tr>
        <w:trPr>
          <w:trHeight w:val="199"/>
        </w:trPr>
        <w:tc>
          <w:tcPr>
            <w:tcW w:w="5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145,448</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147,099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288,153</w:t>
            </w:r>
          </w:p>
        </w:tc>
        <w:tc>
          <w:tcPr>
            <w:tcW w:w="16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290,664</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11,353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22,676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15,787</w:t>
            </w:r>
          </w:p>
        </w:tc>
      </w:tr>
      <w:tr>
        <w:trPr>
          <w:trHeight w:val="20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short-term investments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10,749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18,586</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13,976</w:t>
            </w:r>
          </w:p>
        </w:tc>
      </w:tr>
      <w:tr>
        <w:trPr>
          <w:trHeight w:val="19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income</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167,550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159,418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329,415</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320,427</w:t>
            </w:r>
          </w:p>
        </w:tc>
      </w:tr>
      <w:tr>
        <w:trPr>
          <w:trHeight w:val="194"/>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and escrow</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60,181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118,255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145,947</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Borrowed funds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8,354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16,735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23,730</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cash collateral</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2,115</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r>
      <w:tr>
        <w:trPr>
          <w:trHeight w:val="196"/>
        </w:trPr>
        <w:tc>
          <w:tcPr>
            <w:tcW w:w="5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69,453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83,916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137,105</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173,395</w:t>
            </w:r>
          </w:p>
        </w:tc>
      </w:tr>
      <w:tr>
        <w:trPr>
          <w:trHeight w:val="19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98,097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192,310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147,032</w:t>
            </w:r>
          </w:p>
        </w:tc>
      </w:tr>
      <w:tr>
        <w:trPr>
          <w:trHeight w:val="20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9,221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18,847</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10,795</w:t>
            </w:r>
          </w:p>
        </w:tc>
      </w:tr>
      <w:tr>
        <w:trPr>
          <w:trHeight w:val="19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after provision for credit losses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88,876</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69,917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173,463</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136,237</w:t>
            </w:r>
          </w:p>
        </w:tc>
      </w:tr>
      <w:tr>
        <w:trPr>
          <w:trHeight w:val="196"/>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charges and other fees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4,642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9,285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8,516</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Title fees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BOLI income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8,179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SBA Loans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sale of residential loans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change in equity securities and loans held for sale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 on securities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other assets</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6,663</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1,744</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r>
      <w:tr>
        <w:trPr>
          <w:trHeight w:val="196"/>
        </w:trPr>
        <w:tc>
          <w:tcPr>
            <w:tcW w:w="5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11,595</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21,228</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22,275</w:t>
            </w:r>
          </w:p>
        </w:tc>
      </w:tr>
      <w:tr>
        <w:trPr>
          <w:trHeight w:val="19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36,218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71,869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64,221</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Severance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Occupancy and equipment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7,729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15,731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14,777</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processing costs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9,697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1,756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3,422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4,213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w:t>
            </w:r>
          </w:p>
        </w:tc>
      </w:tr>
      <w:tr>
        <w:trPr>
          <w:trHeight w:val="20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deposit insurance premiums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3,739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4,489</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extinguishment of debt for FHLBNY advances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02"/>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due to pension settlement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7,231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20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5,533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9,209</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7,546</w:t>
            </w:r>
          </w:p>
        </w:tc>
      </w:tr>
      <w:tr>
        <w:trPr>
          <w:trHeight w:val="19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60,299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125,810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108,205</w:t>
            </w:r>
          </w:p>
        </w:tc>
      </w:tr>
      <w:tr>
        <w:trPr>
          <w:trHeight w:val="196"/>
        </w:trPr>
        <w:tc>
          <w:tcPr>
            <w:tcW w:w="51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40,172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68,881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50,307</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10,475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17,726</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14,137</w:t>
            </w:r>
          </w:p>
        </w:tc>
      </w:tr>
      <w:tr>
        <w:trPr>
          <w:trHeight w:val="196"/>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29,697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51,155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36,170</w:t>
            </w:r>
          </w:p>
        </w:tc>
      </w:tr>
      <w:tr>
        <w:trPr>
          <w:trHeight w:val="20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3,643</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w:t>
            </w:r>
          </w:p>
        </w:tc>
      </w:tr>
      <w:tr>
        <w:trPr>
          <w:trHeight w:val="236"/>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27,876</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47,512</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32,527</w:t>
            </w:r>
          </w:p>
        </w:tc>
      </w:tr>
      <w:tr>
        <w:trPr>
          <w:trHeight w:val="183"/>
        </w:trPr>
        <w:tc>
          <w:tcPr>
            <w:tcW w:w="51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0.64</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18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0.64</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0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COMPREHENSIVE INCOME (UNAUDITED) </w:t>
      </w:r>
      <w:r>
        <w:rPr>
          <w:rFonts w:ascii="Times New Roman" w:cs="Times New Roman" w:eastAsia="Times New Roman" w:hAnsi="Times New Roman"/>
          <w:sz w:val="18"/>
          <w:szCs w:val="18"/>
          <w:color w:val="auto"/>
        </w:rPr>
        <w:t>(Dollars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70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29,697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18,479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51,155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36,170</w:t>
            </w:r>
          </w:p>
        </w:tc>
        <w:tc>
          <w:tcPr>
            <w:tcW w:w="0" w:type="dxa"/>
            <w:vAlign w:val="bottom"/>
          </w:tcPr>
          <w:p>
            <w:pPr>
              <w:spacing w:after="0"/>
              <w:rPr>
                <w:sz w:val="1"/>
                <w:szCs w:val="1"/>
                <w:color w:val="auto"/>
              </w:rPr>
            </w:pPr>
          </w:p>
        </w:tc>
      </w:tr>
      <w:tr>
        <w:trPr>
          <w:trHeight w:val="148"/>
        </w:trPr>
        <w:tc>
          <w:tcPr>
            <w:tcW w:w="5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unrealized gain (loss) on securities: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net unrealized gain during the period</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11,266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7,119</w:t>
            </w:r>
          </w:p>
        </w:tc>
        <w:tc>
          <w:tcPr>
            <w:tcW w:w="0" w:type="dxa"/>
            <w:vAlign w:val="bottom"/>
          </w:tcPr>
          <w:p>
            <w:pPr>
              <w:spacing w:after="0"/>
              <w:rPr>
                <w:sz w:val="1"/>
                <w:szCs w:val="1"/>
                <w:color w:val="auto"/>
              </w:rPr>
            </w:pPr>
          </w:p>
        </w:tc>
      </w:tr>
      <w:tr>
        <w:trPr>
          <w:trHeight w:val="126"/>
        </w:trPr>
        <w:tc>
          <w:tcPr>
            <w:tcW w:w="520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Reclassification adjustment for net gain included in net gain on securities and other</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(149)</w:t>
            </w:r>
          </w:p>
        </w:tc>
        <w:tc>
          <w:tcPr>
            <w:tcW w:w="1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(149)</w:t>
            </w:r>
          </w:p>
        </w:tc>
        <w:tc>
          <w:tcPr>
            <w:tcW w:w="2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net unrealized loss on securities transferred to held-to-maturity</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759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1,536</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Credit loss expense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1,800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pension and other postretirement obligations: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benefit (expense) included in other expense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the net actuarial gain</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4,958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w:t>
            </w:r>
          </w:p>
        </w:tc>
        <w:tc>
          <w:tcPr>
            <w:tcW w:w="0" w:type="dxa"/>
            <w:vAlign w:val="bottom"/>
          </w:tcPr>
          <w:p>
            <w:pPr>
              <w:spacing w:after="0"/>
              <w:rPr>
                <w:sz w:val="1"/>
                <w:szCs w:val="1"/>
                <w:color w:val="auto"/>
              </w:rPr>
            </w:pPr>
          </w:p>
        </w:tc>
      </w:tr>
      <w:tr>
        <w:trPr>
          <w:trHeight w:val="148"/>
        </w:trPr>
        <w:tc>
          <w:tcPr>
            <w:tcW w:w="5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 in unrealized gain (loss) on derivatives: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net unrealized loss during the period</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(5,407)</w:t>
            </w:r>
          </w:p>
        </w:tc>
        <w:tc>
          <w:tcPr>
            <w:tcW w:w="1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(3,128)</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(12,974)</w:t>
            </w:r>
          </w:p>
        </w:tc>
        <w:tc>
          <w:tcPr>
            <w:tcW w:w="2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Reclassification adjustment for expense included in interest expense</w:t>
            </w: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1,950</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2,520</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3,790</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4,955</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Other comprehensive income before income taxes</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1,598</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4,187</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10,215</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13,032</w:t>
            </w:r>
          </w:p>
        </w:tc>
        <w:tc>
          <w:tcPr>
            <w:tcW w:w="0" w:type="dxa"/>
            <w:vAlign w:val="bottom"/>
          </w:tcPr>
          <w:p>
            <w:pPr>
              <w:spacing w:after="0"/>
              <w:rPr>
                <w:sz w:val="1"/>
                <w:szCs w:val="1"/>
                <w:color w:val="auto"/>
              </w:rPr>
            </w:pPr>
          </w:p>
        </w:tc>
      </w:tr>
      <w:tr>
        <w:trPr>
          <w:trHeight w:val="142"/>
        </w:trPr>
        <w:tc>
          <w:tcPr>
            <w:tcW w:w="5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Deferred tax expense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1,501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3,134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4,233</w:t>
            </w:r>
          </w:p>
        </w:tc>
        <w:tc>
          <w:tcPr>
            <w:tcW w:w="0" w:type="dxa"/>
            <w:vAlign w:val="bottom"/>
          </w:tcPr>
          <w:p>
            <w:pPr>
              <w:spacing w:after="0"/>
              <w:rPr>
                <w:sz w:val="1"/>
                <w:szCs w:val="1"/>
                <w:color w:val="auto"/>
              </w:rPr>
            </w:pPr>
          </w:p>
        </w:tc>
      </w:tr>
      <w:tr>
        <w:trPr>
          <w:trHeight w:val="149"/>
        </w:trPr>
        <w:tc>
          <w:tcPr>
            <w:tcW w:w="520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other comprehensive income, net of tax</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1,108</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2,686</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7,081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8,799</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30,805</w:t>
            </w:r>
          </w:p>
        </w:tc>
        <w:tc>
          <w:tcPr>
            <w:tcW w:w="1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21,165</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58,236</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44,969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CHANGES IN STOCKHOLDERS’ EQUITY (UNAUDITED) </w:t>
      </w:r>
      <w:r>
        <w:rPr>
          <w:rFonts w:ascii="Times New Roman" w:cs="Times New Roman" w:eastAsia="Times New Roman" w:hAnsi="Times New Roman"/>
          <w:sz w:val="18"/>
          <w:szCs w:val="18"/>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3"/>
                <w:szCs w:val="13"/>
                <w:b w:val="1"/>
                <w:bCs w:val="1"/>
                <w:color w:val="auto"/>
              </w:rPr>
              <w:t>Six Months Ended June 30, 2025</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Net of Deferred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Beginning balance as of January 1, 2025</w:t>
            </w: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43,622,292</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461</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$ 624,822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$794,526</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(45,018)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(7,640)</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$(87,203)</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1,396,517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21,458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21,458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5,973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252,273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(7,153)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8,835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(75,489)</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(1,202)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(1,205)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(10,960)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(10,960)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March 31, 2025</w:t>
            </w:r>
          </w:p>
        </w:tc>
        <w:tc>
          <w:tcPr>
            <w:tcW w:w="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43,799,076</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461</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623,305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803,202</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(39,045)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(12,909)</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(79,570)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1,412,013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29,697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100,690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3,371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1,791</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1,791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(10,828)</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(1,821)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(1,821)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4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6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(10,857)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(10,857)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June 30, 2025</w:t>
            </w:r>
          </w:p>
        </w:tc>
        <w:tc>
          <w:tcPr>
            <w:tcW w:w="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43,888,938</w:t>
            </w: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461</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$ 622,660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820,221</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(37,937)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(13,525)</w:t>
            </w: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(77,443)</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1,431,006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CHANGES IN STOCKHOLDERS’ EQUITY (UNAUDITED) </w:t>
      </w: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3"/>
                <w:szCs w:val="13"/>
                <w:b w:val="1"/>
                <w:bCs w:val="1"/>
                <w:color w:val="auto"/>
              </w:rPr>
              <w:t>Six Months Ended June 30, 2024</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Net of Deferred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gridSpan w:val="2"/>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Beginning balance as of January 1, 2024</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38,822,654</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416</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$ 494,454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8"/>
              </w:rPr>
              <w:t>$813,007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(91,579)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(8,622)</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$(98,020)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1,226,225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17,691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155,782</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5,128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(46,603)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March 31, 2024</w:t>
            </w: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38,931,833</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116,569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492,834</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819,130</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(85,466)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(10,191)</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(93,921)</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1,239,371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Release of shares, net of forfeitures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223,202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Shares received related to tax</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withholding</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(7,185)</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preferred</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stockholders</w:t>
            </w: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00" w:type="dxa"/>
            <w:vAlign w:val="bottom"/>
            <w:shd w:val="clear" w:color="auto" w:fill="CCEEFF"/>
          </w:tcPr>
          <w:p>
            <w:pPr>
              <w:ind w:left="100"/>
              <w:spacing w:after="0" w:line="136" w:lineRule="exact"/>
              <w:rPr>
                <w:sz w:val="20"/>
                <w:szCs w:val="20"/>
                <w:color w:val="auto"/>
              </w:rPr>
            </w:pPr>
            <w:r>
              <w:rPr>
                <w:rFonts w:ascii="Times New Roman" w:cs="Times New Roman" w:eastAsia="Times New Roman" w:hAnsi="Times New Roman"/>
                <w:sz w:val="13"/>
                <w:szCs w:val="13"/>
                <w:color w:val="auto"/>
              </w:rPr>
              <w:t>Cash dividends declared to common</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 net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(9,707)</w:t>
            </w:r>
          </w:p>
        </w:tc>
        <w:tc>
          <w:tcPr>
            <w:tcW w:w="0" w:type="dxa"/>
            <w:vAlign w:val="bottom"/>
          </w:tcPr>
          <w:p>
            <w:pPr>
              <w:spacing w:after="0"/>
              <w:rPr>
                <w:sz w:val="1"/>
                <w:szCs w:val="1"/>
                <w:color w:val="auto"/>
              </w:rPr>
            </w:pPr>
          </w:p>
        </w:tc>
      </w:tr>
      <w:tr>
        <w:trPr>
          <w:trHeight w:val="142"/>
        </w:trPr>
        <w:tc>
          <w:tcPr>
            <w:tcW w:w="23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Ending balance as of June 30, 2024</w:t>
            </w:r>
          </w:p>
        </w:tc>
        <w:tc>
          <w:tcPr>
            <w:tcW w:w="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39,147,850</w:t>
            </w: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116,569</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416</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$ 488,760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826,080</w:t>
            </w: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(82,780)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(12,023)</w:t>
            </w: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(86,426)</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1,250,596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00" w:right="1700"/>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DIME COMMUNITY BANCSHARES, INC. AND SUBSIDIARIES CONSOLIDATED STATEMENTS OF CASH FLOWS (UNAUDITED) </w:t>
      </w:r>
      <w:r>
        <w:rPr>
          <w:rFonts w:ascii="Times New Roman" w:cs="Times New Roman" w:eastAsia="Times New Roman" w:hAnsi="Times New Roman"/>
          <w:sz w:val="18"/>
          <w:szCs w:val="18"/>
          <w:color w:val="auto"/>
        </w:rPr>
        <w:t>(Dollars in thousands)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0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51,155</w:t>
            </w:r>
          </w:p>
        </w:tc>
        <w:tc>
          <w:tcPr>
            <w:tcW w:w="24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36,170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income to net cash provided by operating activities: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gain on securities available-for-sale</w:t>
            </w:r>
          </w:p>
        </w:tc>
        <w:tc>
          <w:tcPr>
            <w:tcW w:w="3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(149)</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sale of other assets</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(6,663)</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Fair value change in equity securities and loans held for sale</w:t>
            </w:r>
          </w:p>
        </w:tc>
        <w:tc>
          <w:tcPr>
            <w:tcW w:w="3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(101)</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1,258</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sale of loans held for sale</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(551)</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depreciation, amortization and accretion</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2,183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(Accretion) amortization of fair value hedge basis point adjustments</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(827)</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other intangible assets</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3,675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3,026</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18,847</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10,795</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Originations of loans held for sale</w:t>
            </w:r>
          </w:p>
        </w:tc>
        <w:tc>
          <w:tcPr>
            <w:tcW w:w="3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(7,124)</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(4,069)</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sale of loans originated for sale</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13,654</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9,633</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cash surrender value of BOLI</w:t>
            </w:r>
          </w:p>
        </w:tc>
        <w:tc>
          <w:tcPr>
            <w:tcW w:w="3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(7,783)</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(4,945)</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from death benefits from BOLI</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(371)</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other assets</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81,248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(5,685)</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other liabilities</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(65,860)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(930)</w:t>
            </w:r>
          </w:p>
        </w:tc>
      </w:tr>
      <w:tr>
        <w:trPr>
          <w:trHeight w:val="142"/>
        </w:trPr>
        <w:tc>
          <w:tcPr>
            <w:tcW w:w="6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88,483</w:t>
            </w:r>
          </w:p>
        </w:tc>
        <w:tc>
          <w:tcPr>
            <w:tcW w:w="2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43,358</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sales of securities available-for-sale</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24,837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 available-for-sale</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(79,973)</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securities held-to-maturity</w:t>
            </w:r>
          </w:p>
        </w:tc>
        <w:tc>
          <w:tcPr>
            <w:tcW w:w="3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(987)</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(7,394)</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available-for-sale</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53,453</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76,832</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calls and principal repayments of securities held-to-maturity</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14,796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15,802</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BOLI</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(97,317)</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received from cash surrender value of BOLI</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Loans purchased</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(5,155)</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(3,915)</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portfolio loans transferred to held for sale</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5,165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7,405</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loans</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(7,849)</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(72,206)</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fixed assets, net</w:t>
            </w:r>
          </w:p>
        </w:tc>
        <w:tc>
          <w:tcPr>
            <w:tcW w:w="3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(2,676)</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(3,429)</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the sale of fixed assets and premises held for sale</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16,318</w:t>
            </w:r>
          </w:p>
        </w:tc>
      </w:tr>
      <w:tr>
        <w:trPr>
          <w:trHeight w:val="149"/>
        </w:trPr>
        <w:tc>
          <w:tcPr>
            <w:tcW w:w="602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Sales of restricted stock, net</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1,996</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30,305</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(92,224)</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55,718</w:t>
            </w:r>
          </w:p>
        </w:tc>
      </w:tr>
      <w:tr>
        <w:trPr>
          <w:trHeight w:val="142"/>
        </w:trPr>
        <w:tc>
          <w:tcPr>
            <w:tcW w:w="60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deposits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53,960</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497,835</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from FHLBNY advances, short-term, net</w:t>
            </w:r>
          </w:p>
        </w:tc>
        <w:tc>
          <w:tcPr>
            <w:tcW w:w="3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(100,000)</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(590,000)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of FHLBNY advances, long-term</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FHLBNY advances, long-term</w:t>
            </w:r>
          </w:p>
        </w:tc>
        <w:tc>
          <w:tcPr>
            <w:tcW w:w="30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Repayments of other short-term borrowings, net</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(50,000)</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subordinated debentures issuance, net</w:t>
            </w:r>
          </w:p>
        </w:tc>
        <w:tc>
          <w:tcPr>
            <w:tcW w:w="30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62,660</w:t>
            </w:r>
          </w:p>
        </w:tc>
      </w:tr>
      <w:tr>
        <w:trPr>
          <w:trHeight w:val="149"/>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Release of stock for benefit plan awards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483</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557</w:t>
            </w:r>
          </w:p>
        </w:tc>
      </w:tr>
      <w:tr>
        <w:trPr>
          <w:trHeight w:val="148"/>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related to tax withholding for equity awards</w:t>
            </w:r>
          </w:p>
        </w:tc>
        <w:tc>
          <w:tcPr>
            <w:tcW w:w="3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(2,445)</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w:t>
            </w:r>
          </w:p>
        </w:tc>
      </w:tr>
      <w:tr>
        <w:trPr>
          <w:trHeight w:val="148"/>
        </w:trPr>
        <w:tc>
          <w:tcPr>
            <w:tcW w:w="6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preferred stockholders</w:t>
            </w:r>
          </w:p>
        </w:tc>
        <w:tc>
          <w:tcPr>
            <w:tcW w:w="3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(3,643)</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(3,643)</w:t>
            </w:r>
          </w:p>
        </w:tc>
      </w:tr>
      <w:tr>
        <w:trPr>
          <w:trHeight w:val="149"/>
        </w:trPr>
        <w:tc>
          <w:tcPr>
            <w:tcW w:w="60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paid to common stockholders</w:t>
            </w:r>
          </w:p>
        </w:tc>
        <w:tc>
          <w:tcPr>
            <w:tcW w:w="30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(21,431)</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(18,965)</w:t>
            </w:r>
          </w:p>
        </w:tc>
      </w:tr>
      <w:tr>
        <w:trPr>
          <w:trHeight w:val="142"/>
        </w:trPr>
        <w:tc>
          <w:tcPr>
            <w:tcW w:w="60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(123,076)</w:t>
            </w:r>
          </w:p>
        </w:tc>
        <w:tc>
          <w:tcPr>
            <w:tcW w:w="2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(142,640)</w:t>
            </w:r>
          </w:p>
        </w:tc>
      </w:tr>
      <w:tr>
        <w:trPr>
          <w:trHeight w:val="142"/>
        </w:trPr>
        <w:tc>
          <w:tcPr>
            <w:tcW w:w="6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Decrease in cash and cash equivalents</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(126,817)</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(43,564)</w:t>
            </w:r>
          </w:p>
        </w:tc>
      </w:tr>
      <w:tr>
        <w:trPr>
          <w:trHeight w:val="142"/>
        </w:trPr>
        <w:tc>
          <w:tcPr>
            <w:tcW w:w="6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1,283,571</w:t>
            </w:r>
          </w:p>
        </w:tc>
        <w:tc>
          <w:tcPr>
            <w:tcW w:w="2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457,547</w:t>
            </w:r>
          </w:p>
        </w:tc>
      </w:tr>
      <w:tr>
        <w:trPr>
          <w:trHeight w:val="182"/>
        </w:trPr>
        <w:tc>
          <w:tcPr>
            <w:tcW w:w="60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3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1,156,754</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413,983</w:t>
            </w:r>
          </w:p>
        </w:tc>
      </w:tr>
      <w:tr>
        <w:trPr>
          <w:trHeight w:val="143"/>
        </w:trPr>
        <w:tc>
          <w:tcPr>
            <w:tcW w:w="6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18,651</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16,213</w:t>
            </w:r>
          </w:p>
        </w:tc>
      </w:tr>
      <w:tr>
        <w:trPr>
          <w:trHeight w:val="16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137,815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176,592</w:t>
            </w: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transferred to held for sale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23,887</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14,172</w:t>
            </w:r>
          </w:p>
        </w:tc>
      </w:tr>
      <w:tr>
        <w:trPr>
          <w:trHeight w:val="16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transferred to held for investment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21,617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 in exchange for operating lease liabilities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5,169</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5,005</w:t>
            </w:r>
          </w:p>
        </w:tc>
      </w:tr>
    </w:tbl>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Dime Community Bancshares, Inc. (the “Holding Company”) is engaged in commercial banking and financial services through its wholly-owned subsidiary, Dime Community Bank (“the Bank”). The Bank was established in 1910 and is headquartered in Hauppauge, New York. The Holding Company was incorporated under the laws of the State of New York in 1988 to serve as the holding company for the Bank. The Holding Company functions primarily as the holder of all of the Bank’s common stock. Our bank operations also include Dime Abstract LLC (“Dime Abstract”), a wholly-owned subsidiary of the Bank, which is a broker of title insurance services. As of June 30, 2025, we operated 62 branch locations throughout Long Island and the New York City boroughs of Brooklyn, Queens, Manhattan, the Bronx, Staten Island, and Westchester County. The Bank has received all requisite regulatory approvals to open a branch in Lakewood, New Jersey.</w:t>
      </w:r>
    </w:p>
    <w:p>
      <w:pPr>
        <w:spacing w:after="0" w:line="15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unaudited Consolidated Financial Statements presented in this Quarterly Report on Form 10-Q include the collective results of the Holding Company and its wholly-owned subsidiary, the Bank, which are collectively herein referred to as “we”, “us”, “our” and the “Company.”</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unaudited Consolidated Financial Statements included herein reflect all normal recurring adjustments that are, in the opinion of management, necessary for a fair presentation of the results for the interim periods presented. In preparing the interim financial statements, management has made estimates and assumptions that affect the reported amounts of assets and liabilities and disclosure of contingent assets and liabilities at the date of the financial statements and the reported amounts of revenue and expense during the reported periods. Such estimates are subject to change in the future as additional information becomes available or previously existing circumstances are modified. Actual future results could differ significantly from those estimates. The annualized results of operations for the three and six months ended June 30, 2025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Certain reclassifications have been made to prior year amounts, and the related discussion and analysis, to conform to the current year presentation. These reclassifications did not have an impact on net income or total stockholders' equity. The unaudited Consolidated Financial Statements should be read in conjunction with the audited Consolidated Financial Statements and notes thereto included in the Company’s Annual Report on Form 10-K for the year ended December 31, 2024, which remain significantly unchanged and have been followed similarly as in prior periods.</w:t>
      </w:r>
    </w:p>
    <w:p>
      <w:pPr>
        <w:spacing w:after="0" w:line="187" w:lineRule="exact"/>
        <w:rPr>
          <w:sz w:val="20"/>
          <w:szCs w:val="20"/>
          <w:color w:val="auto"/>
        </w:rPr>
      </w:pPr>
    </w:p>
    <w:p>
      <w:pPr>
        <w:ind w:left="60" w:right="5339" w:hanging="10"/>
        <w:spacing w:after="0" w:line="532" w:lineRule="auto"/>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ACCOUNTING POLICIES Summary of Significant Accounting Policies</w:t>
      </w:r>
    </w:p>
    <w:p>
      <w:pPr>
        <w:spacing w:after="0" w:line="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necessary for a fair presentation of the Company’s financial condition as of June 30, 2025 and December 31, 2024, the results of operations and statements of comprehensive income for the three and six months ended June 30, 2025 and 2024, the changes in stockholders’ equity for the three and six months ended June 30, 2025 and 2024, and cash flows for the six months ended June 30, 2025 and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Please see “Part I - Item 2. Management’s Discussion and Analysis of Financial Condition and Results of Operations - Critical Accounting Policies” for a discussion of areas in the accompanying unaudited condensed Consolidated Financial Statements utilizing significant estimates.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Adoption of Recent Accounting Standards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ASU 2023-07, Segment Reporting - Improvements to Reportable Segment Disclosures (Topic 280)</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Financial Accounting Standards Board issued Accounting Standards Update 2023-07 to improve reportable segment disclosures by requiring public business entities to disclose significant expense categories and amounts for each reportable segment, where significant expense categories are defined as those that are regularly reported to an entity’s chief operating decision-maker and included in a segment’s reported measures of profit or loss. ASU 2023-07 became effective for the Company for interim periods on January 1, 2025. The adoption of ASU 2023-07 did not have a material effect on the Company’s consolidated financial statements. For a further discussion please see Note 17 to the condensed Consolidated Financial Statements.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ASU No. 2023-09—Income Taxes (Topic 740)—Improvements to Income Tax Disclosures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2023-09—Income Taxes (Topic 740)—Improvements to Income Tax Disclosures, intended to enhance the transparency of income tax disclosures, primarily related to the rate reconciliation and income taxes paid information.</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Specifically, the amendments in this ASU require disclosure of: (i) a tabular reconciliation, using both percentages and reporting currency amounts, with prescribed categories that are required to be disclosed, and the separate disclosure and disaggregation of prescribed reconciling items with an effect equal to 5% or more of the amount determined by multiplying pretax income from continuing operations by the applicable statutory rate; (ii) a qualitative description of the states and local jurisdictions that make up the majority (greater than 50%) of the effect of the state and local income taxes; and (iii) amount of income taxes paid, net of refunds received, disaggregated by federal, state, and foreign taxes and by individual jurisdictions that comprise 5% or more of total income taxes paid, net of refunds received. The ASU also includes other amendments to improve the effectiveness of income tax disclosures.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ASU 2023-09 became effective for the Company on January 1, 2025 for annual reporting periods, on a prospective basis and is not anticipated to have a material effect on the Company’s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ACCUMULATED OTHER COMPREHENSIVE INCOME (LOSS)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accumulated other comprehensive income (loss), net of tax, was as follows:</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0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85"/>
        </w:trPr>
        <w:tc>
          <w:tcPr>
            <w:tcW w:w="5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2025</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(43,767)</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(7,499)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6,248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9,056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3,437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 during the period</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9,981</w:t>
            </w:r>
          </w:p>
        </w:tc>
        <w:tc>
          <w:tcPr>
            <w:tcW w:w="14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3,465</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(6,365)</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(33,786)</w:t>
            </w:r>
          </w:p>
        </w:tc>
        <w:tc>
          <w:tcPr>
            <w:tcW w:w="1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 (4,034)</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(37,937)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(90,242)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(6,430)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(loss)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during the period</w:t>
            </w:r>
          </w:p>
        </w:tc>
        <w:tc>
          <w:tcPr>
            <w:tcW w:w="16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14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(84,433)</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(6,160)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before and after tax amounts allocated to each component of other comprehensive income (loss) are presented in the table below for the periods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5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unrealized gain (loss) on securities: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net unrealized gain during the period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3,306</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26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11,266</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net gain included in net gain on securities and</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Accretion of net unrealized loss on securities transferred to held-to-maturity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Credit loss expense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1,800</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4,823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14,400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8,655</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expense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1,480</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4,419</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0" w:type="dxa"/>
            <w:vAlign w:val="bottom"/>
          </w:tcPr>
          <w:p>
            <w:pPr>
              <w:spacing w:after="0"/>
              <w:rPr>
                <w:sz w:val="1"/>
                <w:szCs w:val="1"/>
                <w:color w:val="auto"/>
              </w:rPr>
            </w:pPr>
          </w:p>
        </w:tc>
      </w:tr>
      <w:tr>
        <w:trPr>
          <w:trHeight w:val="169"/>
        </w:trPr>
        <w:tc>
          <w:tcPr>
            <w:tcW w:w="5420" w:type="dxa"/>
            <w:vAlign w:val="bottom"/>
          </w:tcPr>
          <w:p>
            <w:pPr>
              <w:ind w:left="180"/>
              <w:spacing w:after="0" w:line="169" w:lineRule="exact"/>
              <w:rPr>
                <w:sz w:val="20"/>
                <w:szCs w:val="20"/>
                <w:color w:val="auto"/>
              </w:rPr>
            </w:pPr>
            <w:r>
              <w:rPr>
                <w:rFonts w:ascii="Times New Roman" w:cs="Times New Roman" w:eastAsia="Times New Roman" w:hAnsi="Times New Roman"/>
                <w:sz w:val="16"/>
                <w:szCs w:val="16"/>
                <w:color w:val="auto"/>
              </w:rPr>
              <w:t>Net change in unrealized gain on securities, net of reclassification adjustments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3,343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9,981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and tax</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5,809</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and other postretirement obligations: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benefit (expense) included in other expense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the net actuarial gain</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4,958</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0" w:type="dxa"/>
            <w:vAlign w:val="bottom"/>
          </w:tcPr>
          <w:p>
            <w:pPr>
              <w:spacing w:after="0"/>
              <w:rPr>
                <w:sz w:val="1"/>
                <w:szCs w:val="1"/>
                <w:color w:val="auto"/>
              </w:rPr>
            </w:pPr>
          </w:p>
        </w:tc>
      </w:tr>
      <w:tr>
        <w:trPr>
          <w:trHeight w:val="196"/>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4,999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expense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1,534</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96"/>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change in pension and other postretirement obligations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3,465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unrealized gain (loss) on derivatives: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net unrealized loss during the period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(5,407)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(12,974)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Reclassification adjustment for expense included in interest expense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1,950</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3,790</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0" w:type="dxa"/>
            <w:vAlign w:val="bottom"/>
          </w:tcPr>
          <w:p>
            <w:pPr>
              <w:spacing w:after="0"/>
              <w:rPr>
                <w:sz w:val="1"/>
                <w:szCs w:val="1"/>
                <w:color w:val="auto"/>
              </w:rPr>
            </w:pPr>
          </w:p>
        </w:tc>
      </w:tr>
      <w:tr>
        <w:trPr>
          <w:trHeight w:val="196"/>
        </w:trPr>
        <w:tc>
          <w:tcPr>
            <w:tcW w:w="5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change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(3,457)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(9,184)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(benefit) expense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(1,061)</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(2,819)</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0" w:type="dxa"/>
            <w:vAlign w:val="bottom"/>
          </w:tcPr>
          <w:p>
            <w:pPr>
              <w:spacing w:after="0"/>
              <w:rPr>
                <w:sz w:val="1"/>
                <w:szCs w:val="1"/>
                <w:color w:val="auto"/>
              </w:rPr>
            </w:pPr>
          </w:p>
        </w:tc>
      </w:tr>
      <w:tr>
        <w:trPr>
          <w:trHeight w:val="169"/>
        </w:trPr>
        <w:tc>
          <w:tcPr>
            <w:tcW w:w="5420" w:type="dxa"/>
            <w:vAlign w:val="bottom"/>
          </w:tcPr>
          <w:p>
            <w:pPr>
              <w:ind w:left="220"/>
              <w:spacing w:after="0" w:line="169" w:lineRule="exact"/>
              <w:rPr>
                <w:sz w:val="20"/>
                <w:szCs w:val="20"/>
                <w:color w:val="auto"/>
              </w:rPr>
            </w:pPr>
            <w:r>
              <w:rPr>
                <w:rFonts w:ascii="Times New Roman" w:cs="Times New Roman" w:eastAsia="Times New Roman" w:hAnsi="Times New Roman"/>
                <w:sz w:val="16"/>
                <w:szCs w:val="16"/>
                <w:color w:val="auto"/>
              </w:rPr>
              <w:t>Net change in unrealized (loss) gain on derivatives, net of reclassification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(2,396)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(6,365)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adjustments and tax</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0" w:type="dxa"/>
            <w:vAlign w:val="bottom"/>
          </w:tcPr>
          <w:p>
            <w:pPr>
              <w:spacing w:after="0"/>
              <w:rPr>
                <w:sz w:val="1"/>
                <w:szCs w:val="1"/>
                <w:color w:val="auto"/>
              </w:rPr>
            </w:pPr>
          </w:p>
        </w:tc>
      </w:tr>
      <w:tr>
        <w:trPr>
          <w:trHeight w:val="19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1,108</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7,081</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EARNINGS PER COMMON SHARE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available to common stockholders by the weighted-average common shares outstanding during the reporting period. Diluted EPS is computed using the same method as basic EPS, but reflects the potential dilution that would occur if “in the money” stock options were exercised and converted into common stock. In determining the weighted-average shares outstanding for basic and diluted EPS, treasury shares are excluded. Vested restricted stock award (“RSA”) shares are included in the calculation of the weighted-average shares outstanding for basic and diluted EPS. Unvested RSA and performance-based share awards (“PSA”) shares not yet awarded are recognized as a special class of participating securities under ASC 260, and are included in the calculation of the weighted-average shares outstanding for basic and diluted EPS. Basic and diluted EPS on common stock and the basic and diluted EPS on participating securities are the same.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numerators and denominators of basic and diluted EPS for the periods presented: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02"/>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27,876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47,512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Dividends paid and earnings allocated to participating securities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27,360</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46,682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Weighted-average common shares outstanding, including participating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43,852,422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43,748,101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39,044,218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38,964,033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weighted-average participating securities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(822,399)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(714,733)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(758,520)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(671,780)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43,030,023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38,329,485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42,989,581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38,292,253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EPS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0.64</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27,360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46,682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43,030,023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38,329,485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42,989,581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38,292,253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common equivalent shares outstanding</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Weighted-average common and equivalent shares outstanding</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43,030,023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38,329,485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42,989,581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38,292,253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EPS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0.64</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Common and equivalent shares resulting from the dilutive effect of “in-the-money” outstanding stock options are calculated based upon the excess of the average market value of the common stock over the exercise price of outstanding in-the-money stock options during the period.</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were 26,995 weighted-average stock options outstanding for the three and six months ended June 30, 2025 and 2024, which were not considered in the calculation of diluted EPS since their exercise prices exceeded the average market price during the period.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PREFERRED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Dime Community Bancshares, Inc. has 5,299,200 shares currently outstanding, or $132.5 million in aggregate liquidation preference, of its 5.50% Fixed-Rate Non-Cumulative Perpetual Preferred Stock, Series A, par value $0.01 per share, with a liquidation preference of $25.00 per share (the “Preferred Stock”).</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expects to pay dividends when, as, and if declared by its board of directors, at a fixed rate of 5.50% per annum, payable quarterly, in arrears, on February 15, May 15, August 15 and November 15 of each year. The Preferred Stock is perpetual and has no stated maturity. The Company may redeem the Preferred Stock at its option at a redemption price equal to $25.00 per share, plus any declared and unpaid dividends (without regard to any undeclared dividends), subject to regulatory approval, on or after June 15, 2025, or within 90 days following a regulatory capital treatment event, as described in the prospectus supplement and accompanying prospectus relating to the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major categories of securities as of the dates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1"/>
                <w:szCs w:val="11"/>
                <w:color w:val="auto"/>
              </w:rPr>
            </w:pPr>
          </w:p>
        </w:tc>
        <w:tc>
          <w:tcPr>
            <w:tcW w:w="72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86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6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5"/>
                <w:szCs w:val="15"/>
                <w:color w:val="auto"/>
              </w:rPr>
            </w:pP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1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10,000</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(236)</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9,764</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180,198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(7,730)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(1,800)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171,092</w:t>
            </w:r>
          </w:p>
        </w:tc>
        <w:tc>
          <w:tcPr>
            <w:tcW w:w="0" w:type="dxa"/>
            <w:vAlign w:val="bottom"/>
          </w:tcPr>
          <w:p>
            <w:pPr>
              <w:spacing w:after="0"/>
              <w:rPr>
                <w:sz w:val="1"/>
                <w:szCs w:val="1"/>
                <w:color w:val="auto"/>
              </w:rPr>
            </w:pPr>
          </w:p>
        </w:tc>
      </w:tr>
      <w:tr>
        <w:trPr>
          <w:trHeight w:val="126"/>
        </w:trPr>
        <w:tc>
          <w:tcPr>
            <w:tcW w:w="42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Pass-through mortgage-backed securities ("MBS") issued by</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285,789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2,756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(880)</w:t>
            </w: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287,665</w:t>
            </w:r>
          </w:p>
        </w:tc>
        <w:tc>
          <w:tcPr>
            <w:tcW w:w="0" w:type="dxa"/>
            <w:vAlign w:val="bottom"/>
          </w:tcPr>
          <w:p>
            <w:pPr>
              <w:spacing w:after="0"/>
              <w:rPr>
                <w:sz w:val="1"/>
                <w:szCs w:val="1"/>
                <w:color w:val="auto"/>
              </w:rPr>
            </w:pPr>
          </w:p>
        </w:tc>
      </w:tr>
      <w:tr>
        <w:trPr>
          <w:trHeight w:val="171"/>
        </w:trPr>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government sponsored entities ("GSEs")</w:t>
            </w: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CMOs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236,411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(24,440)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212,666</w:t>
            </w:r>
          </w:p>
        </w:tc>
        <w:tc>
          <w:tcPr>
            <w:tcW w:w="0" w:type="dxa"/>
            <w:vAlign w:val="bottom"/>
          </w:tcPr>
          <w:p>
            <w:pPr>
              <w:spacing w:after="0"/>
              <w:rPr>
                <w:sz w:val="1"/>
                <w:szCs w:val="1"/>
                <w:color w:val="auto"/>
              </w:rPr>
            </w:pPr>
          </w:p>
        </w:tc>
      </w:tr>
      <w:tr>
        <w:trPr>
          <w:trHeight w:val="148"/>
        </w:trPr>
        <w:tc>
          <w:tcPr>
            <w:tcW w:w="42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State and municipal obligations</w:t>
            </w: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23,387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(1,113)</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22,274</w:t>
            </w:r>
          </w:p>
        </w:tc>
        <w:tc>
          <w:tcPr>
            <w:tcW w:w="0" w:type="dxa"/>
            <w:vAlign w:val="bottom"/>
          </w:tcPr>
          <w:p>
            <w:pPr>
              <w:spacing w:after="0"/>
              <w:rPr>
                <w:sz w:val="1"/>
                <w:szCs w:val="1"/>
                <w:color w:val="auto"/>
              </w:rPr>
            </w:pPr>
          </w:p>
        </w:tc>
      </w:tr>
      <w:tr>
        <w:trPr>
          <w:trHeight w:val="142"/>
        </w:trPr>
        <w:tc>
          <w:tcPr>
            <w:tcW w:w="4280" w:type="dxa"/>
            <w:vAlign w:val="bottom"/>
            <w:tcBorders>
              <w:top w:val="single" w:sz="8" w:color="CCEEFF"/>
              <w:bottom w:val="single" w:sz="8" w:color="CCEEFF"/>
            </w:tcBorders>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available-for-sale</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735,785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3,875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(34,399)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703,461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4"/>
          <w:szCs w:val="14"/>
          <w:b w:val="1"/>
          <w:bCs w:val="1"/>
          <w:color w:val="auto"/>
        </w:rPr>
        <w:t>June 30, 2025</w:t>
      </w:r>
    </w:p>
    <w:p>
      <w:pPr>
        <w:sectPr>
          <w:pgSz w:w="11900" w:h="16838" w:orient="portrait"/>
          <w:cols w:equalWidth="0" w:num="1">
            <w:col w:w="9019"/>
          </w:cols>
          <w:pgMar w:left="1440" w:top="513" w:right="1440" w:bottom="1440" w:gutter="0" w:footer="0" w:header="0"/>
        </w:sectPr>
      </w:pPr>
    </w:p>
    <w:p>
      <w:pPr>
        <w:spacing w:after="0" w:line="3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 thousands)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Securities held-to-maturity:</w:t>
      </w:r>
    </w:p>
    <w:p>
      <w:pPr>
        <w:ind w:left="160"/>
        <w:spacing w:after="0" w:line="221" w:lineRule="auto"/>
        <w:rPr>
          <w:sz w:val="20"/>
          <w:szCs w:val="20"/>
          <w:color w:val="auto"/>
        </w:rPr>
      </w:pPr>
      <w:r>
        <w:rPr>
          <w:rFonts w:ascii="Times New Roman" w:cs="Times New Roman" w:eastAsia="Times New Roman" w:hAnsi="Times New Roman"/>
          <w:sz w:val="14"/>
          <w:szCs w:val="14"/>
          <w:color w:val="auto"/>
        </w:rPr>
        <w:t>Agency notes</w:t>
      </w:r>
    </w:p>
    <w:p>
      <w:pPr>
        <w:ind w:left="160"/>
        <w:spacing w:after="0" w:line="221" w:lineRule="auto"/>
        <w:rPr>
          <w:sz w:val="20"/>
          <w:szCs w:val="20"/>
          <w:color w:val="auto"/>
        </w:rPr>
      </w:pPr>
      <w:r>
        <w:rPr>
          <w:rFonts w:ascii="Times New Roman" w:cs="Times New Roman" w:eastAsia="Times New Roman" w:hAnsi="Times New Roman"/>
          <w:sz w:val="14"/>
          <w:szCs w:val="14"/>
          <w:color w:val="auto"/>
        </w:rPr>
        <w:t>Corporate securities</w:t>
      </w:r>
    </w:p>
    <w:p>
      <w:pPr>
        <w:ind w:left="160"/>
        <w:spacing w:after="0" w:line="222" w:lineRule="auto"/>
        <w:rPr>
          <w:sz w:val="20"/>
          <w:szCs w:val="20"/>
          <w:color w:val="auto"/>
        </w:rPr>
      </w:pPr>
      <w:r>
        <w:rPr>
          <w:rFonts w:ascii="Times New Roman" w:cs="Times New Roman" w:eastAsia="Times New Roman" w:hAnsi="Times New Roman"/>
          <w:sz w:val="14"/>
          <w:szCs w:val="14"/>
          <w:color w:val="auto"/>
        </w:rPr>
        <w:t>Pass-through MBS issued by GSEs</w:t>
      </w:r>
    </w:p>
    <w:p>
      <w:pPr>
        <w:ind w:left="160"/>
        <w:spacing w:after="0"/>
        <w:rPr>
          <w:sz w:val="20"/>
          <w:szCs w:val="20"/>
          <w:color w:val="auto"/>
        </w:rPr>
      </w:pPr>
      <w:r>
        <w:rPr>
          <w:rFonts w:ascii="Times New Roman" w:cs="Times New Roman" w:eastAsia="Times New Roman" w:hAnsi="Times New Roman"/>
          <w:sz w:val="14"/>
          <w:szCs w:val="14"/>
          <w:color w:val="auto"/>
        </w:rPr>
        <w:t>Agency CMOs</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securities held-to-maturity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 thousands)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Securities available-for-sale:</w:t>
      </w:r>
    </w:p>
    <w:p>
      <w:pPr>
        <w:ind w:left="160"/>
        <w:spacing w:after="0" w:line="221" w:lineRule="auto"/>
        <w:rPr>
          <w:sz w:val="20"/>
          <w:szCs w:val="20"/>
          <w:color w:val="auto"/>
        </w:rPr>
      </w:pPr>
      <w:r>
        <w:rPr>
          <w:rFonts w:ascii="Times New Roman" w:cs="Times New Roman" w:eastAsia="Times New Roman" w:hAnsi="Times New Roman"/>
          <w:sz w:val="14"/>
          <w:szCs w:val="14"/>
          <w:color w:val="auto"/>
        </w:rPr>
        <w:t>Agency notes</w:t>
      </w:r>
    </w:p>
    <w:p>
      <w:pPr>
        <w:ind w:left="160"/>
        <w:spacing w:after="0" w:line="221" w:lineRule="auto"/>
        <w:rPr>
          <w:sz w:val="20"/>
          <w:szCs w:val="20"/>
          <w:color w:val="auto"/>
        </w:rPr>
      </w:pPr>
      <w:r>
        <w:rPr>
          <w:rFonts w:ascii="Times New Roman" w:cs="Times New Roman" w:eastAsia="Times New Roman" w:hAnsi="Times New Roman"/>
          <w:sz w:val="14"/>
          <w:szCs w:val="14"/>
          <w:color w:val="auto"/>
        </w:rPr>
        <w:t>Corporate securities</w:t>
      </w:r>
    </w:p>
    <w:p>
      <w:pPr>
        <w:ind w:left="160"/>
        <w:spacing w:after="0" w:line="222" w:lineRule="auto"/>
        <w:rPr>
          <w:sz w:val="20"/>
          <w:szCs w:val="20"/>
          <w:color w:val="auto"/>
        </w:rPr>
      </w:pPr>
      <w:r>
        <w:rPr>
          <w:rFonts w:ascii="Times New Roman" w:cs="Times New Roman" w:eastAsia="Times New Roman" w:hAnsi="Times New Roman"/>
          <w:sz w:val="14"/>
          <w:szCs w:val="14"/>
          <w:color w:val="auto"/>
        </w:rPr>
        <w:t>Pass-through MBS issued by GSEs</w:t>
      </w:r>
    </w:p>
    <w:p>
      <w:pPr>
        <w:ind w:left="160"/>
        <w:spacing w:after="0" w:line="221" w:lineRule="auto"/>
        <w:rPr>
          <w:sz w:val="20"/>
          <w:szCs w:val="20"/>
          <w:color w:val="auto"/>
        </w:rPr>
      </w:pPr>
      <w:r>
        <w:rPr>
          <w:rFonts w:ascii="Times New Roman" w:cs="Times New Roman" w:eastAsia="Times New Roman" w:hAnsi="Times New Roman"/>
          <w:sz w:val="14"/>
          <w:szCs w:val="14"/>
          <w:color w:val="auto"/>
        </w:rPr>
        <w:t>Agency CMOs</w:t>
      </w:r>
    </w:p>
    <w:p>
      <w:pPr>
        <w:ind w:left="160"/>
        <w:spacing w:after="0"/>
        <w:rPr>
          <w:sz w:val="20"/>
          <w:szCs w:val="20"/>
          <w:color w:val="auto"/>
        </w:rPr>
      </w:pPr>
      <w:r>
        <w:rPr>
          <w:rFonts w:ascii="Times New Roman" w:cs="Times New Roman" w:eastAsia="Times New Roman" w:hAnsi="Times New Roman"/>
          <w:sz w:val="14"/>
          <w:szCs w:val="14"/>
          <w:color w:val="auto"/>
        </w:rPr>
        <w:t>State and municipal obligations</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securities available-for-sale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6"/>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90,188</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(7,786)</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82,402</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(560)</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12,640</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290,933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(36,559)</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254,574</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231,067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(24,496)</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206,891</w:t>
            </w:r>
          </w:p>
        </w:tc>
        <w:tc>
          <w:tcPr>
            <w:tcW w:w="0" w:type="dxa"/>
            <w:vAlign w:val="bottom"/>
          </w:tcPr>
          <w:p>
            <w:pPr>
              <w:spacing w:after="0"/>
              <w:rPr>
                <w:sz w:val="1"/>
                <w:szCs w:val="1"/>
                <w:color w:val="auto"/>
              </w:rPr>
            </w:pPr>
          </w:p>
        </w:tc>
      </w:tr>
      <w:tr>
        <w:trPr>
          <w:trHeight w:val="142"/>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625,188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720</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(69,401)</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556,507</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7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8"/>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(393)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9,607</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(10,778)</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163,949</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303,303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(3,112)</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300,221</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220,314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(28,442)</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191,888</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(1,517)</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25,028</w:t>
            </w:r>
          </w:p>
        </w:tc>
        <w:tc>
          <w:tcPr>
            <w:tcW w:w="0" w:type="dxa"/>
            <w:vAlign w:val="bottom"/>
          </w:tcPr>
          <w:p>
            <w:pPr>
              <w:spacing w:after="0"/>
              <w:rPr>
                <w:sz w:val="1"/>
                <w:szCs w:val="1"/>
                <w:color w:val="auto"/>
              </w:rPr>
            </w:pPr>
          </w:p>
        </w:tc>
      </w:tr>
      <w:tr>
        <w:trPr>
          <w:trHeight w:val="142"/>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734,134</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801</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(44,242)</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690,693</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-1653540</wp:posOffset>
            </wp:positionV>
            <wp:extent cx="564896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9461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-1464945</wp:posOffset>
            </wp:positionV>
            <wp:extent cx="5648960" cy="93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-1851025</wp:posOffset>
            </wp:positionV>
            <wp:extent cx="564896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0287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-504825</wp:posOffset>
            </wp:positionV>
            <wp:extent cx="5648960" cy="93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-316230</wp:posOffset>
            </wp:positionV>
            <wp:extent cx="5648960" cy="93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-128270</wp:posOffset>
            </wp:positionV>
            <wp:extent cx="5648960" cy="111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11760"/>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-702310</wp:posOffset>
            </wp:positionV>
            <wp:extent cx="564896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102870"/>
                    </a:xfrm>
                    <a:prstGeom prst="rect">
                      <a:avLst/>
                    </a:prstGeom>
                    <a:noFill/>
                  </pic:spPr>
                </pic:pic>
              </a:graphicData>
            </a:graphic>
          </wp:anchor>
        </w:drawing>
      </w:r>
    </w:p>
    <w:p>
      <w:pPr>
        <w:spacing w:after="0" w:line="10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12" w:lineRule="exact"/>
        <w:rPr>
          <w:sz w:val="20"/>
          <w:szCs w:val="20"/>
          <w:color w:val="auto"/>
        </w:rPr>
      </w:pPr>
    </w:p>
    <w:p>
      <w:pPr>
        <w:sectPr>
          <w:pgSz w:w="11900" w:h="16838" w:orient="portrait"/>
          <w:cols w:equalWidth="0" w:num="2">
            <w:col w:w="4100" w:space="720"/>
            <w:col w:w="419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131"/>
        </w:trPr>
        <w:tc>
          <w:tcPr>
            <w:tcW w:w="4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0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Unrecognized</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6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Securities held-to-maturity:</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Agency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89,977</w:t>
            </w:r>
          </w:p>
        </w:tc>
        <w:tc>
          <w:tcPr>
            <w:tcW w:w="16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(10,961)</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79,016</w:t>
            </w:r>
          </w:p>
        </w:tc>
        <w:tc>
          <w:tcPr>
            <w:tcW w:w="0" w:type="dxa"/>
            <w:vAlign w:val="bottom"/>
          </w:tcPr>
          <w:p>
            <w:pPr>
              <w:spacing w:after="0"/>
              <w:rPr>
                <w:sz w:val="1"/>
                <w:szCs w:val="1"/>
                <w:color w:val="auto"/>
              </w:rPr>
            </w:pPr>
          </w:p>
        </w:tc>
      </w:tr>
      <w:tr>
        <w:trPr>
          <w:trHeight w:val="149"/>
        </w:trPr>
        <w:tc>
          <w:tcPr>
            <w:tcW w:w="47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Corporate securities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12,285</w:t>
            </w:r>
          </w:p>
        </w:tc>
        <w:tc>
          <w:tcPr>
            <w:tcW w:w="0" w:type="dxa"/>
            <w:vAlign w:val="bottom"/>
          </w:tcPr>
          <w:p>
            <w:pPr>
              <w:spacing w:after="0"/>
              <w:rPr>
                <w:sz w:val="1"/>
                <w:szCs w:val="1"/>
                <w:color w:val="auto"/>
              </w:rPr>
            </w:pPr>
          </w:p>
        </w:tc>
      </w:tr>
      <w:tr>
        <w:trPr>
          <w:trHeight w:val="148"/>
        </w:trPr>
        <w:tc>
          <w:tcPr>
            <w:tcW w:w="47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298,697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(43,716)</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254,981</w:t>
            </w:r>
          </w:p>
        </w:tc>
        <w:tc>
          <w:tcPr>
            <w:tcW w:w="0" w:type="dxa"/>
            <w:vAlign w:val="bottom"/>
          </w:tcPr>
          <w:p>
            <w:pPr>
              <w:spacing w:after="0"/>
              <w:rPr>
                <w:sz w:val="1"/>
                <w:szCs w:val="1"/>
                <w:color w:val="auto"/>
              </w:rPr>
            </w:pPr>
          </w:p>
        </w:tc>
      </w:tr>
      <w:tr>
        <w:trPr>
          <w:trHeight w:val="162"/>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Agency CMOs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235,665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(29,699)</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205,995</w:t>
            </w:r>
          </w:p>
        </w:tc>
        <w:tc>
          <w:tcPr>
            <w:tcW w:w="0" w:type="dxa"/>
            <w:vAlign w:val="bottom"/>
          </w:tcPr>
          <w:p>
            <w:pPr>
              <w:spacing w:after="0"/>
              <w:rPr>
                <w:sz w:val="1"/>
                <w:szCs w:val="1"/>
                <w:color w:val="auto"/>
              </w:rPr>
            </w:pPr>
          </w:p>
        </w:tc>
      </w:tr>
      <w:tr>
        <w:trPr>
          <w:trHeight w:val="142"/>
        </w:trPr>
        <w:tc>
          <w:tcPr>
            <w:tcW w:w="478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securities held-to-maturity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637,339</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(85,231)</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552,277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transfers to or from securities held-to-maturity during the three or six months ended June 30, 2025 and 2024, respectively.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carrying value of securities pledged at June 30, 2025 and December 31, 2024 was $589.2 million and $622.7 million,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June 30, 2025 and December 31, 2024, there were no holdings of securities of any one issuer, other than the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Government and its agencies, in an amount greater than 10% of stockholders' equity.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fair value of securities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0"/>
                <w:szCs w:val="10"/>
                <w:color w:val="auto"/>
              </w:rPr>
            </w:pPr>
          </w:p>
        </w:tc>
        <w:tc>
          <w:tcPr>
            <w:tcW w:w="12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380" w:type="dxa"/>
            <w:vAlign w:val="bottom"/>
          </w:tcPr>
          <w:p>
            <w:pPr>
              <w:spacing w:after="0"/>
              <w:rPr>
                <w:sz w:val="10"/>
                <w:szCs w:val="10"/>
                <w:color w:val="auto"/>
              </w:rPr>
            </w:pPr>
          </w:p>
        </w:tc>
        <w:tc>
          <w:tcPr>
            <w:tcW w:w="820" w:type="dxa"/>
            <w:vAlign w:val="bottom"/>
          </w:tcPr>
          <w:p>
            <w:pPr>
              <w:jc w:val="right"/>
              <w:ind w:right="38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3"/>
        </w:trPr>
        <w:tc>
          <w:tcPr>
            <w:tcW w:w="63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80" w:type="dxa"/>
            <w:vAlign w:val="bottom"/>
          </w:tcPr>
          <w:p>
            <w:pPr>
              <w:spacing w:after="0"/>
              <w:rPr>
                <w:sz w:val="15"/>
                <w:szCs w:val="15"/>
                <w:color w:val="auto"/>
              </w:rPr>
            </w:pPr>
          </w:p>
        </w:tc>
        <w:tc>
          <w:tcPr>
            <w:tcW w:w="8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0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8,604</w:t>
            </w:r>
          </w:p>
        </w:tc>
        <w:tc>
          <w:tcPr>
            <w:tcW w:w="220" w:type="dxa"/>
            <w:vAlign w:val="bottom"/>
          </w:tcPr>
          <w:p>
            <w:pPr>
              <w:spacing w:after="0"/>
              <w:rPr>
                <w:sz w:val="12"/>
                <w:szCs w:val="12"/>
                <w:color w:val="auto"/>
              </w:rPr>
            </w:pPr>
          </w:p>
        </w:tc>
        <w:tc>
          <w:tcPr>
            <w:tcW w:w="3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8,529</w:t>
            </w: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73,503</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69,378</w:t>
            </w:r>
          </w:p>
        </w:tc>
        <w:tc>
          <w:tcPr>
            <w:tcW w:w="0" w:type="dxa"/>
            <w:vAlign w:val="bottom"/>
          </w:tcPr>
          <w:p>
            <w:pPr>
              <w:spacing w:after="0"/>
              <w:rPr>
                <w:sz w:val="1"/>
                <w:szCs w:val="1"/>
                <w:color w:val="auto"/>
              </w:rPr>
            </w:pPr>
          </w:p>
        </w:tc>
      </w:tr>
      <w:tr>
        <w:trPr>
          <w:trHeight w:val="148"/>
        </w:trPr>
        <w:tc>
          <w:tcPr>
            <w:tcW w:w="6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131,478</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125,223</w:t>
            </w:r>
          </w:p>
        </w:tc>
        <w:tc>
          <w:tcPr>
            <w:tcW w:w="0" w:type="dxa"/>
            <w:vAlign w:val="bottom"/>
          </w:tcPr>
          <w:p>
            <w:pPr>
              <w:spacing w:after="0"/>
              <w:rPr>
                <w:sz w:val="1"/>
                <w:szCs w:val="1"/>
                <w:color w:val="auto"/>
              </w:rPr>
            </w:pPr>
          </w:p>
        </w:tc>
      </w:tr>
      <w:tr>
        <w:trPr>
          <w:trHeight w:val="149"/>
        </w:trPr>
        <w:tc>
          <w:tcPr>
            <w:tcW w:w="6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0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 and agency CMOs</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522,200</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500,331</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735,785</w:t>
            </w: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703,461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Held-to-maturity</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Within one year</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 to five years</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34,507</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32,405</w:t>
            </w:r>
          </w:p>
        </w:tc>
        <w:tc>
          <w:tcPr>
            <w:tcW w:w="0" w:type="dxa"/>
            <w:vAlign w:val="bottom"/>
          </w:tcPr>
          <w:p>
            <w:pPr>
              <w:spacing w:after="0"/>
              <w:rPr>
                <w:sz w:val="1"/>
                <w:szCs w:val="1"/>
                <w:color w:val="auto"/>
              </w:rPr>
            </w:pPr>
          </w:p>
        </w:tc>
      </w:tr>
      <w:tr>
        <w:trPr>
          <w:trHeight w:val="148"/>
        </w:trPr>
        <w:tc>
          <w:tcPr>
            <w:tcW w:w="6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Five to ten years</w:t>
            </w:r>
          </w:p>
        </w:tc>
        <w:tc>
          <w:tcPr>
            <w:tcW w:w="1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68,681</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62,637</w:t>
            </w:r>
          </w:p>
        </w:tc>
        <w:tc>
          <w:tcPr>
            <w:tcW w:w="0" w:type="dxa"/>
            <w:vAlign w:val="bottom"/>
          </w:tcPr>
          <w:p>
            <w:pPr>
              <w:spacing w:after="0"/>
              <w:rPr>
                <w:sz w:val="1"/>
                <w:szCs w:val="1"/>
                <w:color w:val="auto"/>
              </w:rPr>
            </w:pPr>
          </w:p>
        </w:tc>
      </w:tr>
      <w:tr>
        <w:trPr>
          <w:trHeight w:val="148"/>
        </w:trPr>
        <w:tc>
          <w:tcPr>
            <w:tcW w:w="63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Beyond ten years</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30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Pass-through MBS issued by GSEs and agency CMOs</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522,000</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461,465</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625,188</w:t>
            </w: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556,507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information related to sales of securities available-for-sale as of the periods indicated: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4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183"/>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Proceeds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24,837</w:t>
            </w:r>
          </w:p>
        </w:tc>
        <w:tc>
          <w:tcPr>
            <w:tcW w:w="160" w:type="dxa"/>
            <w:vAlign w:val="bottom"/>
          </w:tcPr>
          <w:p>
            <w:pPr>
              <w:spacing w:after="0"/>
              <w:rPr>
                <w:sz w:val="17"/>
                <w:szCs w:val="17"/>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24,837</w:t>
            </w:r>
          </w:p>
        </w:tc>
        <w:tc>
          <w:tcPr>
            <w:tcW w:w="16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gains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Tax expense on gains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Gross losses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r>
      <w:tr>
        <w:trPr>
          <w:trHeight w:val="220"/>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Tax benefit on losses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r>
    </w:tbl>
    <w:p>
      <w:pPr>
        <w:spacing w:after="0" w:line="2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sales of securities held-to-maturity during the three or six months ended June 30, 2025 and 2024,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gross unrealized losses and fair value of securities available-for-sale aggregated by investment category and the length of time the securities were in a continuous unrealized loss position as of the dates indicated:</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83"/>
        </w:trPr>
        <w:tc>
          <w:tcPr>
            <w:tcW w:w="3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18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2"/>
        </w:trPr>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18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40" w:type="dxa"/>
            <w:vAlign w:val="bottom"/>
          </w:tcPr>
          <w:p>
            <w:pPr>
              <w:spacing w:after="0"/>
              <w:rPr>
                <w:sz w:val="18"/>
                <w:szCs w:val="18"/>
                <w:color w:val="auto"/>
              </w:rPr>
            </w:pPr>
          </w:p>
        </w:tc>
      </w:tr>
      <w:tr>
        <w:trPr>
          <w:trHeight w:val="186"/>
        </w:trPr>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60" w:type="dxa"/>
            <w:vAlign w:val="bottom"/>
          </w:tcPr>
          <w:p>
            <w:pPr>
              <w:spacing w:after="0"/>
              <w:rPr>
                <w:sz w:val="16"/>
                <w:szCs w:val="16"/>
                <w:color w:val="auto"/>
              </w:rPr>
            </w:pPr>
          </w:p>
        </w:tc>
        <w:tc>
          <w:tcPr>
            <w:tcW w:w="9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80" w:type="dxa"/>
            <w:vAlign w:val="bottom"/>
          </w:tcPr>
          <w:p>
            <w:pPr>
              <w:spacing w:after="0"/>
              <w:rPr>
                <w:sz w:val="16"/>
                <w:szCs w:val="16"/>
                <w:color w:val="auto"/>
              </w:rPr>
            </w:pPr>
          </w:p>
        </w:tc>
        <w:tc>
          <w:tcPr>
            <w:tcW w:w="90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4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199"/>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Agency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9,764</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9,764</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r>
      <w:tr>
        <w:trPr>
          <w:trHeight w:val="20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27,733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89,744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7,518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117,477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7,730</w:t>
            </w:r>
          </w:p>
        </w:tc>
      </w:tr>
      <w:tr>
        <w:trPr>
          <w:trHeight w:val="203"/>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772</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39,368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880</w:t>
            </w:r>
          </w:p>
        </w:tc>
      </w:tr>
      <w:tr>
        <w:trPr>
          <w:trHeight w:val="20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Agency CMOs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147,252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24,440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147,252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24,440</w:t>
            </w:r>
          </w:p>
        </w:tc>
      </w:tr>
      <w:tr>
        <w:trPr>
          <w:trHeight w:val="212"/>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18,774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18,774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1,113</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183"/>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Less than 12</w:t>
            </w:r>
          </w:p>
        </w:tc>
        <w:tc>
          <w:tcPr>
            <w:tcW w:w="160" w:type="dxa"/>
            <w:vAlign w:val="bottom"/>
          </w:tcPr>
          <w:p>
            <w:pPr>
              <w:spacing w:after="0"/>
              <w:rPr>
                <w:sz w:val="15"/>
                <w:szCs w:val="15"/>
                <w:color w:val="auto"/>
              </w:rPr>
            </w:pPr>
          </w:p>
        </w:tc>
        <w:tc>
          <w:tcPr>
            <w:tcW w:w="170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12 Consecutive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15"/>
        </w:trPr>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Consecutive Months</w:t>
            </w:r>
          </w:p>
        </w:tc>
        <w:tc>
          <w:tcPr>
            <w:tcW w:w="160" w:type="dxa"/>
            <w:vAlign w:val="bottom"/>
          </w:tcPr>
          <w:p>
            <w:pPr>
              <w:spacing w:after="0"/>
              <w:rPr>
                <w:sz w:val="18"/>
                <w:szCs w:val="18"/>
                <w:color w:val="auto"/>
              </w:rPr>
            </w:pPr>
          </w:p>
        </w:tc>
        <w:tc>
          <w:tcPr>
            <w:tcW w:w="17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Months or Longer</w:t>
            </w:r>
          </w:p>
        </w:tc>
        <w:tc>
          <w:tcPr>
            <w:tcW w:w="160" w:type="dxa"/>
            <w:vAlign w:val="bottom"/>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Borders>
              <w:bottom w:val="single" w:sz="8" w:color="auto"/>
            </w:tcBorders>
          </w:tcPr>
          <w:p>
            <w:pPr>
              <w:spacing w:after="0"/>
              <w:rPr>
                <w:sz w:val="18"/>
                <w:szCs w:val="18"/>
                <w:color w:val="auto"/>
              </w:rPr>
            </w:pPr>
          </w:p>
        </w:tc>
      </w:tr>
      <w:tr>
        <w:trPr>
          <w:trHeight w:val="183"/>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5"/>
                <w:szCs w:val="15"/>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5"/>
                <w:szCs w:val="15"/>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2"/>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0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3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9,607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9,607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03"/>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141,124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144,049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10,778</w:t>
            </w:r>
          </w:p>
        </w:tc>
      </w:tr>
      <w:tr>
        <w:trPr>
          <w:trHeight w:val="203"/>
        </w:trPr>
        <w:tc>
          <w:tcPr>
            <w:tcW w:w="3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295,214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r>
      <w:tr>
        <w:trPr>
          <w:trHeight w:val="203"/>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186,871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28,442</w:t>
            </w:r>
          </w:p>
        </w:tc>
      </w:tr>
      <w:tr>
        <w:trPr>
          <w:trHeight w:val="210"/>
        </w:trPr>
        <w:tc>
          <w:tcPr>
            <w:tcW w:w="3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r>
    </w:tbl>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June 30, 2025, the Company recorded a $1.8 million allowance for credit losses on one available-for-sale corporate security due to the issuer’s non-compliance with certain financial covenants, which was considered a credit deterioration event. Given the high-quality composition of the Company’s held-to-maturity portfolio, the Company did not record an allowance for credit losses on the held-to-maturity portfolio. With respect to certain classes of debt securities, primarily U.S. Treasuries and securities issued by Government Sponsored Entities, the Company considers the history of credit losses, current conditions and reasonable and supportable forecasts, which may indicate that the expectation that nonpayment of the amortized cost basis is or continues to be zero, even if the U.S. government were to technically default. Accrued interest receivable on securities totaling $5.7 million at both June 30, 2025 and December 31, 2024 was included in other assets in the Consolidated Statements of Financial Condition and excluded from the amortized cost and estimated fair value totals in the table above.</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evaluates available-for-sale debt securities in unrealized loss positions to determine whether the impairment is due to credit-related factors or noncredit-related factors. Consideration is given to (1) the extent to which the fair value is less than amortized cost, (2) the financial condition and near-term prospects of the issuer, and (3) the intent and ability of the Company to retain its investment in the security for a period of time sufficient to allow for any anticipated recovery in fair value.</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June 30, 2025, substantially all of the securities in an unrealized loss position had a fixed interest rate and the cause of the temporary impairment was directly related to changes in interest rates. The Company generally views changes in fair value caused by changes in interest rates as temporary, which is consistent with its experience. The following major security types held by the Company are all issued by U.S. government entities and agencies and therefore either explicitly or implicitly guaranteed by the U.S. government: Agency Notes, Treasury Securities, Pass-through MBS issued by GSEs, Agency Collateralized Mortgage Obligations. None of the unrealized losses are related to credit quality of the issuer. A majority of the state and municipal obligations within the portfolio have all maintained an investment grade rating by either Moody’s or Standard and Poor’s. The Company does not have the intent to sell these securities and it is more likely than not that it will not be required to sell the securities before their anticipated recovery. The issuers continue to make timely principal and interest payments on the debt. The fair value is expected to recover as the securities approach maturity.</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the allowance for credit losses for corporate securities available-for-sale for the three and six months ended June 30, 2025 and 2024:</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Pr>
          <w:p>
            <w:pPr>
              <w:spacing w:after="0"/>
              <w:rPr>
                <w:sz w:val="18"/>
                <w:szCs w:val="18"/>
                <w:color w:val="auto"/>
              </w:rPr>
            </w:pPr>
          </w:p>
        </w:tc>
        <w:tc>
          <w:tcPr>
            <w:tcW w:w="230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2"/>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893</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1,800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6"/>
        </w:trPr>
        <w:tc>
          <w:tcPr>
            <w:tcW w:w="3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LOANS HELD FOR INVESTMENT,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loan categories for the period ended as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61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6"/>
                <w:szCs w:val="16"/>
                <w:color w:val="auto"/>
                <w:vertAlign w:val="superscript"/>
              </w:rPr>
              <w:t>(1)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2,901,948</w:t>
            </w: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2,725,726</w:t>
            </w:r>
          </w:p>
        </w:tc>
      </w:tr>
      <w:tr>
        <w:trPr>
          <w:trHeight w:val="148"/>
        </w:trPr>
        <w:tc>
          <w:tcPr>
            <w:tcW w:w="6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998,446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951,528</w:t>
            </w:r>
          </w:p>
        </w:tc>
      </w:tr>
      <w:tr>
        <w:trPr>
          <w:trHeight w:val="149"/>
        </w:trPr>
        <w:tc>
          <w:tcPr>
            <w:tcW w:w="632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3,693,425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3,820,283</w:t>
            </w:r>
          </w:p>
        </w:tc>
      </w:tr>
      <w:tr>
        <w:trPr>
          <w:trHeight w:val="148"/>
        </w:trPr>
        <w:tc>
          <w:tcPr>
            <w:tcW w:w="6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3,128,120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3,230,535</w:t>
            </w:r>
          </w:p>
        </w:tc>
      </w:tr>
      <w:tr>
        <w:trPr>
          <w:trHeight w:val="148"/>
        </w:trPr>
        <w:tc>
          <w:tcPr>
            <w:tcW w:w="632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Acquisition, development, and construction ("ADC")</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141,755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136,172</w:t>
            </w:r>
          </w:p>
        </w:tc>
      </w:tr>
      <w:tr>
        <w:trPr>
          <w:trHeight w:val="148"/>
        </w:trPr>
        <w:tc>
          <w:tcPr>
            <w:tcW w:w="632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6,336</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5,084</w:t>
            </w:r>
          </w:p>
        </w:tc>
      </w:tr>
      <w:tr>
        <w:trPr>
          <w:trHeight w:val="142"/>
        </w:trPr>
        <w:tc>
          <w:tcPr>
            <w:tcW w:w="63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10,870,030</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10,869,328</w:t>
            </w:r>
          </w:p>
        </w:tc>
      </w:tr>
      <w:tr>
        <w:trPr>
          <w:trHeight w:val="148"/>
        </w:trPr>
        <w:tc>
          <w:tcPr>
            <w:tcW w:w="632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Fair value hedge basis point adjustments </w:t>
            </w:r>
            <w:r>
              <w:rPr>
                <w:rFonts w:ascii="Times New Roman" w:cs="Times New Roman" w:eastAsia="Times New Roman" w:hAnsi="Times New Roman"/>
                <w:sz w:val="17"/>
                <w:szCs w:val="17"/>
                <w:color w:val="auto"/>
                <w:vertAlign w:val="superscript"/>
              </w:rPr>
              <w:t>(2)</w:t>
            </w: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842</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w:t>
            </w:r>
          </w:p>
        </w:tc>
      </w:tr>
      <w:tr>
        <w:trPr>
          <w:trHeight w:val="142"/>
        </w:trPr>
        <w:tc>
          <w:tcPr>
            <w:tcW w:w="63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loans, net of fair value hedge basis point adjustments</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10,870,872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10,871,943</w:t>
            </w:r>
          </w:p>
        </w:tc>
      </w:tr>
      <w:tr>
        <w:trPr>
          <w:trHeight w:val="148"/>
        </w:trPr>
        <w:tc>
          <w:tcPr>
            <w:tcW w:w="6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(93,189)</w:t>
            </w:r>
          </w:p>
        </w:tc>
        <w:tc>
          <w:tcPr>
            <w:tcW w:w="3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(88,751)</w:t>
            </w:r>
          </w:p>
        </w:tc>
      </w:tr>
      <w:tr>
        <w:trPr>
          <w:trHeight w:val="142"/>
        </w:trPr>
        <w:tc>
          <w:tcPr>
            <w:tcW w:w="6320" w:type="dxa"/>
            <w:vAlign w:val="bottom"/>
            <w:tcBorders>
              <w:top w:val="single" w:sz="8" w:color="CCEEFF"/>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Loans held for investment, net</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10,777,683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10,783,192</w:t>
            </w:r>
          </w:p>
        </w:tc>
      </w:tr>
      <w:tr>
        <w:trPr>
          <w:trHeight w:val="20"/>
        </w:trPr>
        <w:tc>
          <w:tcPr>
            <w:tcW w:w="2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81" w:lineRule="exact"/>
        <w:rPr>
          <w:sz w:val="20"/>
          <w:szCs w:val="20"/>
          <w:color w:val="auto"/>
        </w:rPr>
      </w:pPr>
    </w:p>
    <w:p>
      <w:pPr>
        <w:ind w:left="380" w:right="79" w:hanging="330"/>
        <w:spacing w:after="0" w:line="215"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Business loans include commercial and industrial loans (“C&amp;I loans”), owner-occupied commercial real estate loans and SBA Paycheck Protection Program (“PPP”) loans.</w:t>
      </w:r>
    </w:p>
    <w:p>
      <w:pPr>
        <w:ind w:left="380" w:right="79" w:hanging="330"/>
        <w:spacing w:after="0" w:line="211"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31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data regarding the allowance for credit losses activity on loans held for investment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800"/>
              <w:spacing w:after="0"/>
              <w:rPr>
                <w:sz w:val="20"/>
                <w:szCs w:val="20"/>
                <w:color w:val="auto"/>
              </w:rPr>
            </w:pPr>
            <w:r>
              <w:rPr>
                <w:rFonts w:ascii="Times New Roman" w:cs="Times New Roman" w:eastAsia="Times New Roman" w:hAnsi="Times New Roman"/>
                <w:sz w:val="14"/>
                <w:szCs w:val="14"/>
                <w:b w:val="1"/>
                <w:bCs w:val="1"/>
                <w:color w:val="auto"/>
              </w:rPr>
              <w:t>At or for the Three Months Ended June 30, 2025</w:t>
            </w: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5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Cooperative/</w:t>
            </w:r>
          </w:p>
        </w:tc>
        <w:tc>
          <w:tcPr>
            <w:tcW w:w="18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gridSpan w:val="2"/>
            <w:vMerge w:val="continue"/>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Condominium</w:t>
            </w: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ADC</w:t>
            </w: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60" w:type="dxa"/>
            <w:vAlign w:val="bottom"/>
            <w:gridSpan w:val="2"/>
            <w:vMerge w:val="continue"/>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20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$ 43,915</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9,745</w:t>
            </w:r>
          </w:p>
        </w:tc>
        <w:tc>
          <w:tcPr>
            <w:tcW w:w="1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13,087</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21,075</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2,360</w:t>
            </w: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$ 273</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90,455</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(178)</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8,139</w:t>
            </w:r>
          </w:p>
        </w:tc>
        <w:tc>
          <w:tcPr>
            <w:tcW w:w="0" w:type="dxa"/>
            <w:vAlign w:val="bottom"/>
          </w:tcPr>
          <w:p>
            <w:pPr>
              <w:spacing w:after="0"/>
              <w:rPr>
                <w:sz w:val="1"/>
                <w:szCs w:val="1"/>
                <w:color w:val="auto"/>
              </w:rPr>
            </w:pPr>
          </w:p>
        </w:tc>
      </w:tr>
      <w:tr>
        <w:trPr>
          <w:trHeight w:val="149"/>
        </w:trPr>
        <w:tc>
          <w:tcPr>
            <w:tcW w:w="2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(5,057)</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3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(416)</w:t>
            </w: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(9)</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(5,482)</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w:t>
            </w:r>
          </w:p>
        </w:tc>
        <w:tc>
          <w:tcPr>
            <w:tcW w:w="0" w:type="dxa"/>
            <w:vAlign w:val="bottom"/>
          </w:tcPr>
          <w:p>
            <w:pPr>
              <w:spacing w:after="0"/>
              <w:rPr>
                <w:sz w:val="1"/>
                <w:szCs w:val="1"/>
                <w:color w:val="auto"/>
              </w:rPr>
            </w:pPr>
          </w:p>
        </w:tc>
      </w:tr>
      <w:tr>
        <w:trPr>
          <w:trHeight w:val="142"/>
        </w:trPr>
        <w:tc>
          <w:tcPr>
            <w:tcW w:w="26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$ 42,965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9,567</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13,667</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24,326</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2,380</w:t>
            </w:r>
          </w:p>
        </w:tc>
        <w:tc>
          <w:tcPr>
            <w:tcW w:w="1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$ 284</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93,189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1"/>
          </w:tcPr>
          <w:p>
            <w:pPr>
              <w:ind w:left="800"/>
              <w:spacing w:after="0"/>
              <w:rPr>
                <w:sz w:val="20"/>
                <w:szCs w:val="20"/>
                <w:color w:val="auto"/>
              </w:rPr>
            </w:pPr>
            <w:r>
              <w:rPr>
                <w:rFonts w:ascii="Times New Roman" w:cs="Times New Roman" w:eastAsia="Times New Roman" w:hAnsi="Times New Roman"/>
                <w:sz w:val="14"/>
                <w:szCs w:val="14"/>
                <w:b w:val="1"/>
                <w:bCs w:val="1"/>
                <w:color w:val="auto"/>
              </w:rPr>
              <w:t>At or for the Three Months Ended June 30, 2024</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5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Cooperative/</w:t>
            </w:r>
          </w:p>
        </w:tc>
        <w:tc>
          <w:tcPr>
            <w:tcW w:w="180" w:type="dxa"/>
            <w:vAlign w:val="bottom"/>
          </w:tcPr>
          <w:p>
            <w:pPr>
              <w:spacing w:after="0"/>
              <w:rPr>
                <w:sz w:val="12"/>
                <w:szCs w:val="12"/>
                <w:color w:val="auto"/>
              </w:rPr>
            </w:pPr>
          </w:p>
        </w:tc>
        <w:tc>
          <w:tcPr>
            <w:tcW w:w="7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760" w:type="dxa"/>
            <w:vAlign w:val="bottom"/>
            <w:gridSpan w:val="2"/>
            <w:vMerge w:val="continue"/>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Condominium</w:t>
            </w: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ADC</w:t>
            </w:r>
          </w:p>
        </w:tc>
        <w:tc>
          <w:tcPr>
            <w:tcW w:w="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60" w:type="dxa"/>
            <w:vAlign w:val="bottom"/>
            <w:gridSpan w:val="2"/>
            <w:vMerge w:val="continue"/>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20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$ 35,981</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6,973</w:t>
            </w:r>
          </w:p>
        </w:tc>
        <w:tc>
          <w:tcPr>
            <w:tcW w:w="1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11,171</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19,445</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w:t>
            </w: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$ 176</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76,068</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5,384</w:t>
            </w:r>
          </w:p>
        </w:tc>
        <w:tc>
          <w:tcPr>
            <w:tcW w:w="0" w:type="dxa"/>
            <w:vAlign w:val="bottom"/>
          </w:tcPr>
          <w:p>
            <w:pPr>
              <w:spacing w:after="0"/>
              <w:rPr>
                <w:sz w:val="1"/>
                <w:szCs w:val="1"/>
                <w:color w:val="auto"/>
              </w:rPr>
            </w:pPr>
          </w:p>
        </w:tc>
      </w:tr>
      <w:tr>
        <w:trPr>
          <w:trHeight w:val="149"/>
        </w:trPr>
        <w:tc>
          <w:tcPr>
            <w:tcW w:w="2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(2,551)</w:t>
            </w:r>
          </w:p>
        </w:tc>
        <w:tc>
          <w:tcPr>
            <w:tcW w:w="200" w:type="dxa"/>
            <w:vAlign w:val="bottom"/>
          </w:tcPr>
          <w:p>
            <w:pPr>
              <w:spacing w:after="0"/>
              <w:rPr>
                <w:sz w:val="12"/>
                <w:szCs w:val="12"/>
                <w:color w:val="auto"/>
              </w:rPr>
            </w:pPr>
          </w:p>
        </w:tc>
        <w:tc>
          <w:tcPr>
            <w:tcW w:w="13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(3,745)</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2"/>
        </w:trPr>
        <w:tc>
          <w:tcPr>
            <w:tcW w:w="26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$ 37,115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7,305</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12,357</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18,340</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2,455</w:t>
            </w:r>
          </w:p>
        </w:tc>
        <w:tc>
          <w:tcPr>
            <w:tcW w:w="1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$ 240</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77,812</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18"/>
          </w:tcPr>
          <w:p>
            <w:pPr>
              <w:ind w:left="880"/>
              <w:spacing w:after="0"/>
              <w:rPr>
                <w:sz w:val="20"/>
                <w:szCs w:val="20"/>
                <w:color w:val="auto"/>
              </w:rPr>
            </w:pPr>
            <w:r>
              <w:rPr>
                <w:rFonts w:ascii="Times New Roman" w:cs="Times New Roman" w:eastAsia="Times New Roman" w:hAnsi="Times New Roman"/>
                <w:sz w:val="14"/>
                <w:szCs w:val="14"/>
                <w:b w:val="1"/>
                <w:bCs w:val="1"/>
                <w:color w:val="auto"/>
              </w:rPr>
              <w:t>At or for the Six Months Ended June 30, 2025</w:t>
            </w: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9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4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5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40" w:type="dxa"/>
            <w:vAlign w:val="bottom"/>
          </w:tcPr>
          <w:p>
            <w:pPr>
              <w:spacing w:after="0"/>
              <w:rPr>
                <w:sz w:val="12"/>
                <w:szCs w:val="12"/>
                <w:color w:val="auto"/>
              </w:rPr>
            </w:pPr>
          </w:p>
        </w:tc>
        <w:tc>
          <w:tcPr>
            <w:tcW w:w="11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Cooperative/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58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Condominium</w:t>
            </w:r>
          </w:p>
        </w:tc>
        <w:tc>
          <w:tcPr>
            <w:tcW w:w="4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40" w:type="dxa"/>
            <w:vAlign w:val="bottom"/>
          </w:tcPr>
          <w:p>
            <w:pPr>
              <w:spacing w:after="0"/>
              <w:rPr>
                <w:sz w:val="12"/>
                <w:szCs w:val="12"/>
                <w:color w:val="auto"/>
              </w:rPr>
            </w:pPr>
          </w:p>
        </w:tc>
        <w:tc>
          <w:tcPr>
            <w:tcW w:w="6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ADC</w:t>
            </w:r>
          </w:p>
        </w:tc>
        <w:tc>
          <w:tcPr>
            <w:tcW w:w="5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4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40" w:type="dxa"/>
            <w:vAlign w:val="bottom"/>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5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$ 42,898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9,501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11,946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21,876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$ 207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88,751</w:t>
            </w:r>
          </w:p>
        </w:tc>
        <w:tc>
          <w:tcPr>
            <w:tcW w:w="0" w:type="dxa"/>
            <w:vAlign w:val="bottom"/>
          </w:tcPr>
          <w:p>
            <w:pPr>
              <w:spacing w:after="0"/>
              <w:rPr>
                <w:sz w:val="1"/>
                <w:szCs w:val="1"/>
                <w:color w:val="auto"/>
              </w:rPr>
            </w:pPr>
          </w:p>
        </w:tc>
      </w:tr>
      <w:tr>
        <w:trPr>
          <w:trHeight w:val="148"/>
        </w:trPr>
        <w:tc>
          <w:tcPr>
            <w:tcW w:w="26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4,965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9,948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16,901</w:t>
            </w:r>
          </w:p>
        </w:tc>
        <w:tc>
          <w:tcPr>
            <w:tcW w:w="0" w:type="dxa"/>
            <w:vAlign w:val="bottom"/>
          </w:tcPr>
          <w:p>
            <w:pPr>
              <w:spacing w:after="0"/>
              <w:rPr>
                <w:sz w:val="1"/>
                <w:szCs w:val="1"/>
                <w:color w:val="auto"/>
              </w:rPr>
            </w:pPr>
          </w:p>
        </w:tc>
      </w:tr>
      <w:tr>
        <w:trPr>
          <w:trHeight w:val="148"/>
        </w:trPr>
        <w:tc>
          <w:tcPr>
            <w:tcW w:w="26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6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(5,233)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(7,498)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(12,819)</w:t>
            </w:r>
          </w:p>
        </w:tc>
        <w:tc>
          <w:tcPr>
            <w:tcW w:w="0" w:type="dxa"/>
            <w:vAlign w:val="bottom"/>
          </w:tcPr>
          <w:p>
            <w:pPr>
              <w:spacing w:after="0"/>
              <w:rPr>
                <w:sz w:val="1"/>
                <w:szCs w:val="1"/>
                <w:color w:val="auto"/>
              </w:rPr>
            </w:pPr>
          </w:p>
        </w:tc>
      </w:tr>
      <w:tr>
        <w:trPr>
          <w:trHeight w:val="148"/>
        </w:trPr>
        <w:tc>
          <w:tcPr>
            <w:tcW w:w="26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356</w:t>
            </w:r>
          </w:p>
        </w:tc>
        <w:tc>
          <w:tcPr>
            <w:tcW w:w="0" w:type="dxa"/>
            <w:vAlign w:val="bottom"/>
          </w:tcPr>
          <w:p>
            <w:pPr>
              <w:spacing w:after="0"/>
              <w:rPr>
                <w:sz w:val="1"/>
                <w:szCs w:val="1"/>
                <w:color w:val="auto"/>
              </w:rPr>
            </w:pPr>
          </w:p>
        </w:tc>
      </w:tr>
      <w:tr>
        <w:trPr>
          <w:trHeight w:val="142"/>
        </w:trPr>
        <w:tc>
          <w:tcPr>
            <w:tcW w:w="26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$ 42,965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13,667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24,326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$ 284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93,189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7"/>
          </w:tcPr>
          <w:p>
            <w:pPr>
              <w:ind w:left="20"/>
              <w:spacing w:after="0"/>
              <w:rPr>
                <w:sz w:val="20"/>
                <w:szCs w:val="20"/>
                <w:color w:val="auto"/>
              </w:rPr>
            </w:pPr>
            <w:r>
              <w:rPr>
                <w:rFonts w:ascii="Times New Roman" w:cs="Times New Roman" w:eastAsia="Times New Roman" w:hAnsi="Times New Roman"/>
                <w:sz w:val="14"/>
                <w:szCs w:val="14"/>
                <w:b w:val="1"/>
                <w:bCs w:val="1"/>
                <w:color w:val="auto"/>
              </w:rPr>
              <w:t>At or for the Six Months Ended June 30, 2024</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One-to-Four</w:t>
            </w:r>
          </w:p>
        </w:tc>
        <w:tc>
          <w:tcPr>
            <w:tcW w:w="40" w:type="dxa"/>
            <w:vAlign w:val="bottom"/>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Family</w:t>
            </w:r>
          </w:p>
        </w:tc>
        <w:tc>
          <w:tcPr>
            <w:tcW w:w="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 and</w:t>
            </w:r>
          </w:p>
        </w:tc>
        <w:tc>
          <w:tcPr>
            <w:tcW w:w="40" w:type="dxa"/>
            <w:vAlign w:val="bottom"/>
          </w:tcPr>
          <w:p>
            <w:pPr>
              <w:spacing w:after="0"/>
              <w:rPr>
                <w:sz w:val="12"/>
                <w:szCs w:val="12"/>
                <w:color w:val="auto"/>
              </w:rPr>
            </w:pPr>
          </w:p>
        </w:tc>
        <w:tc>
          <w:tcPr>
            <w:tcW w:w="8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40" w:type="dxa"/>
            <w:vAlign w:val="bottom"/>
          </w:tcPr>
          <w:p>
            <w:pPr>
              <w:spacing w:after="0"/>
              <w:rPr>
                <w:sz w:val="12"/>
                <w:szCs w:val="12"/>
                <w:color w:val="auto"/>
              </w:rPr>
            </w:pPr>
          </w:p>
        </w:tc>
        <w:tc>
          <w:tcPr>
            <w:tcW w:w="15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Non-Owner-Occupied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Cooperative/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4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Condominium</w:t>
            </w:r>
          </w:p>
        </w:tc>
        <w:tc>
          <w:tcPr>
            <w:tcW w:w="40" w:type="dxa"/>
            <w:vAlign w:val="bottom"/>
          </w:tcPr>
          <w:p>
            <w:pPr>
              <w:spacing w:after="0"/>
              <w:rPr>
                <w:sz w:val="12"/>
                <w:szCs w:val="12"/>
                <w:color w:val="auto"/>
              </w:rPr>
            </w:pPr>
          </w:p>
        </w:tc>
        <w:tc>
          <w:tcPr>
            <w:tcW w:w="8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ADC</w:t>
            </w:r>
          </w:p>
        </w:tc>
        <w:tc>
          <w:tcPr>
            <w:tcW w:w="6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Apartment</w:t>
            </w:r>
          </w:p>
        </w:tc>
        <w:tc>
          <w:tcPr>
            <w:tcW w:w="40" w:type="dxa"/>
            <w:vAlign w:val="bottom"/>
          </w:tcPr>
          <w:p>
            <w:pPr>
              <w:spacing w:after="0"/>
              <w:rPr>
                <w:sz w:val="15"/>
                <w:szCs w:val="15"/>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Mixed-Use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Real Estate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Beginning balance</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$ 35,962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7,237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19,623</w:t>
            </w: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1,989</w:t>
            </w:r>
          </w:p>
        </w:tc>
        <w:tc>
          <w:tcPr>
            <w:tcW w:w="80" w:type="dxa"/>
            <w:vAlign w:val="bottom"/>
          </w:tcPr>
          <w:p>
            <w:pPr>
              <w:spacing w:after="0"/>
              <w:rPr>
                <w:sz w:val="12"/>
                <w:szCs w:val="12"/>
                <w:color w:val="auto"/>
              </w:rPr>
            </w:pPr>
          </w:p>
        </w:tc>
        <w:tc>
          <w:tcPr>
            <w:tcW w:w="4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$ 119</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71,743</w:t>
            </w:r>
          </w:p>
        </w:tc>
        <w:tc>
          <w:tcPr>
            <w:tcW w:w="0" w:type="dxa"/>
            <w:vAlign w:val="bottom"/>
          </w:tcPr>
          <w:p>
            <w:pPr>
              <w:spacing w:after="0"/>
              <w:rPr>
                <w:sz w:val="1"/>
                <w:szCs w:val="1"/>
                <w:color w:val="auto"/>
              </w:rPr>
            </w:pPr>
          </w:p>
        </w:tc>
      </w:tr>
      <w:tr>
        <w:trPr>
          <w:trHeight w:val="148"/>
        </w:trPr>
        <w:tc>
          <w:tcPr>
            <w:tcW w:w="26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Provision (recovery) for credit losses</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7,671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10,448</w:t>
            </w:r>
          </w:p>
        </w:tc>
        <w:tc>
          <w:tcPr>
            <w:tcW w:w="0" w:type="dxa"/>
            <w:vAlign w:val="bottom"/>
          </w:tcPr>
          <w:p>
            <w:pPr>
              <w:spacing w:after="0"/>
              <w:rPr>
                <w:sz w:val="1"/>
                <w:szCs w:val="1"/>
                <w:color w:val="auto"/>
              </w:rPr>
            </w:pPr>
          </w:p>
        </w:tc>
      </w:tr>
      <w:tr>
        <w:trPr>
          <w:trHeight w:val="148"/>
        </w:trPr>
        <w:tc>
          <w:tcPr>
            <w:tcW w:w="26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Charge-offs</w:t>
            </w:r>
          </w:p>
        </w:tc>
        <w:tc>
          <w:tcPr>
            <w:tcW w:w="74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(1,975)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(2,551)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4"/>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(4,571)</w:t>
            </w:r>
          </w:p>
        </w:tc>
        <w:tc>
          <w:tcPr>
            <w:tcW w:w="0" w:type="dxa"/>
            <w:vAlign w:val="bottom"/>
          </w:tcPr>
          <w:p>
            <w:pPr>
              <w:spacing w:after="0"/>
              <w:rPr>
                <w:sz w:val="1"/>
                <w:szCs w:val="1"/>
                <w:color w:val="auto"/>
              </w:rPr>
            </w:pPr>
          </w:p>
        </w:tc>
      </w:tr>
      <w:tr>
        <w:trPr>
          <w:trHeight w:val="148"/>
        </w:trPr>
        <w:tc>
          <w:tcPr>
            <w:tcW w:w="26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Recoveries</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42"/>
        </w:trPr>
        <w:tc>
          <w:tcPr>
            <w:tcW w:w="26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Ending balance</w:t>
            </w: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$ 37,115</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7,305</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12,357</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18,340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2,455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$ 240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77,812</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the amortized cost basis of loans on non-accrual status as of the periods indicated: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183"/>
        </w:trPr>
        <w:tc>
          <w:tcPr>
            <w:tcW w:w="5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Related</w:t>
            </w:r>
          </w:p>
        </w:tc>
      </w:tr>
      <w:tr>
        <w:trPr>
          <w:trHeight w:val="215"/>
        </w:trPr>
        <w:tc>
          <w:tcPr>
            <w:tcW w:w="5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No Allowance</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Allowance</w:t>
            </w:r>
          </w:p>
        </w:tc>
      </w:tr>
      <w:tr>
        <w:trPr>
          <w:trHeight w:val="19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loans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3,669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14,338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11,947</w:t>
            </w:r>
          </w:p>
        </w:tc>
      </w:tr>
      <w:tr>
        <w:trPr>
          <w:trHeight w:val="202"/>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One-to-four family residential and cooperative/condominium apartment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w:t>
            </w:r>
          </w:p>
        </w:tc>
      </w:tr>
      <w:tr>
        <w:trPr>
          <w:trHeight w:val="20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32,893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w:t>
            </w:r>
          </w:p>
        </w:tc>
      </w:tr>
      <w:tr>
        <w:trPr>
          <w:trHeight w:val="203"/>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ADC</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657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261</w:t>
            </w:r>
          </w:p>
        </w:tc>
      </w:tr>
      <w:tr>
        <w:trPr>
          <w:trHeight w:val="196"/>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36,562</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16,652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12,239</w:t>
            </w: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406"/>
        </w:trPr>
        <w:tc>
          <w:tcPr>
            <w:tcW w:w="5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6"/>
        </w:trPr>
        <w:tc>
          <w:tcPr>
            <w:tcW w:w="5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100" w:type="dxa"/>
            <w:vAlign w:val="bottom"/>
          </w:tcPr>
          <w:p>
            <w:pPr>
              <w:spacing w:after="0"/>
              <w:rPr>
                <w:sz w:val="16"/>
                <w:szCs w:val="16"/>
                <w:color w:val="auto"/>
              </w:rPr>
            </w:pP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Non-accrual with</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80" w:type="dxa"/>
            <w:vAlign w:val="bottom"/>
          </w:tcPr>
          <w:p>
            <w:pPr>
              <w:spacing w:after="0"/>
              <w:rPr>
                <w:sz w:val="16"/>
                <w:szCs w:val="16"/>
                <w:color w:val="auto"/>
              </w:rPr>
            </w:pPr>
          </w:p>
        </w:tc>
      </w:tr>
      <w:tr>
        <w:trPr>
          <w:trHeight w:val="215"/>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No Allowance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Allowance</w:t>
            </w:r>
          </w:p>
        </w:tc>
      </w:tr>
      <w:tr>
        <w:trPr>
          <w:trHeight w:val="199"/>
        </w:trPr>
        <w:tc>
          <w:tcPr>
            <w:tcW w:w="5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loans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w:t>
            </w:r>
          </w:p>
        </w:tc>
        <w:tc>
          <w:tcPr>
            <w:tcW w:w="80" w:type="dxa"/>
            <w:vAlign w:val="bottom"/>
          </w:tcPr>
          <w:p>
            <w:pPr>
              <w:spacing w:after="0"/>
              <w:rPr>
                <w:sz w:val="17"/>
                <w:szCs w:val="17"/>
                <w:color w:val="auto"/>
              </w:rPr>
            </w:pP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One-to-four family residential and cooperative/condominium apartment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r>
      <w:tr>
        <w:trPr>
          <w:trHeight w:val="20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Non-owner-occupied commercial real estate</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80" w:type="dxa"/>
            <w:vAlign w:val="bottom"/>
          </w:tcPr>
          <w:p>
            <w:pPr>
              <w:spacing w:after="0"/>
              <w:rPr>
                <w:sz w:val="17"/>
                <w:szCs w:val="17"/>
                <w:color w:val="auto"/>
              </w:rPr>
            </w:pPr>
          </w:p>
        </w:tc>
      </w:tr>
      <w:tr>
        <w:trPr>
          <w:trHeight w:val="20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ADC</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7"/>
                <w:szCs w:val="17"/>
                <w:color w:val="auto"/>
              </w:rPr>
            </w:pPr>
          </w:p>
        </w:tc>
      </w:tr>
      <w:tr>
        <w:trPr>
          <w:trHeight w:val="20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loans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7"/>
                <w:szCs w:val="17"/>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16,585</w:t>
            </w:r>
          </w:p>
        </w:tc>
        <w:tc>
          <w:tcPr>
            <w:tcW w:w="8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The Company did not recognize interest income on non-accrual loans held for investment during the three or six months ended June 30, 2025 and 2024.</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past due status of the Company’s investment in loans as of the dates indicated:</w:t>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3"/>
                <w:szCs w:val="13"/>
                <w:b w:val="1"/>
                <w:bCs w:val="1"/>
                <w:color w:val="auto"/>
              </w:rPr>
              <w:t>Loans 90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Days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30 to 59</w:t>
            </w: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60 to 89</w:t>
            </w:r>
          </w:p>
        </w:tc>
        <w:tc>
          <w:tcPr>
            <w:tcW w:w="100" w:type="dxa"/>
            <w:vAlign w:val="bottom"/>
          </w:tcPr>
          <w:p>
            <w:pPr>
              <w:spacing w:after="0"/>
              <w:rPr>
                <w:sz w:val="12"/>
                <w:szCs w:val="12"/>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More Past Due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2"/>
                <w:szCs w:val="12"/>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and Still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2580" w:type="dxa"/>
            <w:vAlign w:val="bottom"/>
            <w:gridSpan w:val="2"/>
            <w:vMerge w:val="continue"/>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Accruing Interest</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1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4"/>
                <w:szCs w:val="14"/>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Loans</w:t>
            </w:r>
          </w:p>
        </w:tc>
        <w:tc>
          <w:tcPr>
            <w:tcW w:w="0" w:type="dxa"/>
            <w:vAlign w:val="bottom"/>
          </w:tcPr>
          <w:p>
            <w:pPr>
              <w:spacing w:after="0"/>
              <w:rPr>
                <w:sz w:val="1"/>
                <w:szCs w:val="1"/>
                <w:color w:val="auto"/>
              </w:rPr>
            </w:pPr>
          </w:p>
        </w:tc>
      </w:tr>
      <w:tr>
        <w:trPr>
          <w:trHeight w:val="142"/>
        </w:trPr>
        <w:tc>
          <w:tcPr>
            <w:tcW w:w="24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5,547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5,746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18,007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29,300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2,872,648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2,901,948</w:t>
            </w:r>
          </w:p>
        </w:tc>
        <w:tc>
          <w:tcPr>
            <w:tcW w:w="0" w:type="dxa"/>
            <w:vAlign w:val="bottom"/>
          </w:tcPr>
          <w:p>
            <w:pPr>
              <w:spacing w:after="0"/>
              <w:rPr>
                <w:sz w:val="1"/>
                <w:szCs w:val="1"/>
                <w:color w:val="auto"/>
              </w:rPr>
            </w:pPr>
          </w:p>
        </w:tc>
      </w:tr>
      <w:tr>
        <w:trPr>
          <w:trHeight w:val="126"/>
        </w:trPr>
        <w:tc>
          <w:tcPr>
            <w:tcW w:w="25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and</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1,109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1,642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2,751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995,695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998,446</w:t>
            </w:r>
          </w:p>
        </w:tc>
        <w:tc>
          <w:tcPr>
            <w:tcW w:w="0" w:type="dxa"/>
            <w:vAlign w:val="bottom"/>
          </w:tcPr>
          <w:p>
            <w:pPr>
              <w:spacing w:after="0"/>
              <w:rPr>
                <w:sz w:val="1"/>
                <w:szCs w:val="1"/>
                <w:color w:val="auto"/>
              </w:rPr>
            </w:pPr>
          </w:p>
        </w:tc>
      </w:tr>
      <w:tr>
        <w:trPr>
          <w:trHeight w:val="171"/>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cooperative/condominium apartment</w:t>
            </w: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21,314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27,605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48,919</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3,644,506</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3,693,425</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mixed-use</w:t>
            </w: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Non-owner-occupied commercial real</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32,908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33,085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3,095,035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3,128,120</w:t>
            </w:r>
          </w:p>
        </w:tc>
        <w:tc>
          <w:tcPr>
            <w:tcW w:w="0" w:type="dxa"/>
            <w:vAlign w:val="bottom"/>
          </w:tcPr>
          <w:p>
            <w:pPr>
              <w:spacing w:after="0"/>
              <w:rPr>
                <w:sz w:val="1"/>
                <w:szCs w:val="1"/>
                <w:color w:val="auto"/>
              </w:rPr>
            </w:pPr>
          </w:p>
        </w:tc>
      </w:tr>
      <w:tr>
        <w:trPr>
          <w:trHeight w:val="171"/>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estate</w:t>
            </w: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141,098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141,755</w:t>
            </w:r>
          </w:p>
        </w:tc>
        <w:tc>
          <w:tcPr>
            <w:tcW w:w="0" w:type="dxa"/>
            <w:vAlign w:val="bottom"/>
          </w:tcPr>
          <w:p>
            <w:pPr>
              <w:spacing w:after="0"/>
              <w:rPr>
                <w:sz w:val="1"/>
                <w:szCs w:val="1"/>
                <w:color w:val="auto"/>
              </w:rPr>
            </w:pPr>
          </w:p>
        </w:tc>
      </w:tr>
      <w:tr>
        <w:trPr>
          <w:trHeight w:val="149"/>
        </w:trPr>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6,334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6,336</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28,148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$ 33,352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53,214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114,714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10,755,316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10,870,030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3"/>
                <w:szCs w:val="13"/>
                <w:b w:val="1"/>
                <w:bCs w:val="1"/>
                <w:color w:val="auto"/>
              </w:rPr>
              <w:t>Loans 90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Days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30 to 59</w:t>
            </w: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60 to 89</w:t>
            </w:r>
          </w:p>
        </w:tc>
        <w:tc>
          <w:tcPr>
            <w:tcW w:w="100" w:type="dxa"/>
            <w:vAlign w:val="bottom"/>
          </w:tcPr>
          <w:p>
            <w:pPr>
              <w:spacing w:after="0"/>
              <w:rPr>
                <w:sz w:val="12"/>
                <w:szCs w:val="12"/>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More Past Due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Days</w:t>
            </w:r>
          </w:p>
        </w:tc>
        <w:tc>
          <w:tcPr>
            <w:tcW w:w="8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2"/>
                <w:szCs w:val="12"/>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and Still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5"/>
        </w:trPr>
        <w:tc>
          <w:tcPr>
            <w:tcW w:w="2580" w:type="dxa"/>
            <w:vAlign w:val="bottom"/>
            <w:gridSpan w:val="2"/>
            <w:vMerge w:val="continue"/>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7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Accruing Interest</w:t>
            </w:r>
          </w:p>
        </w:tc>
        <w:tc>
          <w:tcPr>
            <w:tcW w:w="1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9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1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4"/>
                <w:szCs w:val="14"/>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Loans</w:t>
            </w:r>
          </w:p>
        </w:tc>
        <w:tc>
          <w:tcPr>
            <w:tcW w:w="0" w:type="dxa"/>
            <w:vAlign w:val="bottom"/>
          </w:tcPr>
          <w:p>
            <w:pPr>
              <w:spacing w:after="0"/>
              <w:rPr>
                <w:sz w:val="1"/>
                <w:szCs w:val="1"/>
                <w:color w:val="auto"/>
              </w:rPr>
            </w:pPr>
          </w:p>
        </w:tc>
      </w:tr>
      <w:tr>
        <w:trPr>
          <w:trHeight w:val="142"/>
        </w:trPr>
        <w:tc>
          <w:tcPr>
            <w:tcW w:w="24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28,450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2,697,276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2,725,726</w:t>
            </w:r>
          </w:p>
        </w:tc>
        <w:tc>
          <w:tcPr>
            <w:tcW w:w="0" w:type="dxa"/>
            <w:vAlign w:val="bottom"/>
          </w:tcPr>
          <w:p>
            <w:pPr>
              <w:spacing w:after="0"/>
              <w:rPr>
                <w:sz w:val="1"/>
                <w:szCs w:val="1"/>
                <w:color w:val="auto"/>
              </w:rPr>
            </w:pPr>
          </w:p>
        </w:tc>
      </w:tr>
      <w:tr>
        <w:trPr>
          <w:trHeight w:val="126"/>
        </w:trPr>
        <w:tc>
          <w:tcPr>
            <w:tcW w:w="25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and</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6,403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945,125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951,528</w:t>
            </w:r>
          </w:p>
        </w:tc>
        <w:tc>
          <w:tcPr>
            <w:tcW w:w="0" w:type="dxa"/>
            <w:vAlign w:val="bottom"/>
          </w:tcPr>
          <w:p>
            <w:pPr>
              <w:spacing w:after="0"/>
              <w:rPr>
                <w:sz w:val="1"/>
                <w:szCs w:val="1"/>
                <w:color w:val="auto"/>
              </w:rPr>
            </w:pPr>
          </w:p>
        </w:tc>
      </w:tr>
      <w:tr>
        <w:trPr>
          <w:trHeight w:val="171"/>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cooperative/condominium apartment</w:t>
            </w: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31,360</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3,788,923</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3,820,283</w:t>
            </w:r>
          </w:p>
        </w:tc>
        <w:tc>
          <w:tcPr>
            <w:tcW w:w="0" w:type="dxa"/>
            <w:vAlign w:val="bottom"/>
          </w:tcPr>
          <w:p>
            <w:pPr>
              <w:spacing w:after="0"/>
              <w:rPr>
                <w:sz w:val="1"/>
                <w:szCs w:val="1"/>
                <w:color w:val="auto"/>
              </w:rPr>
            </w:pPr>
          </w:p>
        </w:tc>
      </w:tr>
      <w:tr>
        <w:trPr>
          <w:trHeight w:val="171"/>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mixed-use</w:t>
            </w: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Non-owner-occupied commercial real</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22,960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3,206,310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3,230,535</w:t>
            </w:r>
          </w:p>
        </w:tc>
        <w:tc>
          <w:tcPr>
            <w:tcW w:w="0" w:type="dxa"/>
            <w:vAlign w:val="bottom"/>
          </w:tcPr>
          <w:p>
            <w:pPr>
              <w:spacing w:after="0"/>
              <w:rPr>
                <w:sz w:val="1"/>
                <w:szCs w:val="1"/>
                <w:color w:val="auto"/>
              </w:rPr>
            </w:pPr>
          </w:p>
        </w:tc>
      </w:tr>
      <w:tr>
        <w:trPr>
          <w:trHeight w:val="171"/>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estate</w:t>
            </w: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135,515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136,172</w:t>
            </w:r>
          </w:p>
        </w:tc>
        <w:tc>
          <w:tcPr>
            <w:tcW w:w="0" w:type="dxa"/>
            <w:vAlign w:val="bottom"/>
          </w:tcPr>
          <w:p>
            <w:pPr>
              <w:spacing w:after="0"/>
              <w:rPr>
                <w:sz w:val="1"/>
                <w:szCs w:val="1"/>
                <w:color w:val="auto"/>
              </w:rPr>
            </w:pPr>
          </w:p>
        </w:tc>
      </w:tr>
      <w:tr>
        <w:trPr>
          <w:trHeight w:val="148"/>
        </w:trPr>
        <w:tc>
          <w:tcPr>
            <w:tcW w:w="25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5,084</w:t>
            </w: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$ 31,313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ind w:left="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49,479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91,122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10,778,206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10,869,328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accruing loans 90 days or more past due at June 30, 2025 or at December 31, 2024.</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Collateral Dependent Loans:</w:t>
      </w:r>
    </w:p>
    <w:p>
      <w:pPr>
        <w:spacing w:after="0" w:line="227" w:lineRule="exact"/>
        <w:rPr>
          <w:sz w:val="20"/>
          <w:szCs w:val="20"/>
          <w:color w:val="auto"/>
        </w:rPr>
      </w:pPr>
    </w:p>
    <w:p>
      <w:pPr>
        <w:jc w:val="both"/>
        <w:ind w:left="60" w:right="80"/>
        <w:spacing w:after="0" w:line="282" w:lineRule="auto"/>
        <w:rPr>
          <w:sz w:val="20"/>
          <w:szCs w:val="20"/>
          <w:color w:val="auto"/>
        </w:rPr>
      </w:pPr>
      <w:r>
        <w:rPr>
          <w:rFonts w:ascii="Times New Roman" w:cs="Times New Roman" w:eastAsia="Times New Roman" w:hAnsi="Times New Roman"/>
          <w:sz w:val="18"/>
          <w:szCs w:val="18"/>
          <w:color w:val="auto"/>
        </w:rPr>
        <w:t>The Company had collateral dependent loans which were individually evaluated to determine expected credit losses as of the dates indicated: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5"/>
                <w:szCs w:val="15"/>
                <w:color w:val="auto"/>
              </w:rPr>
            </w:pPr>
          </w:p>
        </w:tc>
        <w:tc>
          <w:tcPr>
            <w:tcW w:w="2540" w:type="dxa"/>
            <w:vAlign w:val="bottom"/>
            <w:gridSpan w:val="4"/>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Associated</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Associated</w:t>
            </w: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73"/>
        </w:trPr>
        <w:tc>
          <w:tcPr>
            <w:tcW w:w="3320" w:type="dxa"/>
            <w:vAlign w:val="bottom"/>
            <w:gridSpan w:val="2"/>
            <w:vMerge w:val="continue"/>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Collateral Dependent</w:t>
            </w:r>
          </w:p>
        </w:tc>
        <w:tc>
          <w:tcPr>
            <w:tcW w:w="80" w:type="dxa"/>
            <w:vAlign w:val="bottom"/>
          </w:tcPr>
          <w:p>
            <w:pPr>
              <w:spacing w:after="0"/>
              <w:rPr>
                <w:sz w:val="15"/>
                <w:szCs w:val="15"/>
                <w:color w:val="auto"/>
              </w:rPr>
            </w:pPr>
          </w:p>
        </w:tc>
        <w:tc>
          <w:tcPr>
            <w:tcW w:w="116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for Credit Losses</w:t>
            </w:r>
          </w:p>
        </w:tc>
        <w:tc>
          <w:tcPr>
            <w:tcW w:w="0" w:type="dxa"/>
            <w:vAlign w:val="bottom"/>
          </w:tcPr>
          <w:p>
            <w:pPr>
              <w:spacing w:after="0"/>
              <w:rPr>
                <w:sz w:val="1"/>
                <w:szCs w:val="1"/>
                <w:color w:val="auto"/>
              </w:rPr>
            </w:pPr>
          </w:p>
        </w:tc>
      </w:tr>
      <w:tr>
        <w:trPr>
          <w:trHeight w:val="142"/>
        </w:trPr>
        <w:tc>
          <w:tcPr>
            <w:tcW w:w="32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8,740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1,370</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9,290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8"/>
        </w:trPr>
        <w:tc>
          <w:tcPr>
            <w:tcW w:w="3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33,460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261</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42"/>
        </w:trPr>
        <w:tc>
          <w:tcPr>
            <w:tcW w:w="33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42,857</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1,631</w:t>
            </w:r>
          </w:p>
        </w:tc>
        <w:tc>
          <w:tcPr>
            <w:tcW w:w="120" w:type="dxa"/>
            <w:vAlign w:val="bottom"/>
          </w:tcPr>
          <w:p>
            <w:pPr>
              <w:spacing w:after="0"/>
              <w:rPr>
                <w:sz w:val="12"/>
                <w:szCs w:val="12"/>
                <w:color w:val="auto"/>
              </w:rPr>
            </w:pPr>
          </w:p>
        </w:tc>
        <w:tc>
          <w:tcPr>
            <w:tcW w:w="2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32,891</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2,111</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Loan Restructurings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tables presents loans modified to borrowers experiencing financial difficulty, disaggregated by loan category and type of concession granted during the three and six months ended June 30, 2025 and 2024:</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14"/>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For the Three Months Ended June 30, 2025</w:t>
            </w: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95"/>
        </w:trPr>
        <w:tc>
          <w:tcPr>
            <w:tcW w:w="2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Significant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Extension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160" w:type="dxa"/>
            <w:vAlign w:val="bottom"/>
          </w:tcPr>
          <w:p>
            <w:pPr>
              <w:spacing w:after="0"/>
              <w:rPr>
                <w:sz w:val="13"/>
                <w:szCs w:val="13"/>
                <w:color w:val="auto"/>
              </w:rPr>
            </w:pPr>
          </w:p>
        </w:tc>
        <w:tc>
          <w:tcPr>
            <w:tcW w:w="60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4"/>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r>
      <w:tr>
        <w:trPr>
          <w:trHeight w:val="128"/>
        </w:trPr>
        <w:tc>
          <w:tcPr>
            <w:tcW w:w="276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tcBorders>
            <w:gridSpan w:val="2"/>
            <w:shd w:val="clear" w:color="auto" w:fill="CCEEFF"/>
          </w:tcPr>
          <w:p>
            <w:pPr>
              <w:ind w:left="500"/>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0.0</w:t>
            </w:r>
          </w:p>
        </w:tc>
        <w:tc>
          <w:tcPr>
            <w:tcW w:w="14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r>
      <w:tr>
        <w:trPr>
          <w:trHeight w:val="135"/>
        </w:trPr>
        <w:tc>
          <w:tcPr>
            <w:tcW w:w="2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22,262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6,469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28,731</w:t>
            </w:r>
          </w:p>
        </w:tc>
        <w:tc>
          <w:tcPr>
            <w:tcW w:w="76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9"/>
        </w:trPr>
        <w:tc>
          <w:tcPr>
            <w:tcW w:w="2900" w:type="dxa"/>
            <w:vAlign w:val="bottom"/>
            <w:tcBorders>
              <w:top w:val="single" w:sz="8" w:color="CCEEFF"/>
              <w:bottom w:val="single" w:sz="8" w:color="CCEEFF"/>
            </w:tcBorders>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22,262</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6,469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gridSpan w:val="2"/>
            <w:shd w:val="clear" w:color="auto" w:fill="CCEEFF"/>
          </w:tcPr>
          <w:p>
            <w:pPr>
              <w:ind w:left="500"/>
              <w:spacing w:after="0" w:line="129" w:lineRule="exact"/>
              <w:rPr>
                <w:sz w:val="20"/>
                <w:szCs w:val="20"/>
                <w:color w:val="auto"/>
              </w:rPr>
            </w:pPr>
            <w:r>
              <w:rPr>
                <w:rFonts w:ascii="Times New Roman" w:cs="Times New Roman" w:eastAsia="Times New Roman" w:hAnsi="Times New Roman"/>
                <w:sz w:val="13"/>
                <w:szCs w:val="13"/>
                <w:b w:val="1"/>
                <w:bCs w:val="1"/>
                <w:color w:val="auto"/>
              </w:rPr>
              <w:t>— $</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28,783</w:t>
            </w:r>
          </w:p>
        </w:tc>
        <w:tc>
          <w:tcPr>
            <w:tcW w:w="900" w:type="dxa"/>
            <w:vAlign w:val="bottom"/>
            <w:tcBorders>
              <w:top w:val="single" w:sz="8" w:color="CCEEFF"/>
              <w:bottom w:val="single" w:sz="8" w:color="CCEEFF"/>
            </w:tcBorders>
            <w:gridSpan w:val="6"/>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0.3 %</w:t>
            </w: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1"/>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6"/>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For the Three Months Ended June 30, 2024</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2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3"/>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Extension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160" w:type="dxa"/>
            <w:vAlign w:val="bottom"/>
          </w:tcPr>
          <w:p>
            <w:pPr>
              <w:spacing w:after="0"/>
              <w:rPr>
                <w:sz w:val="13"/>
                <w:szCs w:val="13"/>
                <w:color w:val="auto"/>
              </w:rPr>
            </w:pP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r>
      <w:tr>
        <w:trPr>
          <w:trHeight w:val="128"/>
        </w:trPr>
        <w:tc>
          <w:tcPr>
            <w:tcW w:w="2780" w:type="dxa"/>
            <w:vAlign w:val="bottom"/>
            <w:tcBorders>
              <w:top w:val="single" w:sz="8" w:color="auto"/>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1,200</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gridSpan w:val="2"/>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1,200</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ind w:left="420"/>
              <w:spacing w:after="0" w:line="129" w:lineRule="exact"/>
              <w:rPr>
                <w:sz w:val="20"/>
                <w:szCs w:val="20"/>
                <w:color w:val="auto"/>
              </w:rPr>
            </w:pPr>
            <w:r>
              <w:rPr>
                <w:rFonts w:ascii="Times New Roman" w:cs="Times New Roman" w:eastAsia="Times New Roman" w:hAnsi="Times New Roman"/>
                <w:sz w:val="13"/>
                <w:szCs w:val="13"/>
                <w:color w:val="auto"/>
              </w:rPr>
              <w:t>0.0</w:t>
            </w:r>
          </w:p>
        </w:tc>
        <w:tc>
          <w:tcPr>
            <w:tcW w:w="12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r>
      <w:tr>
        <w:trPr>
          <w:trHeight w:val="117"/>
        </w:trPr>
        <w:tc>
          <w:tcPr>
            <w:tcW w:w="290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cooperative/condominium apartment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760" w:type="dxa"/>
            <w:vAlign w:val="bottom"/>
            <w:gridSpan w:val="4"/>
          </w:tcPr>
          <w:p>
            <w:pPr>
              <w:ind w:left="580"/>
              <w:spacing w:after="0"/>
              <w:rPr>
                <w:sz w:val="20"/>
                <w:szCs w:val="20"/>
                <w:color w:val="auto"/>
              </w:rPr>
            </w:pPr>
            <w:r>
              <w:rPr>
                <w:rFonts w:ascii="Times New Roman" w:cs="Times New Roman" w:eastAsia="Times New Roman" w:hAnsi="Times New Roman"/>
                <w:sz w:val="13"/>
                <w:szCs w:val="13"/>
                <w:color w:val="auto"/>
                <w:w w:val="98"/>
              </w:rPr>
              <w:t>0.1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2900" w:type="dxa"/>
            <w:vAlign w:val="bottom"/>
            <w:tcBorders>
              <w:top w:val="single" w:sz="8" w:color="CCEEFF"/>
              <w:bottom w:val="single" w:sz="8" w:color="CCEEFF"/>
            </w:tcBorders>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904</w:t>
            </w: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2,104</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CCEEFF"/>
            </w:tcBorders>
            <w:gridSpan w:val="5"/>
            <w:shd w:val="clear" w:color="auto" w:fill="CCEEFF"/>
          </w:tcPr>
          <w:p>
            <w:pPr>
              <w:ind w:left="560"/>
              <w:spacing w:after="0" w:line="129" w:lineRule="exact"/>
              <w:rPr>
                <w:sz w:val="20"/>
                <w:szCs w:val="20"/>
                <w:color w:val="auto"/>
              </w:rPr>
            </w:pPr>
            <w:r>
              <w:rPr>
                <w:rFonts w:ascii="Times New Roman" w:cs="Times New Roman" w:eastAsia="Times New Roman" w:hAnsi="Times New Roman"/>
                <w:sz w:val="13"/>
                <w:szCs w:val="13"/>
                <w:color w:val="auto"/>
                <w:w w:val="98"/>
              </w:rPr>
              <w:t>0.0 %</w:t>
            </w: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1"/>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1"/>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5"/>
              </w:rPr>
              <w:t>For the Six Months Ended June 30, 2025</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2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3"/>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Extension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160" w:type="dxa"/>
            <w:vAlign w:val="bottom"/>
          </w:tcPr>
          <w:p>
            <w:pPr>
              <w:spacing w:after="0"/>
              <w:rPr>
                <w:sz w:val="13"/>
                <w:szCs w:val="13"/>
                <w:color w:val="auto"/>
              </w:rPr>
            </w:pP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r>
      <w:tr>
        <w:trPr>
          <w:trHeight w:val="128"/>
        </w:trPr>
        <w:tc>
          <w:tcPr>
            <w:tcW w:w="2780" w:type="dxa"/>
            <w:vAlign w:val="bottom"/>
            <w:tcBorders>
              <w:top w:val="single" w:sz="8" w:color="auto"/>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506</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13,942</w:t>
            </w: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14,500</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ind w:left="420"/>
              <w:spacing w:after="0" w:line="129" w:lineRule="exact"/>
              <w:rPr>
                <w:sz w:val="20"/>
                <w:szCs w:val="20"/>
                <w:color w:val="auto"/>
              </w:rPr>
            </w:pPr>
            <w:r>
              <w:rPr>
                <w:rFonts w:ascii="Times New Roman" w:cs="Times New Roman" w:eastAsia="Times New Roman" w:hAnsi="Times New Roman"/>
                <w:sz w:val="13"/>
                <w:szCs w:val="13"/>
                <w:color w:val="auto"/>
              </w:rPr>
              <w:t>0.5</w:t>
            </w:r>
          </w:p>
        </w:tc>
        <w:tc>
          <w:tcPr>
            <w:tcW w:w="12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r>
      <w:tr>
        <w:trPr>
          <w:trHeight w:val="135"/>
        </w:trPr>
        <w:tc>
          <w:tcPr>
            <w:tcW w:w="2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49,867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6,469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56,336</w:t>
            </w:r>
          </w:p>
        </w:tc>
        <w:tc>
          <w:tcPr>
            <w:tcW w:w="760" w:type="dxa"/>
            <w:vAlign w:val="bottom"/>
            <w:gridSpan w:val="4"/>
          </w:tcPr>
          <w:p>
            <w:pPr>
              <w:ind w:left="580"/>
              <w:spacing w:after="0" w:line="135" w:lineRule="exact"/>
              <w:rPr>
                <w:sz w:val="20"/>
                <w:szCs w:val="20"/>
                <w:color w:val="auto"/>
              </w:rPr>
            </w:pPr>
            <w:r>
              <w:rPr>
                <w:rFonts w:ascii="Times New Roman" w:cs="Times New Roman" w:eastAsia="Times New Roman" w:hAnsi="Times New Roman"/>
                <w:sz w:val="13"/>
                <w:szCs w:val="13"/>
                <w:color w:val="auto"/>
                <w:w w:val="98"/>
              </w:rPr>
              <w:t>1.5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90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27,755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14,987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42,742</w:t>
            </w:r>
          </w:p>
        </w:tc>
        <w:tc>
          <w:tcPr>
            <w:tcW w:w="760" w:type="dxa"/>
            <w:vAlign w:val="bottom"/>
            <w:gridSpan w:val="4"/>
            <w:shd w:val="clear" w:color="auto" w:fill="CCEEFF"/>
          </w:tcPr>
          <w:p>
            <w:pPr>
              <w:ind w:left="580"/>
              <w:spacing w:after="0" w:line="135" w:lineRule="exact"/>
              <w:rPr>
                <w:sz w:val="20"/>
                <w:szCs w:val="20"/>
                <w:color w:val="auto"/>
              </w:rPr>
            </w:pPr>
            <w:r>
              <w:rPr>
                <w:rFonts w:ascii="Times New Roman" w:cs="Times New Roman" w:eastAsia="Times New Roman" w:hAnsi="Times New Roman"/>
                <w:sz w:val="13"/>
                <w:szCs w:val="13"/>
                <w:color w:val="auto"/>
                <w:w w:val="98"/>
              </w:rPr>
              <w:t>1.4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28"/>
        </w:trPr>
        <w:tc>
          <w:tcPr>
            <w:tcW w:w="29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78,128</w:t>
            </w:r>
          </w:p>
        </w:tc>
        <w:tc>
          <w:tcPr>
            <w:tcW w:w="20" w:type="dxa"/>
            <w:vAlign w:val="bottom"/>
            <w:tcBorders>
              <w:top w:val="single" w:sz="8" w:color="auto"/>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tcBorders>
              <w:top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21,456</w:t>
            </w: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13,942</w:t>
            </w:r>
          </w:p>
        </w:tc>
        <w:tc>
          <w:tcPr>
            <w:tcW w:w="160" w:type="dxa"/>
            <w:vAlign w:val="bottom"/>
            <w:tcBorders>
              <w:top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113,578</w:t>
            </w:r>
          </w:p>
        </w:tc>
        <w:tc>
          <w:tcPr>
            <w:tcW w:w="20" w:type="dxa"/>
            <w:vAlign w:val="bottom"/>
            <w:tcBorders>
              <w:top w:val="single" w:sz="8" w:color="auto"/>
            </w:tcBorders>
          </w:tcPr>
          <w:p>
            <w:pPr>
              <w:spacing w:after="0"/>
              <w:rPr>
                <w:sz w:val="11"/>
                <w:szCs w:val="11"/>
                <w:color w:val="auto"/>
              </w:rPr>
            </w:pPr>
          </w:p>
        </w:tc>
        <w:tc>
          <w:tcPr>
            <w:tcW w:w="880" w:type="dxa"/>
            <w:vAlign w:val="bottom"/>
            <w:gridSpan w:val="5"/>
          </w:tcPr>
          <w:p>
            <w:pPr>
              <w:ind w:left="560"/>
              <w:spacing w:after="0" w:line="129" w:lineRule="exact"/>
              <w:rPr>
                <w:sz w:val="20"/>
                <w:szCs w:val="20"/>
                <w:color w:val="auto"/>
              </w:rPr>
            </w:pPr>
            <w:r>
              <w:rPr>
                <w:rFonts w:ascii="Times New Roman" w:cs="Times New Roman" w:eastAsia="Times New Roman" w:hAnsi="Times New Roman"/>
                <w:sz w:val="13"/>
                <w:szCs w:val="13"/>
                <w:color w:val="auto"/>
                <w:w w:val="98"/>
              </w:rPr>
              <w:t>1.0 %</w:t>
            </w: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1"/>
        </w:trPr>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1"/>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w w:val="95"/>
              </w:rPr>
              <w:t>For the Six Months Ended June 30, 2024</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2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Payment</w:t>
            </w:r>
          </w:p>
        </w:tc>
        <w:tc>
          <w:tcPr>
            <w:tcW w:w="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Delay, Term</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Extension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 of</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r>
      <w:tr>
        <w:trPr>
          <w:trHeight w:val="135"/>
        </w:trPr>
        <w:tc>
          <w:tcPr>
            <w:tcW w:w="2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Term</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Financing</w:t>
            </w:r>
          </w:p>
        </w:tc>
      </w:tr>
      <w:tr>
        <w:trPr>
          <w:trHeight w:val="155"/>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Extension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Delay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Delay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Reduction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160" w:type="dxa"/>
            <w:vAlign w:val="bottom"/>
          </w:tcPr>
          <w:p>
            <w:pPr>
              <w:spacing w:after="0"/>
              <w:rPr>
                <w:sz w:val="13"/>
                <w:szCs w:val="13"/>
                <w:color w:val="auto"/>
              </w:rPr>
            </w:pP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Receivable</w:t>
            </w:r>
          </w:p>
        </w:tc>
      </w:tr>
      <w:tr>
        <w:trPr>
          <w:trHeight w:val="129"/>
        </w:trPr>
        <w:tc>
          <w:tcPr>
            <w:tcW w:w="2780" w:type="dxa"/>
            <w:vAlign w:val="bottom"/>
            <w:tcBorders>
              <w:top w:val="single" w:sz="8" w:color="auto"/>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1,340</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1,201</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288</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w:t>
            </w: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gridSpan w:val="2"/>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2,857</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ind w:left="420"/>
              <w:spacing w:after="0" w:line="129"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r>
      <w:tr>
        <w:trPr>
          <w:trHeight w:val="117"/>
        </w:trPr>
        <w:tc>
          <w:tcPr>
            <w:tcW w:w="290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3"/>
        </w:trPr>
        <w:tc>
          <w:tcPr>
            <w:tcW w:w="29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cooperative/condominium apartment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760" w:type="dxa"/>
            <w:vAlign w:val="bottom"/>
            <w:gridSpan w:val="4"/>
          </w:tcPr>
          <w:p>
            <w:pPr>
              <w:ind w:left="580"/>
              <w:spacing w:after="0"/>
              <w:rPr>
                <w:sz w:val="20"/>
                <w:szCs w:val="20"/>
                <w:color w:val="auto"/>
              </w:rPr>
            </w:pPr>
            <w:r>
              <w:rPr>
                <w:rFonts w:ascii="Times New Roman" w:cs="Times New Roman" w:eastAsia="Times New Roman" w:hAnsi="Times New Roman"/>
                <w:sz w:val="13"/>
                <w:szCs w:val="13"/>
                <w:color w:val="auto"/>
                <w:w w:val="98"/>
              </w:rPr>
              <w:t>0.1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90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52,290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52,290</w:t>
            </w:r>
          </w:p>
        </w:tc>
        <w:tc>
          <w:tcPr>
            <w:tcW w:w="760" w:type="dxa"/>
            <w:vAlign w:val="bottom"/>
            <w:gridSpan w:val="4"/>
            <w:shd w:val="clear" w:color="auto" w:fill="CCEEFF"/>
          </w:tcPr>
          <w:p>
            <w:pPr>
              <w:ind w:left="580"/>
              <w:spacing w:after="0" w:line="135" w:lineRule="exact"/>
              <w:rPr>
                <w:sz w:val="20"/>
                <w:szCs w:val="20"/>
                <w:color w:val="auto"/>
              </w:rPr>
            </w:pPr>
            <w:r>
              <w:rPr>
                <w:rFonts w:ascii="Times New Roman" w:cs="Times New Roman" w:eastAsia="Times New Roman" w:hAnsi="Times New Roman"/>
                <w:sz w:val="13"/>
                <w:szCs w:val="13"/>
                <w:color w:val="auto"/>
                <w:w w:val="98"/>
              </w:rPr>
              <w:t>1.3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2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31,093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31,093</w:t>
            </w:r>
          </w:p>
        </w:tc>
        <w:tc>
          <w:tcPr>
            <w:tcW w:w="760" w:type="dxa"/>
            <w:vAlign w:val="bottom"/>
            <w:gridSpan w:val="4"/>
          </w:tcPr>
          <w:p>
            <w:pPr>
              <w:ind w:left="580"/>
              <w:spacing w:after="0" w:line="135" w:lineRule="exact"/>
              <w:rPr>
                <w:sz w:val="20"/>
                <w:szCs w:val="20"/>
                <w:color w:val="auto"/>
              </w:rPr>
            </w:pPr>
            <w:r>
              <w:rPr>
                <w:rFonts w:ascii="Times New Roman" w:cs="Times New Roman" w:eastAsia="Times New Roman" w:hAnsi="Times New Roman"/>
                <w:sz w:val="13"/>
                <w:szCs w:val="13"/>
                <w:color w:val="auto"/>
                <w:w w:val="98"/>
              </w:rPr>
              <w:t>0.9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9"/>
        </w:trPr>
        <w:tc>
          <w:tcPr>
            <w:tcW w:w="2900" w:type="dxa"/>
            <w:vAlign w:val="bottom"/>
            <w:tcBorders>
              <w:top w:val="single" w:sz="8" w:color="CCEEFF"/>
              <w:bottom w:val="single" w:sz="8" w:color="CCEEFF"/>
            </w:tcBorders>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1,340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84,584</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709</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904</w:t>
            </w: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87,565</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CCEEFF"/>
              <w:bottom w:val="single" w:sz="8" w:color="CCEEFF"/>
            </w:tcBorders>
            <w:gridSpan w:val="5"/>
            <w:shd w:val="clear" w:color="auto" w:fill="CCEEFF"/>
          </w:tcPr>
          <w:p>
            <w:pPr>
              <w:ind w:left="560"/>
              <w:spacing w:after="0" w:line="129" w:lineRule="exact"/>
              <w:rPr>
                <w:sz w:val="20"/>
                <w:szCs w:val="20"/>
                <w:color w:val="auto"/>
              </w:rPr>
            </w:pPr>
            <w:r>
              <w:rPr>
                <w:rFonts w:ascii="Times New Roman" w:cs="Times New Roman" w:eastAsia="Times New Roman" w:hAnsi="Times New Roman"/>
                <w:sz w:val="13"/>
                <w:szCs w:val="13"/>
                <w:color w:val="auto"/>
                <w:w w:val="98"/>
              </w:rPr>
              <w:t>0.8 %</w:t>
            </w: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tables describe the financial effect of the modifications made to borrowers experiencing financial difficulty as of the dates indicated: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8960" cy="10287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Business loans</w:t>
      </w:r>
    </w:p>
    <w:p>
      <w:pPr>
        <w:ind w:left="60" w:right="1420"/>
        <w:spacing w:after="0" w:line="338" w:lineRule="auto"/>
        <w:rPr>
          <w:sz w:val="20"/>
          <w:szCs w:val="20"/>
          <w:color w:val="auto"/>
        </w:rPr>
      </w:pPr>
      <w:r>
        <w:rPr>
          <w:rFonts w:ascii="Times New Roman" w:cs="Times New Roman" w:eastAsia="Times New Roman" w:hAnsi="Times New Roman"/>
          <w:sz w:val="14"/>
          <w:szCs w:val="14"/>
          <w:color w:val="auto"/>
        </w:rPr>
        <w:t>Multifamily residential and residential mixed-use Non-owner-occupied commercial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-188595</wp:posOffset>
            </wp:positionV>
            <wp:extent cx="56489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8960" cy="10287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Business loans</w:t>
      </w:r>
    </w:p>
    <w:p>
      <w:pPr>
        <w:ind w:left="60"/>
        <w:spacing w:after="0"/>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8960" cy="10287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Business loans</w:t>
      </w:r>
    </w:p>
    <w:p>
      <w:pPr>
        <w:ind w:left="60" w:right="1420"/>
        <w:spacing w:after="0" w:line="239" w:lineRule="auto"/>
        <w:rPr>
          <w:sz w:val="20"/>
          <w:szCs w:val="20"/>
          <w:color w:val="auto"/>
        </w:rPr>
      </w:pPr>
      <w:r>
        <w:rPr>
          <w:rFonts w:ascii="Times New Roman" w:cs="Times New Roman" w:eastAsia="Times New Roman" w:hAnsi="Times New Roman"/>
          <w:sz w:val="14"/>
          <w:szCs w:val="14"/>
          <w:color w:val="auto"/>
        </w:rPr>
        <w:t>Multifamily residential and residential mixed-use Non-owner-occupied commercial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-104140</wp:posOffset>
            </wp:positionV>
            <wp:extent cx="5648960"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896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0287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Business loans</w:t>
      </w:r>
    </w:p>
    <w:p>
      <w:pPr>
        <w:ind w:left="60"/>
        <w:spacing w:after="0" w:line="221" w:lineRule="auto"/>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p>
      <w:pPr>
        <w:ind w:left="60"/>
        <w:spacing w:after="0" w:line="221" w:lineRule="auto"/>
        <w:rPr>
          <w:sz w:val="20"/>
          <w:szCs w:val="20"/>
          <w:color w:val="auto"/>
        </w:rPr>
      </w:pPr>
      <w:r>
        <w:rPr>
          <w:rFonts w:ascii="Times New Roman" w:cs="Times New Roman" w:eastAsia="Times New Roman" w:hAnsi="Times New Roman"/>
          <w:sz w:val="14"/>
          <w:szCs w:val="14"/>
          <w:color w:val="auto"/>
        </w:rPr>
        <w:t>Multifamily residential and residential mixed-use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-88900</wp:posOffset>
            </wp:positionV>
            <wp:extent cx="564896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9398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Non-owner-occupied commercial real estate</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24860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20" w:type="dxa"/>
            <w:vAlign w:val="bottom"/>
            <w:gridSpan w:val="3"/>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3"/>
                <w:szCs w:val="13"/>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3"/>
                <w:szCs w:val="13"/>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20" w:type="dxa"/>
            <w:vAlign w:val="bottom"/>
            <w:gridSpan w:val="3"/>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0" w:type="dxa"/>
            <w:vAlign w:val="bottom"/>
          </w:tcPr>
          <w:p>
            <w:pPr>
              <w:spacing w:after="0"/>
              <w:rPr>
                <w:sz w:val="12"/>
                <w:szCs w:val="12"/>
                <w:color w:val="auto"/>
              </w:rPr>
            </w:pPr>
          </w:p>
        </w:tc>
        <w:tc>
          <w:tcPr>
            <w:tcW w:w="13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20" w:type="dxa"/>
            <w:vAlign w:val="bottom"/>
            <w:gridSpan w:val="3"/>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0" w:type="dxa"/>
            <w:vAlign w:val="bottom"/>
          </w:tcPr>
          <w:p>
            <w:pPr>
              <w:spacing w:after="0"/>
              <w:rPr>
                <w:sz w:val="15"/>
                <w:szCs w:val="15"/>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17"/>
        </w:trPr>
        <w:tc>
          <w:tcPr>
            <w:tcW w:w="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4</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0"/>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880" w:type="dxa"/>
            <w:vAlign w:val="bottom"/>
            <w:tcBorders>
              <w:bottom w:val="single" w:sz="8" w:color="auto"/>
            </w:tcBorders>
            <w:gridSpan w:val="10"/>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20" w:type="dxa"/>
            <w:vAlign w:val="bottom"/>
            <w:gridSpan w:val="3"/>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3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gridSpan w:val="3"/>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0" w:type="dxa"/>
            <w:vAlign w:val="bottom"/>
          </w:tcPr>
          <w:p>
            <w:pPr>
              <w:spacing w:after="0"/>
              <w:rPr>
                <w:sz w:val="12"/>
                <w:szCs w:val="12"/>
                <w:color w:val="auto"/>
              </w:rPr>
            </w:pPr>
          </w:p>
        </w:tc>
        <w:tc>
          <w:tcPr>
            <w:tcW w:w="13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20" w:type="dxa"/>
            <w:vAlign w:val="bottom"/>
            <w:gridSpan w:val="3"/>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0" w:type="dxa"/>
            <w:vAlign w:val="bottom"/>
          </w:tcPr>
          <w:p>
            <w:pPr>
              <w:spacing w:after="0"/>
              <w:rPr>
                <w:sz w:val="15"/>
                <w:szCs w:val="15"/>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0"/>
                <w:szCs w:val="10"/>
                <w:color w:val="auto"/>
              </w:rPr>
            </w:pPr>
          </w:p>
        </w:tc>
        <w:tc>
          <w:tcPr>
            <w:tcW w:w="11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14</w:t>
            </w: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gridSpan w:val="3"/>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6"/>
                <w:szCs w:val="16"/>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6"/>
                <w:szCs w:val="16"/>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20" w:type="dxa"/>
            <w:vAlign w:val="bottom"/>
            <w:gridSpan w:val="3"/>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0" w:type="dxa"/>
            <w:vAlign w:val="bottom"/>
          </w:tcPr>
          <w:p>
            <w:pPr>
              <w:spacing w:after="0"/>
              <w:rPr>
                <w:sz w:val="12"/>
                <w:szCs w:val="12"/>
                <w:color w:val="auto"/>
              </w:rPr>
            </w:pPr>
          </w:p>
        </w:tc>
        <w:tc>
          <w:tcPr>
            <w:tcW w:w="13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20" w:type="dxa"/>
            <w:vAlign w:val="bottom"/>
            <w:gridSpan w:val="3"/>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0" w:type="dxa"/>
            <w:vAlign w:val="bottom"/>
          </w:tcPr>
          <w:p>
            <w:pPr>
              <w:spacing w:after="0"/>
              <w:rPr>
                <w:sz w:val="15"/>
                <w:szCs w:val="15"/>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17"/>
        </w:trPr>
        <w:tc>
          <w:tcPr>
            <w:tcW w:w="12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1.25</w:t>
            </w:r>
          </w:p>
        </w:tc>
        <w:tc>
          <w:tcPr>
            <w:tcW w:w="1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103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10</w:t>
            </w:r>
          </w:p>
        </w:tc>
        <w:tc>
          <w:tcPr>
            <w:tcW w:w="0" w:type="dxa"/>
            <w:vAlign w:val="bottom"/>
          </w:tcPr>
          <w:p>
            <w:pPr>
              <w:spacing w:after="0"/>
              <w:rPr>
                <w:sz w:val="1"/>
                <w:szCs w:val="1"/>
                <w:color w:val="auto"/>
              </w:rPr>
            </w:pPr>
          </w:p>
        </w:tc>
      </w:tr>
      <w:tr>
        <w:trPr>
          <w:trHeight w:val="148"/>
        </w:trPr>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233</w:t>
            </w:r>
          </w:p>
        </w:tc>
        <w:tc>
          <w:tcPr>
            <w:tcW w:w="0" w:type="dxa"/>
            <w:vAlign w:val="bottom"/>
          </w:tcPr>
          <w:p>
            <w:pPr>
              <w:spacing w:after="0"/>
              <w:rPr>
                <w:sz w:val="1"/>
                <w:szCs w:val="1"/>
                <w:color w:val="auto"/>
              </w:rPr>
            </w:pPr>
          </w:p>
        </w:tc>
      </w:tr>
      <w:tr>
        <w:trPr>
          <w:trHeight w:val="190"/>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3.75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1,128</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8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320" w:type="dxa"/>
            <w:vAlign w:val="bottom"/>
            <w:gridSpan w:val="3"/>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3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0" w:type="dxa"/>
            <w:vAlign w:val="bottom"/>
          </w:tcPr>
          <w:p>
            <w:pPr>
              <w:spacing w:after="0"/>
              <w:rPr>
                <w:sz w:val="10"/>
                <w:szCs w:val="1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20" w:type="dxa"/>
            <w:vAlign w:val="bottom"/>
            <w:gridSpan w:val="3"/>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0" w:type="dxa"/>
            <w:vAlign w:val="bottom"/>
          </w:tcPr>
          <w:p>
            <w:pPr>
              <w:spacing w:after="0"/>
              <w:rPr>
                <w:sz w:val="12"/>
                <w:szCs w:val="12"/>
                <w:color w:val="auto"/>
              </w:rPr>
            </w:pPr>
          </w:p>
        </w:tc>
        <w:tc>
          <w:tcPr>
            <w:tcW w:w="13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Months of</w:t>
            </w:r>
          </w:p>
        </w:tc>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20" w:type="dxa"/>
            <w:vAlign w:val="bottom"/>
            <w:gridSpan w:val="3"/>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20" w:type="dxa"/>
            <w:vAlign w:val="bottom"/>
          </w:tcPr>
          <w:p>
            <w:pPr>
              <w:spacing w:after="0"/>
              <w:rPr>
                <w:sz w:val="15"/>
                <w:szCs w:val="15"/>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 Extensions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5.00</w:t>
            </w:r>
          </w:p>
        </w:tc>
        <w:tc>
          <w:tcPr>
            <w:tcW w:w="1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0"/>
                <w:szCs w:val="10"/>
                <w:color w:val="auto"/>
              </w:rPr>
            </w:pPr>
          </w:p>
        </w:tc>
        <w:tc>
          <w:tcPr>
            <w:tcW w:w="11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14</w:t>
            </w: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49"/>
        </w:trPr>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20" w:type="dxa"/>
            <w:vAlign w:val="bottom"/>
            <w:gridSpan w:val="3"/>
          </w:tcPr>
          <w:p>
            <w:pPr>
              <w:jc w:val="right"/>
              <w:ind w:right="113"/>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3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2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2">
            <w:col w:w="4320" w:space="720"/>
            <w:col w:w="3979"/>
          </w:cols>
          <w:pgMar w:left="1440" w:top="513" w:right="1440" w:bottom="1440" w:gutter="0" w:footer="0" w:header="0"/>
          <w:type w:val="continuous"/>
        </w:sect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monitors the performance of loans modified to borrowers experiencing financial difficulty to understand the effectiveness of its modification efforts. The following tables describe the performance of loans that have been modified during the past 12 months.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8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w:t>
            </w:r>
          </w:p>
        </w:tc>
        <w:tc>
          <w:tcPr>
            <w:tcW w:w="12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18,481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18,763</w:t>
            </w:r>
          </w:p>
        </w:tc>
        <w:tc>
          <w:tcPr>
            <w:tcW w:w="0" w:type="dxa"/>
            <w:vAlign w:val="bottom"/>
          </w:tcPr>
          <w:p>
            <w:pPr>
              <w:spacing w:after="0"/>
              <w:rPr>
                <w:sz w:val="1"/>
                <w:szCs w:val="1"/>
                <w:color w:val="auto"/>
              </w:rPr>
            </w:pPr>
          </w:p>
        </w:tc>
      </w:tr>
      <w:tr>
        <w:trPr>
          <w:trHeight w:val="126"/>
        </w:trPr>
        <w:tc>
          <w:tcPr>
            <w:tcW w:w="29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 mixed-</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28,731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27,605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56,336</w:t>
            </w:r>
          </w:p>
        </w:tc>
        <w:tc>
          <w:tcPr>
            <w:tcW w:w="0" w:type="dxa"/>
            <w:vAlign w:val="bottom"/>
          </w:tcPr>
          <w:p>
            <w:pPr>
              <w:spacing w:after="0"/>
              <w:rPr>
                <w:sz w:val="1"/>
                <w:szCs w:val="1"/>
                <w:color w:val="auto"/>
              </w:rPr>
            </w:pPr>
          </w:p>
        </w:tc>
      </w:tr>
      <w:tr>
        <w:trPr>
          <w:trHeight w:val="17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use</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27,755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14,987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42,742</w:t>
            </w:r>
          </w:p>
        </w:tc>
        <w:tc>
          <w:tcPr>
            <w:tcW w:w="0" w:type="dxa"/>
            <w:vAlign w:val="bottom"/>
          </w:tcPr>
          <w:p>
            <w:pPr>
              <w:spacing w:after="0"/>
              <w:rPr>
                <w:sz w:val="1"/>
                <w:szCs w:val="1"/>
                <w:color w:val="auto"/>
              </w:rPr>
            </w:pPr>
          </w:p>
        </w:tc>
      </w:tr>
      <w:tr>
        <w:trPr>
          <w:trHeight w:val="142"/>
        </w:trPr>
        <w:tc>
          <w:tcPr>
            <w:tcW w:w="29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74,967</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27,605</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15,269</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117,841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30-59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60-89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Days Past</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8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Due</w:t>
            </w:r>
          </w:p>
        </w:tc>
        <w:tc>
          <w:tcPr>
            <w:tcW w:w="12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10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3,743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5,470</w:t>
            </w:r>
          </w:p>
        </w:tc>
        <w:tc>
          <w:tcPr>
            <w:tcW w:w="0" w:type="dxa"/>
            <w:vAlign w:val="bottom"/>
          </w:tcPr>
          <w:p>
            <w:pPr>
              <w:spacing w:after="0"/>
              <w:rPr>
                <w:sz w:val="1"/>
                <w:szCs w:val="1"/>
                <w:color w:val="auto"/>
              </w:rPr>
            </w:pPr>
          </w:p>
        </w:tc>
      </w:tr>
      <w:tr>
        <w:trPr>
          <w:trHeight w:val="126"/>
        </w:trPr>
        <w:tc>
          <w:tcPr>
            <w:tcW w:w="29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One-to-four family residential and</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0" w:type="dxa"/>
            <w:vAlign w:val="bottom"/>
          </w:tcPr>
          <w:p>
            <w:pPr>
              <w:spacing w:after="0"/>
              <w:rPr>
                <w:sz w:val="1"/>
                <w:szCs w:val="1"/>
                <w:color w:val="auto"/>
              </w:rPr>
            </w:pPr>
          </w:p>
        </w:tc>
      </w:tr>
      <w:tr>
        <w:trPr>
          <w:trHeight w:val="17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cooperative/condominium apartment</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Multifamily residential and residential mixed-</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27,577</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52,290</w:t>
            </w:r>
          </w:p>
        </w:tc>
        <w:tc>
          <w:tcPr>
            <w:tcW w:w="0" w:type="dxa"/>
            <w:vAlign w:val="bottom"/>
          </w:tcPr>
          <w:p>
            <w:pPr>
              <w:spacing w:after="0"/>
              <w:rPr>
                <w:sz w:val="1"/>
                <w:szCs w:val="1"/>
                <w:color w:val="auto"/>
              </w:rPr>
            </w:pPr>
          </w:p>
        </w:tc>
      </w:tr>
      <w:tr>
        <w:trPr>
          <w:trHeight w:val="171"/>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use</w:t>
            </w: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ind w:left="5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55,801</w:t>
            </w:r>
          </w:p>
        </w:tc>
        <w:tc>
          <w:tcPr>
            <w:tcW w:w="0" w:type="dxa"/>
            <w:vAlign w:val="bottom"/>
          </w:tcPr>
          <w:p>
            <w:pPr>
              <w:spacing w:after="0"/>
              <w:rPr>
                <w:sz w:val="1"/>
                <w:szCs w:val="1"/>
                <w:color w:val="auto"/>
              </w:rPr>
            </w:pPr>
          </w:p>
        </w:tc>
      </w:tr>
      <w:tr>
        <w:trPr>
          <w:trHeight w:val="142"/>
        </w:trPr>
        <w:tc>
          <w:tcPr>
            <w:tcW w:w="298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87,646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27,577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ind w:left="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2,631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117,854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June 30, 2025, there was one $15.0 million non-owner-occupied commercial loan that was modified to a borrower experiencing financial difficulty during the prior 12 months that subsequently defaulted. As of June 30, 2024, there were no loans modified to borrowers experiencing financial difficulty during the prior 12 months that subsequently defaulted. For the purposes of this disclosure, a payment default is defined as 90 or more days past due. Non-accrual loans that are modified to borrowers experiencing financial difficulty remain on non-accrual status until the borrower has demonstrated performance under the modified terms.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Credit Quality Indicators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categorizes loans into risk categories based on relevant information about the ability of borrowers to service their debt such as: current financial information, historical payment experience, credit structure, loan documentation, public information, and current economic trends, among other factors. The Company analyzes loans individually by classifying them based on credit risk. The Company uses the following definitions for risk ratings:</w:t>
      </w:r>
    </w:p>
    <w:p>
      <w:pPr>
        <w:spacing w:after="0" w:line="178"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Loans classified as special mention have a potential weakness that deserves management’s 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attention. If left uncorrected, these potential weaknesses may result in deterioration of the repayment prospects for the loan or of the Bank’s credit position at some future date.</w:t>
      </w:r>
    </w:p>
    <w:p>
      <w:pPr>
        <w:spacing w:after="0" w:line="173"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Loans classified as substandard are inadequately protected by the current net worth and paying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obligor or of the collateral pledged, if any. Loans so classified have a well-defined weakness or weaknesses that jeopardize the liquidation of the debt. They are characterized by the distinct possibility that the Bank will sustain some loss if the deficiencies are not corrected.</w:t>
      </w:r>
    </w:p>
    <w:p>
      <w:pPr>
        <w:spacing w:after="0" w:line="180" w:lineRule="exact"/>
        <w:rPr>
          <w:sz w:val="20"/>
          <w:szCs w:val="20"/>
          <w:color w:val="auto"/>
        </w:rPr>
      </w:pPr>
    </w:p>
    <w:p>
      <w:pPr>
        <w:jc w:val="both"/>
        <w:ind w:left="60" w:right="59" w:firstLine="3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Doubtful. </w:t>
      </w:r>
      <w:r>
        <w:rPr>
          <w:rFonts w:ascii="Times New Roman" w:cs="Times New Roman" w:eastAsia="Times New Roman" w:hAnsi="Times New Roman"/>
          <w:sz w:val="18"/>
          <w:szCs w:val="18"/>
          <w:color w:val="auto"/>
        </w:rPr>
        <w:t>Loans classified as doubtful have all the weaknesses inherent in those classified as substandard,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added characteristic that the weaknesses make collection or liquidation in full, on the basis of then existing facts, conditions, and values, highly questionable and improbable.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credit risk profile of loans by internally assigned grade as of the periods indicated, the years represent the year of origination for non-revolving loans: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08"/>
        </w:trPr>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2020 and</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3"/>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55"/>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10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8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20" w:type="dxa"/>
            <w:vAlign w:val="bottom"/>
          </w:tcPr>
          <w:p>
            <w:pPr>
              <w:spacing w:after="0"/>
              <w:rPr>
                <w:sz w:val="13"/>
                <w:szCs w:val="13"/>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0"/>
              </w:rPr>
              <w:t>Term</w:t>
            </w:r>
          </w:p>
        </w:tc>
        <w:tc>
          <w:tcPr>
            <w:tcW w:w="12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26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218,270</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379,156</w:t>
            </w:r>
          </w:p>
        </w:tc>
        <w:tc>
          <w:tcPr>
            <w:tcW w:w="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223,516</w:t>
            </w:r>
          </w:p>
        </w:tc>
        <w:tc>
          <w:tcPr>
            <w:tcW w:w="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288,487</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187,106</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466,326</w:t>
            </w:r>
          </w:p>
        </w:tc>
        <w:tc>
          <w:tcPr>
            <w:tcW w:w="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930,114</w:t>
            </w:r>
          </w:p>
        </w:tc>
        <w:tc>
          <w:tcPr>
            <w:tcW w:w="4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67,361</w:t>
            </w:r>
          </w:p>
        </w:tc>
        <w:tc>
          <w:tcPr>
            <w:tcW w:w="8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2,760,336</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42,819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17,191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17,070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4,330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7,345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89,437</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4,329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7,801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11,864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3,349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23,776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51,564</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28"/>
        </w:trPr>
        <w:tc>
          <w:tcPr>
            <w:tcW w:w="26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218,270</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379,362</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224,437</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335,635</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212,098</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495,871</w:t>
            </w: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937,793</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98,482</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2,901,948</w:t>
            </w:r>
          </w:p>
        </w:tc>
      </w:tr>
      <w:tr>
        <w:trPr>
          <w:trHeight w:val="128"/>
        </w:trPr>
        <w:tc>
          <w:tcPr>
            <w:tcW w:w="2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4,296</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5,233</w:t>
            </w:r>
          </w:p>
        </w:tc>
      </w:tr>
      <w:tr>
        <w:trPr>
          <w:trHeight w:val="135"/>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17"/>
        </w:trPr>
        <w:tc>
          <w:tcPr>
            <w:tcW w:w="268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85,329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131,921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154,754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198,408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96,675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292,752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24,164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993,519</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4,897</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68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w:t>
            </w: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85,329</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131,921</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154,754</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198,408</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96,675</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296,613</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24,322</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10,424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998,446</w:t>
            </w:r>
          </w:p>
        </w:tc>
      </w:tr>
      <w:tr>
        <w:trPr>
          <w:trHeight w:val="129"/>
        </w:trPr>
        <w:tc>
          <w:tcPr>
            <w:tcW w:w="2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r>
      <w:tr>
        <w:trPr>
          <w:trHeight w:val="135"/>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21,504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231,403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1,260,919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548,630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1,424,281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5,419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3,502,400</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7,215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83,652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105,200</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79,594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85,825</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68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w:t>
            </w: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mixed-use</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6,008</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21,504</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231,403</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1,271,296</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566,032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1,587,527</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5,419</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3,693,425</w:t>
            </w:r>
          </w:p>
        </w:tc>
      </w:tr>
      <w:tr>
        <w:trPr>
          <w:trHeight w:val="129"/>
        </w:trPr>
        <w:tc>
          <w:tcPr>
            <w:tcW w:w="2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50,150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54,992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204,141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705,077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589,414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1,319,064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8,171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2,947,147</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95,331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95,979</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16,471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68,523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84,994</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6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50,150</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54,992</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204,141</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705,077</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606,533</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1,482,918</w:t>
            </w: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8,171</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16,138</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3,128,120</w:t>
            </w:r>
          </w:p>
        </w:tc>
      </w:tr>
      <w:tr>
        <w:trPr>
          <w:trHeight w:val="129"/>
        </w:trPr>
        <w:tc>
          <w:tcPr>
            <w:tcW w:w="2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5,675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1,823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7,498</w:t>
            </w:r>
          </w:p>
        </w:tc>
      </w:tr>
      <w:tr>
        <w:trPr>
          <w:trHeight w:val="135"/>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13,338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41,461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37,692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15,769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25,472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141,098</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6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13,338</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41,461</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37,692</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15,769</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4,797</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w:t>
            </w:r>
          </w:p>
        </w:tc>
        <w:tc>
          <w:tcPr>
            <w:tcW w:w="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25,472</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3,166</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141,755</w:t>
            </w:r>
          </w:p>
        </w:tc>
      </w:tr>
      <w:tr>
        <w:trPr>
          <w:trHeight w:val="128"/>
        </w:trPr>
        <w:tc>
          <w:tcPr>
            <w:tcW w:w="2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6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373,095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629,034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851,506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2,468,660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1,426,622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3,502,483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993,340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99,760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10,344,500</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50,034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32,172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196,083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4,330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7,345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290,646</w:t>
            </w:r>
          </w:p>
        </w:tc>
      </w:tr>
      <w:tr>
        <w:trPr>
          <w:trHeight w:val="135"/>
        </w:trPr>
        <w:tc>
          <w:tcPr>
            <w:tcW w:w="2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7,491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27,341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163,812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25,341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227,937</w:t>
            </w:r>
          </w:p>
        </w:tc>
      </w:tr>
      <w:tr>
        <w:trPr>
          <w:trHeight w:val="135"/>
        </w:trPr>
        <w:tc>
          <w:tcPr>
            <w:tcW w:w="268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69"/>
        </w:trPr>
        <w:tc>
          <w:tcPr>
            <w:tcW w:w="268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373,095</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629,240</w:t>
            </w: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852,427</w:t>
            </w: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2,526,185</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1,486,135</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3,862,989</w:t>
            </w:r>
          </w:p>
        </w:tc>
        <w:tc>
          <w:tcPr>
            <w:tcW w:w="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1,001,177</w:t>
            </w:r>
          </w:p>
        </w:tc>
        <w:tc>
          <w:tcPr>
            <w:tcW w:w="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132,446</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10,863,694</w:t>
            </w:r>
          </w:p>
        </w:tc>
      </w:tr>
      <w:tr>
        <w:trPr>
          <w:trHeight w:val="115"/>
        </w:trPr>
        <w:tc>
          <w:tcPr>
            <w:tcW w:w="2680" w:type="dxa"/>
            <w:vAlign w:val="bottom"/>
            <w:tcBorders>
              <w:bottom w:val="single" w:sz="8" w:color="CCEEFF"/>
            </w:tcBorders>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209</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5,719</w:t>
            </w:r>
          </w:p>
        </w:tc>
        <w:tc>
          <w:tcPr>
            <w:tcW w:w="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6,119</w:t>
            </w: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728</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12,775</w:t>
            </w:r>
          </w:p>
        </w:tc>
      </w:tr>
      <w:tr>
        <w:trPr>
          <w:trHeight w:val="20"/>
        </w:trPr>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108"/>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2019 and</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3"/>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Revolving-</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55"/>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 thousands)</w:t>
            </w:r>
          </w:p>
        </w:tc>
        <w:tc>
          <w:tcPr>
            <w:tcW w:w="80" w:type="dxa"/>
            <w:vAlign w:val="bottom"/>
          </w:tcPr>
          <w:p>
            <w:pPr>
              <w:spacing w:after="0"/>
              <w:rPr>
                <w:sz w:val="13"/>
                <w:szCs w:val="13"/>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Prior</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Revolving</w:t>
            </w:r>
          </w:p>
        </w:tc>
        <w:tc>
          <w:tcPr>
            <w:tcW w:w="100" w:type="dxa"/>
            <w:vAlign w:val="bottom"/>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Term</w:t>
            </w:r>
          </w:p>
        </w:tc>
        <w:tc>
          <w:tcPr>
            <w:tcW w:w="12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262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Business loans</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400,607</w:t>
            </w: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232,017</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327,174</w:t>
            </w:r>
          </w:p>
        </w:tc>
        <w:tc>
          <w:tcPr>
            <w:tcW w:w="4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201,799</w:t>
            </w:r>
          </w:p>
        </w:tc>
        <w:tc>
          <w:tcPr>
            <w:tcW w:w="1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164,834</w:t>
            </w:r>
          </w:p>
        </w:tc>
        <w:tc>
          <w:tcPr>
            <w:tcW w:w="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348,388</w:t>
            </w:r>
          </w:p>
        </w:tc>
        <w:tc>
          <w:tcPr>
            <w:tcW w:w="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828,287</w:t>
            </w: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67,238</w:t>
            </w:r>
          </w:p>
        </w:tc>
        <w:tc>
          <w:tcPr>
            <w:tcW w:w="8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2,570,344</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36,740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4,220</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4,333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17,226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26,292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14,497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104,197</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30,467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50,574</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28"/>
        </w:trPr>
        <w:tc>
          <w:tcPr>
            <w:tcW w:w="270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business loans</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400,742</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233,169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365,899</w:t>
            </w: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208,501</w:t>
            </w: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173,111</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377,523</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854,579</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112,202</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2,725,726</w:t>
            </w:r>
          </w:p>
        </w:tc>
      </w:tr>
      <w:tr>
        <w:trPr>
          <w:trHeight w:val="128"/>
        </w:trPr>
        <w:tc>
          <w:tcPr>
            <w:tcW w:w="2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158</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6,785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8,051</w:t>
            </w: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17"/>
        </w:trPr>
        <w:tc>
          <w:tcPr>
            <w:tcW w:w="2700" w:type="dxa"/>
            <w:vAlign w:val="bottom"/>
            <w:gridSpan w:val="2"/>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One-to-four family residential and</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134,804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159,300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202,706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98,491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63,093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247,952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26,724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8,364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941,434</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870</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7,326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9,224</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0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one-to-four family residential and</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condominium/cooperative apartment</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134,804</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159,300</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202,706</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98,491</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64,077</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255,989</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26,883</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9,278</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951,528</w:t>
            </w:r>
          </w:p>
        </w:tc>
      </w:tr>
      <w:tr>
        <w:trPr>
          <w:trHeight w:val="128"/>
        </w:trPr>
        <w:tc>
          <w:tcPr>
            <w:tcW w:w="2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Multifamily residential and residential mixed-use: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21,810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252,975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1,285,619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560,039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286,653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1,239,261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4,285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4,267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3,654,909</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12,369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14,172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73,778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101,521</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63,853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63,853</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97"/>
        </w:trPr>
        <w:tc>
          <w:tcPr>
            <w:tcW w:w="270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0"/>
                <w:szCs w:val="10"/>
                <w:color w:val="auto"/>
              </w:rPr>
              <w:t>Total multifamily residential and residential mixed-</w:t>
            </w: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r>
      <w:tr>
        <w:trPr>
          <w:trHeight w:val="153"/>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use</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21,810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252,975</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1,286,821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572,408</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300,825</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1,376,892</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3,820,283</w:t>
            </w:r>
          </w:p>
        </w:tc>
      </w:tr>
      <w:tr>
        <w:trPr>
          <w:trHeight w:val="128"/>
        </w:trPr>
        <w:tc>
          <w:tcPr>
            <w:tcW w:w="2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2,985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4,677</w:t>
            </w: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Non-owner-occupied commercial real estate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57,280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215,279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724,041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601,508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408,361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1,020,137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11,937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3,047,509</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658</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75,802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29,564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106,024</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16,471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34,236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26,295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77,002</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0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non-owner-occupied commercial real estate</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57,280</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215,279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724,041</w:t>
            </w: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618,637</w:t>
            </w: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518,399</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1,075,996</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11,937</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8,966</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3,230,535</w:t>
            </w:r>
          </w:p>
        </w:tc>
      </w:tr>
      <w:tr>
        <w:trPr>
          <w:trHeight w:val="129"/>
        </w:trPr>
        <w:tc>
          <w:tcPr>
            <w:tcW w:w="2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2,797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4,033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6,926</w:t>
            </w: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ADC:</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16,154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34,169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25,950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4,810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2,468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24,868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120,541</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14,974</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657</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8"/>
        </w:trPr>
        <w:tc>
          <w:tcPr>
            <w:tcW w:w="270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ADC</w:t>
            </w: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16,154</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34,169</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25,950</w:t>
            </w: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19,784</w:t>
            </w: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2,468</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24,868</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12,779</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136,172</w:t>
            </w:r>
          </w:p>
        </w:tc>
      </w:tr>
      <w:tr>
        <w:trPr>
          <w:trHeight w:val="128"/>
        </w:trPr>
        <w:tc>
          <w:tcPr>
            <w:tcW w:w="2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27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Pass</w:t>
            </w: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630,655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893,740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2,565,490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1,466,647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922,941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2,858,206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896,101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100,957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10,334,737</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Special mention</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37,942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32,221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94,307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121,279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26,451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14,497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327,586</w:t>
            </w: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Substandard</w:t>
            </w: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1,985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18,953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39,164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108,772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201,310</w:t>
            </w:r>
          </w:p>
        </w:tc>
      </w:tr>
      <w:tr>
        <w:trPr>
          <w:trHeight w:val="135"/>
        </w:trPr>
        <w:tc>
          <w:tcPr>
            <w:tcW w:w="2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Doubtful</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611</w:t>
            </w:r>
          </w:p>
        </w:tc>
      </w:tr>
      <w:tr>
        <w:trPr>
          <w:trHeight w:val="169"/>
        </w:trPr>
        <w:tc>
          <w:tcPr>
            <w:tcW w:w="270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Loans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630,790</w:t>
            </w: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894,892</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2,605,417</w:t>
            </w:r>
          </w:p>
        </w:tc>
        <w:tc>
          <w:tcPr>
            <w:tcW w:w="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1,517,821</w:t>
            </w: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1,056,412</w:t>
            </w:r>
          </w:p>
        </w:tc>
        <w:tc>
          <w:tcPr>
            <w:tcW w:w="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3,088,868</w:t>
            </w: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922,552</w:t>
            </w:r>
          </w:p>
        </w:tc>
        <w:tc>
          <w:tcPr>
            <w:tcW w:w="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147,492</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10,864,244</w:t>
            </w:r>
          </w:p>
        </w:tc>
      </w:tr>
      <w:tr>
        <w:trPr>
          <w:trHeight w:val="115"/>
        </w:trPr>
        <w:tc>
          <w:tcPr>
            <w:tcW w:w="2700" w:type="dxa"/>
            <w:vAlign w:val="bottom"/>
            <w:tcBorders>
              <w:bottom w:val="single" w:sz="8" w:color="CCEEFF"/>
            </w:tcBorders>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YTD Gross Charge-Offs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400</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158</w:t>
            </w: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2,963</w:t>
            </w:r>
          </w:p>
        </w:tc>
        <w:tc>
          <w:tcPr>
            <w:tcW w:w="4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5,592</w:t>
            </w:r>
          </w:p>
        </w:tc>
        <w:tc>
          <w:tcPr>
            <w:tcW w:w="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3,571</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89</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6,881</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19,654</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other loans, the Company evaluates credit quality based on payment activity. Other loans that are 90 days or more past due are placed on non-accrual status, while all remaining other loans are classified and evaluated as performing. The following is a summary of the credit risk profile of other loans by internally assigned grade:</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w:t>
            </w:r>
          </w:p>
        </w:tc>
      </w:tr>
      <w:tr>
        <w:trPr>
          <w:trHeight w:val="20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Non-accrual</w:t>
            </w:r>
          </w:p>
        </w:tc>
        <w:tc>
          <w:tcPr>
            <w:tcW w:w="16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6"/>
        </w:trPr>
        <w:tc>
          <w:tcPr>
            <w:tcW w:w="5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5,084</w:t>
            </w:r>
          </w:p>
        </w:tc>
      </w:tr>
      <w:tr>
        <w:trPr>
          <w:trHeight w:val="20"/>
        </w:trPr>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remaining maturities of undiscounted lease payments, as well as a reconciliation to the discounted operating lease liabilities in the Consolidated Statements of Financial Condition at June 30, 2025:</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r>
      <w:tr>
        <w:trPr>
          <w:trHeight w:val="142"/>
        </w:trPr>
        <w:tc>
          <w:tcPr>
            <w:tcW w:w="7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600" w:type="dxa"/>
            <w:vAlign w:val="bottom"/>
            <w:gridSpan w:val="2"/>
            <w:shd w:val="clear" w:color="auto" w:fill="CCEEFF"/>
          </w:tcPr>
          <w:p>
            <w:pPr>
              <w:jc w:val="right"/>
              <w:ind w:right="2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7,304</w:t>
            </w:r>
          </w:p>
        </w:tc>
      </w:tr>
      <w:tr>
        <w:trPr>
          <w:trHeight w:val="148"/>
        </w:trPr>
        <w:tc>
          <w:tcPr>
            <w:tcW w:w="7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14,540</w:t>
            </w:r>
          </w:p>
        </w:tc>
      </w:tr>
      <w:tr>
        <w:trPr>
          <w:trHeight w:val="148"/>
        </w:trPr>
        <w:tc>
          <w:tcPr>
            <w:tcW w:w="7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2027</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12,747</w:t>
            </w:r>
          </w:p>
        </w:tc>
      </w:tr>
      <w:tr>
        <w:trPr>
          <w:trHeight w:val="148"/>
        </w:trPr>
        <w:tc>
          <w:tcPr>
            <w:tcW w:w="7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2028</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6,480</w:t>
            </w:r>
          </w:p>
        </w:tc>
      </w:tr>
      <w:tr>
        <w:trPr>
          <w:trHeight w:val="149"/>
        </w:trPr>
        <w:tc>
          <w:tcPr>
            <w:tcW w:w="7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3,781</w:t>
            </w:r>
          </w:p>
        </w:tc>
      </w:tr>
      <w:tr>
        <w:trPr>
          <w:trHeight w:val="148"/>
        </w:trPr>
        <w:tc>
          <w:tcPr>
            <w:tcW w:w="75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6,063</w:t>
            </w:r>
          </w:p>
        </w:tc>
      </w:tr>
      <w:tr>
        <w:trPr>
          <w:trHeight w:val="142"/>
        </w:trPr>
        <w:tc>
          <w:tcPr>
            <w:tcW w:w="752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undiscounted lease payments</w:t>
            </w:r>
          </w:p>
        </w:tc>
        <w:tc>
          <w:tcPr>
            <w:tcW w:w="2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50,915</w:t>
            </w:r>
          </w:p>
        </w:tc>
      </w:tr>
      <w:tr>
        <w:trPr>
          <w:trHeight w:val="142"/>
        </w:trPr>
        <w:tc>
          <w:tcPr>
            <w:tcW w:w="75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Less amounts representing interest</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(3,356)</w:t>
            </w:r>
          </w:p>
        </w:tc>
      </w:tr>
      <w:tr>
        <w:trPr>
          <w:trHeight w:val="142"/>
        </w:trPr>
        <w:tc>
          <w:tcPr>
            <w:tcW w:w="7520" w:type="dxa"/>
            <w:vAlign w:val="bottom"/>
            <w:tcBorders>
              <w:bottom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47,559</w:t>
            </w: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was as follows:</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Operating lease cost</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3,709</w:t>
            </w: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3,398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7,341</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6,689</w:t>
            </w:r>
          </w:p>
        </w:tc>
        <w:tc>
          <w:tcPr>
            <w:tcW w:w="0" w:type="dxa"/>
            <w:vAlign w:val="bottom"/>
          </w:tcPr>
          <w:p>
            <w:pPr>
              <w:spacing w:after="0"/>
              <w:rPr>
                <w:sz w:val="1"/>
                <w:szCs w:val="1"/>
                <w:color w:val="auto"/>
              </w:rPr>
            </w:pPr>
          </w:p>
        </w:tc>
      </w:tr>
      <w:tr>
        <w:trPr>
          <w:trHeight w:val="19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1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3,641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7,292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6,633</w:t>
            </w:r>
          </w:p>
        </w:tc>
        <w:tc>
          <w:tcPr>
            <w:tcW w:w="0" w:type="dxa"/>
            <w:vAlign w:val="bottom"/>
          </w:tcPr>
          <w:p>
            <w:pPr>
              <w:spacing w:after="0"/>
              <w:rPr>
                <w:sz w:val="1"/>
                <w:szCs w:val="1"/>
                <w:color w:val="auto"/>
              </w:rPr>
            </w:pPr>
          </w:p>
        </w:tc>
      </w:tr>
      <w:tr>
        <w:trPr>
          <w:trHeight w:val="336"/>
        </w:trPr>
        <w:tc>
          <w:tcPr>
            <w:tcW w:w="47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48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 average remaining lease term</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 years</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38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years</w:t>
            </w:r>
          </w:p>
        </w:tc>
        <w:tc>
          <w:tcPr>
            <w:tcW w:w="0" w:type="dxa"/>
            <w:vAlign w:val="bottom"/>
          </w:tcPr>
          <w:p>
            <w:pPr>
              <w:spacing w:after="0"/>
              <w:rPr>
                <w:sz w:val="1"/>
                <w:szCs w:val="1"/>
                <w:color w:val="auto"/>
              </w:rPr>
            </w:pPr>
          </w:p>
        </w:tc>
      </w:tr>
      <w:tr>
        <w:trPr>
          <w:trHeight w:val="19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2.94 %</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DERIVATIVES AND HEDGING ACTIVITIES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loan portfolio.</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The Company engages in fair value hedges, cash flow hedges and freestanding derivatives.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Derivatives on the Consolidated Statements of Financial Condition</w:t>
      </w:r>
    </w:p>
    <w:p>
      <w:pPr>
        <w:spacing w:after="0" w:line="22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tables below present the notional amounts and fair values of the Company’s derivative financial instruments as of June 30, 2025 and December 31, 2024.</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8"/>
                <w:szCs w:val="18"/>
                <w:color w:val="auto"/>
              </w:rPr>
            </w:pPr>
          </w:p>
        </w:tc>
        <w:tc>
          <w:tcPr>
            <w:tcW w:w="19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Assets</w:t>
            </w:r>
          </w:p>
        </w:tc>
      </w:tr>
      <w:tr>
        <w:trPr>
          <w:trHeight w:val="199"/>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150,000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5,277</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w:t>
            </w:r>
          </w:p>
        </w:tc>
      </w:tr>
      <w:tr>
        <w:trPr>
          <w:trHeight w:val="203"/>
        </w:trPr>
        <w:tc>
          <w:tcPr>
            <w:tcW w:w="4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2"/>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1,676,072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85,689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1,665,949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108,178</w:t>
            </w:r>
          </w:p>
        </w:tc>
      </w:tr>
      <w:tr>
        <w:trPr>
          <w:trHeight w:val="426"/>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24"/>
                <w:szCs w:val="24"/>
                <w:color w:val="auto"/>
              </w:rPr>
            </w:pPr>
          </w:p>
        </w:tc>
        <w:tc>
          <w:tcPr>
            <w:tcW w:w="19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6"/>
        </w:trPr>
        <w:tc>
          <w:tcPr>
            <w:tcW w:w="4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r>
      <w:tr>
        <w:trPr>
          <w:trHeight w:val="199"/>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Fair value hedges - interest rate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700,000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 - interest rate products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3"/>
        </w:trPr>
        <w:tc>
          <w:tcPr>
            <w:tcW w:w="4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products</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1,676,072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85,689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1,665,949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108,178</w:t>
            </w:r>
          </w:p>
        </w:tc>
      </w:tr>
      <w:tr>
        <w:trPr>
          <w:trHeight w:val="20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140,626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141,080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Effect of Fair Value and Cash Flow Hedge Accounting on the Consolidated Statements of Operations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for the three and six months ended June 30, 2025 and 2024.</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60" w:type="dxa"/>
            <w:vAlign w:val="bottom"/>
            <w:tcBorders>
              <w:bottom w:val="single" w:sz="8" w:color="auto"/>
            </w:tcBorders>
          </w:tcPr>
          <w:p>
            <w:pPr>
              <w:spacing w:after="0"/>
              <w:rPr>
                <w:sz w:val="15"/>
                <w:szCs w:val="15"/>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6"/>
                <w:szCs w:val="16"/>
                <w:color w:val="auto"/>
              </w:rPr>
            </w:pP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60" w:type="dxa"/>
            <w:vAlign w:val="bottom"/>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199"/>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fair value or cash flow hedges are recorded</w:t>
            </w: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w:t>
            </w:r>
          </w:p>
        </w:tc>
      </w:tr>
      <w:tr>
        <w:trPr>
          <w:trHeight w:val="203"/>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effects of fair value and cash flow hedging:</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or (loss) on fair value hedging relationships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Hedged items</w:t>
            </w: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(1,091)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(978)</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or (loss) on cash flow hedging relationships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reclassified from AOCI into income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Borders>
              <w:bottom w:val="single" w:sz="8" w:color="auto"/>
            </w:tcBorders>
          </w:tcPr>
          <w:p>
            <w:pPr>
              <w:spacing w:after="0"/>
              <w:rPr>
                <w:sz w:val="15"/>
                <w:szCs w:val="15"/>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6"/>
                <w:szCs w:val="16"/>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Interest</w:t>
            </w: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199"/>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fair value or cash flow hedges are recorded</w:t>
            </w: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(827)</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3,790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w:t>
            </w:r>
          </w:p>
        </w:tc>
      </w:tr>
      <w:tr>
        <w:trPr>
          <w:trHeight w:val="203"/>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effects of fair value and cash flow hedging:</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or (loss) on fair value hedging relationships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Hedged items</w:t>
            </w:r>
          </w:p>
        </w:tc>
        <w:tc>
          <w:tcPr>
            <w:tcW w:w="2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(1,774)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(6,251)</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or (loss) on cash flow hedging relationships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contracts: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reclassified from AOCI into income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4,955</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Hedges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uses fair value hedges to protect against changes in fair value of certain interest rate sensitive assets. Interest rate swaps designated as fair value hedges involve the payment of fixed-rate amounts to a counterparty in exchange for the Company receiving variable-rate payments over the life of the agreements without the exchange of the underlying notional amount.</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interest income.</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Company posted $834 thousand and $2.7 million, respectively, to the Chicago Mercantile Exchange (“CME”) clearing house related to the fair value derivatives settled daily to market. The Company pays an average fixed rate of 4.43% and receives a floating rate based on the US federal funds effective rate for the life of the agreement without an exchange of the underlying notional amount.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June 30, 2025 totaled $1.06 billion. The amount identified as the last-of-layer in the open hedge relationship was $700.0 million, which is the amount of loans in the closed portfolio anticipated to be outstanding for the designated hedge period. The basis adjustment associated with the hedge was a $842 thousand asset as of June 30, 2025,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amortized cost basis of the closed portfolio of the fixed rate mortgage loans on December 31, 2024 totaled $692.2 million. The amount identified as the last-of-layer in the open hedge relationship was $500.0 million, which is the amount of loans in the closed portfolio anticipated to be outstanding for the designated hedge period. The basis adjustment associated with the hedge was a $2.6 million asset as of December 31, 2024, which would be allocated across the entire remaining closed pool upon termination or maturity of the hedged relationship.</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a $205 thousand debit and $827 thousand debit, respectively, from the swap transactions as a component of interest income in the consolidated statements of operations. During the three and six months ended June 30, 2024, the Company recorded a $634 thousand credit and a $1.3 million credit, respectively, from the swap transactions as a component of interest income in the consolidated statements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following amounts were recorded on the consolidated statements of financial condition related to cumulative basis adjustment for fair value hedges: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15"/>
                <w:szCs w:val="15"/>
                <w:color w:val="auto"/>
              </w:rPr>
            </w:pPr>
          </w:p>
        </w:tc>
        <w:tc>
          <w:tcPr>
            <w:tcW w:w="26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left="29"/>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left="9"/>
              <w:spacing w:after="0" w:line="118" w:lineRule="exact"/>
              <w:rPr>
                <w:sz w:val="20"/>
                <w:szCs w:val="20"/>
                <w:color w:val="auto"/>
              </w:rPr>
            </w:pPr>
            <w:r>
              <w:rPr>
                <w:rFonts w:ascii="Times New Roman" w:cs="Times New Roman" w:eastAsia="Times New Roman" w:hAnsi="Times New Roman"/>
                <w:sz w:val="13"/>
                <w:szCs w:val="13"/>
                <w:b w:val="1"/>
                <w:bCs w:val="1"/>
                <w:color w:val="auto"/>
              </w:rPr>
              <w:t>Cumulative Amount</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Fair Value</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80" w:type="dxa"/>
            <w:vAlign w:val="bottom"/>
            <w:gridSpan w:val="2"/>
          </w:tcPr>
          <w:p>
            <w:pPr>
              <w:jc w:val="center"/>
              <w:ind w:left="29"/>
              <w:spacing w:after="0" w:line="149" w:lineRule="exact"/>
              <w:rPr>
                <w:sz w:val="20"/>
                <w:szCs w:val="20"/>
                <w:color w:val="auto"/>
              </w:rPr>
            </w:pPr>
            <w:r>
              <w:rPr>
                <w:rFonts w:ascii="Times New Roman" w:cs="Times New Roman" w:eastAsia="Times New Roman" w:hAnsi="Times New Roman"/>
                <w:sz w:val="14"/>
                <w:szCs w:val="14"/>
                <w:b w:val="1"/>
                <w:bCs w:val="1"/>
                <w:color w:val="auto"/>
              </w:rPr>
              <w:t>Hedging Adjustment</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 of</w:t>
            </w:r>
          </w:p>
        </w:tc>
        <w:tc>
          <w:tcPr>
            <w:tcW w:w="160" w:type="dxa"/>
            <w:vAlign w:val="bottom"/>
          </w:tcPr>
          <w:p>
            <w:pPr>
              <w:spacing w:after="0"/>
              <w:rPr>
                <w:sz w:val="12"/>
                <w:szCs w:val="12"/>
                <w:color w:val="auto"/>
              </w:rPr>
            </w:pPr>
          </w:p>
        </w:tc>
        <w:tc>
          <w:tcPr>
            <w:tcW w:w="12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w:t>
            </w: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80" w:type="dxa"/>
            <w:vAlign w:val="bottom"/>
            <w:gridSpan w:val="2"/>
            <w:vMerge w:val="continue"/>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1380" w:type="dxa"/>
            <w:vAlign w:val="bottom"/>
            <w:gridSpan w:val="2"/>
            <w:vMerge w:val="continue"/>
          </w:tcPr>
          <w:p>
            <w:pPr>
              <w:spacing w:after="0"/>
              <w:rPr>
                <w:sz w:val="12"/>
                <w:szCs w:val="12"/>
                <w:color w:val="auto"/>
              </w:rPr>
            </w:pPr>
          </w:p>
        </w:tc>
        <w:tc>
          <w:tcPr>
            <w:tcW w:w="1380" w:type="dxa"/>
            <w:vAlign w:val="bottom"/>
            <w:gridSpan w:val="2"/>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 of</w:t>
            </w:r>
          </w:p>
        </w:tc>
        <w:tc>
          <w:tcPr>
            <w:tcW w:w="0" w:type="dxa"/>
            <w:vAlign w:val="bottom"/>
          </w:tcPr>
          <w:p>
            <w:pPr>
              <w:spacing w:after="0"/>
              <w:rPr>
                <w:sz w:val="1"/>
                <w:szCs w:val="1"/>
                <w:color w:val="auto"/>
              </w:rPr>
            </w:pPr>
          </w:p>
        </w:tc>
      </w:tr>
      <w:tr>
        <w:trPr>
          <w:trHeight w:val="173"/>
        </w:trPr>
        <w:tc>
          <w:tcPr>
            <w:tcW w:w="3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8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80" w:type="dxa"/>
            <w:vAlign w:val="bottom"/>
          </w:tcPr>
          <w:p>
            <w:pPr>
              <w:spacing w:after="0"/>
              <w:rPr>
                <w:sz w:val="15"/>
                <w:szCs w:val="15"/>
                <w:color w:val="auto"/>
              </w:rPr>
            </w:pPr>
          </w:p>
        </w:tc>
        <w:tc>
          <w:tcPr>
            <w:tcW w:w="13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1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Hedged Assets</w:t>
            </w:r>
          </w:p>
        </w:tc>
        <w:tc>
          <w:tcPr>
            <w:tcW w:w="0" w:type="dxa"/>
            <w:vAlign w:val="bottom"/>
          </w:tcPr>
          <w:p>
            <w:pPr>
              <w:spacing w:after="0"/>
              <w:rPr>
                <w:sz w:val="1"/>
                <w:szCs w:val="1"/>
                <w:color w:val="auto"/>
              </w:rPr>
            </w:pPr>
          </w:p>
        </w:tc>
      </w:tr>
      <w:tr>
        <w:trPr>
          <w:trHeight w:val="142"/>
        </w:trPr>
        <w:tc>
          <w:tcPr>
            <w:tcW w:w="30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Fixed Rate Loans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1,060,340</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tcBorders>
            <w:shd w:val="clear" w:color="auto" w:fill="CCEEFF"/>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694,774</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2,615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Hedges</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Cash flow hedges involve the receipt of variable amounts from a counterparty in exchange for the Company making fixed-rate payments over the life of the agreements without exchange of the underlying notional amount. The Company uses these types of derivatives to hedge the variable cash flows associated with existing or forecasted issuances of short-term borrowings.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expense in the same periods during which the hedged transaction affects earnings. Amounts reported in accumulated other comprehensive income related to derivatives will be reclassified to interest expense as interest payments are made on the Company’s debt. During the next twelve months, the Company estimates that an additional $4.5 million will be reclassified as an increase to interest expense.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did not terminate any derivatives during the six months ended June 30, 2025 or June 30, 2024, respectively.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income (loss)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periods indicated:</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74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7"/>
                <w:szCs w:val="17"/>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7"/>
                <w:szCs w:val="17"/>
                <w:color w:val="auto"/>
              </w:rPr>
            </w:pPr>
          </w:p>
        </w:tc>
      </w:tr>
      <w:tr>
        <w:trPr>
          <w:trHeight w:val="196"/>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recognized in other comprehensive income (loss)</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(5,407)</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(12,974)</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reclassified from other comprehensive income into interest expense</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(1,950)</w:t>
            </w:r>
          </w:p>
        </w:tc>
        <w:tc>
          <w:tcPr>
            <w:tcW w:w="2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(2,520)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(3,790)</w:t>
            </w:r>
          </w:p>
        </w:tc>
        <w:tc>
          <w:tcPr>
            <w:tcW w:w="2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(4,955)</w:t>
            </w:r>
          </w:p>
        </w:tc>
      </w:tr>
    </w:tbl>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 of Financial Condition.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cash flow hedges involve derivative agreements with third-party counterparties that contain provisions requiring the Company to post cash collateral if the derivative exposure exceeds a threshold amount and receive collateral for agreements in a net asset position. As of June 30, 2025 and December 31, 2024, the Company did not post collateral to the third-party counterparties. As of June 30, 2025, the Company received $6.2 million in collateral from its third-party counterparties under the agreements in a net asset position. As of June 30, 2025, the Company posted $5.2 million to the CME clearing house that are accounted for as settlements of the derivative liabilities. As of December 31, 2024, the Company received $9.1 million in collateral from its third-party counterparties under the agreements in a net asset position. As of December 31, 2024, the Company received $856 thousand from the CME clearing house that are accounted for as settlements of the derivative asset.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Freestanding Derivatives</w:t>
      </w:r>
    </w:p>
    <w:p>
      <w:pPr>
        <w:spacing w:after="0" w:line="227" w:lineRule="exact"/>
        <w:rPr>
          <w:sz w:val="20"/>
          <w:szCs w:val="20"/>
          <w:color w:val="auto"/>
        </w:rPr>
      </w:pPr>
    </w:p>
    <w:p>
      <w:pPr>
        <w:jc w:val="both"/>
        <w:ind w:left="60" w:right="59"/>
        <w:spacing w:after="0" w:line="289" w:lineRule="auto"/>
        <w:rPr>
          <w:sz w:val="20"/>
          <w:szCs w:val="20"/>
          <w:color w:val="auto"/>
        </w:rPr>
      </w:pPr>
      <w:r>
        <w:rPr>
          <w:rFonts w:ascii="Times New Roman" w:cs="Times New Roman" w:eastAsia="Times New Roman" w:hAnsi="Times New Roman"/>
          <w:sz w:val="17"/>
          <w:szCs w:val="17"/>
          <w:color w:val="auto"/>
        </w:rPr>
        <w:t>The Company maintains an interest-rate risk protection program for its loan portfolio in order to offer loan level derivatives with certain borrowers and to generate loan level derivative income. The Company enters into interest rate swap or interest rate floor agreements with borrowers. These interest rate derivatives are designed such that the borrower synthetically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attains a fixed-rate loan, while the Company receives floating rate loan payments. The Company offsets the loan level interest rate swap exposure by entering into an offsetting interest rate swap or interest rate floor with an unaffiliated and reputable bank counterparty. These interest rate derivatives do not qualify as designated hedges, under ASU 815; therefore, each interest rate derivative is accounted for as a freestanding derivative. The notional amounts of the interest rate derivatives do not represent amounts exchanged by the parties. The amount exchanged is determined by reference to the notional amount and the other terms of the individual interest rate derivative agreements. The following tables reflect freestanding derivatives included in the consolidated statements of financial condition as of the dates indicated:</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83"/>
        </w:trPr>
        <w:tc>
          <w:tcPr>
            <w:tcW w:w="5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5"/>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99"/>
        </w:trPr>
        <w:tc>
          <w:tcPr>
            <w:tcW w:w="5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$ 700,636</w:t>
            </w:r>
          </w:p>
        </w:tc>
        <w:tc>
          <w:tcPr>
            <w:tcW w:w="160" w:type="dxa"/>
            <w:vAlign w:val="bottom"/>
          </w:tcPr>
          <w:p>
            <w:pPr>
              <w:spacing w:after="0"/>
              <w:rPr>
                <w:sz w:val="17"/>
                <w:szCs w:val="17"/>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14,193</w:t>
            </w:r>
          </w:p>
        </w:tc>
        <w:tc>
          <w:tcPr>
            <w:tcW w:w="16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158</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975,436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71,496</w:t>
            </w:r>
          </w:p>
        </w:tc>
      </w:tr>
      <w:tr>
        <w:trPr>
          <w:trHeight w:val="20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700,636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14,193</w:t>
            </w:r>
          </w:p>
        </w:tc>
      </w:tr>
      <w:tr>
        <w:trPr>
          <w:trHeight w:val="20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158</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975,436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71,496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29"/>
        </w:trPr>
        <w:tc>
          <w:tcPr>
            <w:tcW w:w="5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183"/>
        </w:trPr>
        <w:tc>
          <w:tcPr>
            <w:tcW w:w="5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5"/>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199"/>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Included in derivative assets/liabilities: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0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321,745</w:t>
            </w:r>
          </w:p>
        </w:tc>
        <w:tc>
          <w:tcPr>
            <w:tcW w:w="160" w:type="dxa"/>
            <w:vAlign w:val="bottom"/>
          </w:tcPr>
          <w:p>
            <w:pPr>
              <w:spacing w:after="0"/>
              <w:rPr>
                <w:sz w:val="17"/>
                <w:szCs w:val="17"/>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16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borrower</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1,344,204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104,474</w:t>
            </w:r>
          </w:p>
        </w:tc>
      </w:tr>
      <w:tr>
        <w:trPr>
          <w:trHeight w:val="20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321,745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r>
      <w:tr>
        <w:trPr>
          <w:trHeight w:val="20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interest rate swaps with third-party counterparties</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1,344,204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104,474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Loan level derivative income is recognized on the mark-to-market of the interest rate swap as a fair value adjustment at the time the transaction is closed. Total loan level derivative income is included in non-interest income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7"/>
                <w:szCs w:val="17"/>
                <w:color w:val="auto"/>
              </w:rPr>
            </w:pP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Pr>
          <w:p>
            <w:pPr>
              <w:spacing w:after="0"/>
              <w:rPr>
                <w:sz w:val="17"/>
                <w:szCs w:val="17"/>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r>
      <w:tr>
        <w:trPr>
          <w:trHeight w:val="196"/>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level derivative income</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1,003</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interest rate swap product with the borrower is cross collateralized with the underlying loan and, therefore, there is no posted collateral. Certain interest rate swap agreements with third-party counterparties contain provisions that require the Company to post collateral if the derivative exposure exceeds a threshold amount and receive collateral for agreements in a net asset position. As of June 30, 2025, the Company posted $1.4 million in collateral to the third-party counterparty, and did not post collateral to its third-parties as of December 31, 2024. As of June 30, 2025, the Company received $63.6 million in collateral from its third-party counterparties under the agreements in a net asset position. As of December 31, 2024, the Company received $103.3 million in collateral from its third-party counterparties under the agreements in a net asset position.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Risk Participation Agreements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enters into risk participation agreements to manage economic risks but does not designate the instruments in hedge relationships. As of June 30, 2025 and December 31, 2024, the notional amounts of risk participation agreements for derivative liabilities were $140.6 million and $141.1 million, respectively. The related fair values of the Company’s risk participation agreements as of June 30, 2025 and December 31, 2024 were $15 thousand and $10 thousand,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 Related Contingent Features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agreements with each of its derivative counterparties state that if the Company defaults on any of its indebtedness, it could also be declared in default on its derivative obligations and could be required to terminate its derivative positions with the counterparty.</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agreements with certain of its derivative counterparties state that if the Bank fails to maintain its status as a well-capitalized institution, the Bank could be required to terminate its derivative positions with the counterparty.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derivatives in a net liability position, which includes accrued interest but excludes any adjustment for nonperformance risk, any breach of the above provisions by the Company may require settlement of its obligations under the agreements at the termination value with the respective counterparty. As of June 30, 2025, there were no derivatives in a net liability position, and therefore the termination value was zero. There were no provisions breached for the three or six months ended June 30,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74" w:lineRule="exact"/>
        <w:rPr>
          <w:sz w:val="20"/>
          <w:szCs w:val="20"/>
          <w:color w:val="auto"/>
        </w:rPr>
      </w:pPr>
    </w:p>
    <w:p>
      <w:pPr>
        <w:jc w:val="both"/>
        <w:ind w:left="60" w:right="79" w:firstLine="38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Quoted prices (unadjusted) for identical assets or liabilities in active markets that the reporting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ability to access at the measurement date.</w:t>
      </w:r>
    </w:p>
    <w:p>
      <w:pPr>
        <w:spacing w:after="0" w:line="158" w:lineRule="exact"/>
        <w:rPr>
          <w:sz w:val="20"/>
          <w:szCs w:val="20"/>
          <w:color w:val="auto"/>
        </w:rPr>
      </w:pPr>
    </w:p>
    <w:p>
      <w:pPr>
        <w:jc w:val="both"/>
        <w:ind w:left="60" w:right="59" w:firstLine="38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Significant other observable inputs such as any of the following: (1) quoted prices for similar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active markets, (2) quoted prices for identical or similar assets or liabilities in markets that are not active,</w:t>
      </w:r>
    </w:p>
    <w:p>
      <w:pPr>
        <w:jc w:val="both"/>
        <w:ind w:left="60" w:right="59" w:hanging="10"/>
        <w:spacing w:after="0" w:line="250" w:lineRule="auto"/>
        <w:tabs>
          <w:tab w:leader="none" w:pos="3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interest rates and yield curves observable at commonly quoted intervals, volatilities, prepayment speeds, loss severities, credit risks, and default rates), or</w:t>
      </w:r>
    </w:p>
    <w:p>
      <w:pPr>
        <w:ind w:left="60" w:right="59" w:hanging="10"/>
        <w:spacing w:after="0" w:line="260" w:lineRule="auto"/>
        <w:tabs>
          <w:tab w:leader="none" w:pos="3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 (market-corroborated inputs).</w:t>
      </w:r>
    </w:p>
    <w:p>
      <w:pPr>
        <w:spacing w:after="0" w:line="179" w:lineRule="exact"/>
        <w:rPr>
          <w:sz w:val="20"/>
          <w:szCs w:val="20"/>
          <w:color w:val="auto"/>
        </w:rPr>
      </w:pPr>
    </w:p>
    <w:p>
      <w:pPr>
        <w:jc w:val="both"/>
        <w:ind w:left="60" w:right="59" w:firstLine="3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Level 3 Inputs – </w:t>
      </w:r>
      <w:r>
        <w:rPr>
          <w:rFonts w:ascii="Times New Roman" w:cs="Times New Roman" w:eastAsia="Times New Roman" w:hAnsi="Times New Roman"/>
          <w:sz w:val="18"/>
          <w:szCs w:val="18"/>
          <w:color w:val="auto"/>
        </w:rPr>
        <w:t>Significant unobservable inputs for the asset or liability. Significant unobservable inputs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entity’s own assumptions about the assumptions that market participants would use in pricing the asset or liability (including assumptions about risk). Significant unobservable inputs shall be used to measure fair value to the extent that observable inputs are not available, thereby allowing for situations in which there is little, if any, market activity for the asset or liability at the measurement date.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Recurring Basis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available-for-sale securities are reported at fair value, which were determined utilizing prices obtained from independent parties. The valuations obtained are based upon market data, and often utilize evaluated pricing models that vary by asset and incorporate available trade, bid and other market information. For securities that do not trade on a daily basis, pricing applications apply available information such as benchmarking and matrix pricing. The market inputs normally sought in the evaluation of securities include benchmark yields, reported trades, broker/dealer quotes (obtained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only from market makers or broker/dealers recognized as market participants), issuer spreads, two-sided markets, benchmark securities, bids, offers and reference data. For certain securities, additional inputs may be used or some market inputs may not be applicable. Prioritization of inputs may vary on any given day based on market conditions.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All MBS, CMOs, treasury securities, and agency notes are guaranteed either implicitly or explicitly by GSEs as of June 30, 2025 and December 31, 2024, respectively. In accordance with the Company’s investment policy, corporate securities are rated “investment grade” at the time of purchase and the financials of the issuers are reviewed quarterly.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Derivatives represent interest rate swaps and estimated fair values are based on valuation models using observable market data as of the measurement date.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financial assets and liabilities measured at fair value on a recurring basis as of the dates indicated, segmented by level within the fair value hierarchy. Financial assets and liabilities are classified in their entirety based on the lowest level of input that is significant to the fair value measurement.</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11"/>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5"/>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11"/>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at June 30, 2025 Using</w:t>
            </w:r>
          </w:p>
        </w:tc>
      </w:tr>
      <w:tr>
        <w:trPr>
          <w:trHeight w:val="18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Level 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2"/>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02"/>
        </w:trPr>
        <w:tc>
          <w:tcPr>
            <w:tcW w:w="20" w:type="dxa"/>
            <w:vAlign w:val="bottom"/>
          </w:tcPr>
          <w:p>
            <w:pPr>
              <w:spacing w:after="0"/>
              <w:rPr>
                <w:sz w:val="17"/>
                <w:szCs w:val="17"/>
                <w:color w:val="auto"/>
              </w:rPr>
            </w:pPr>
          </w:p>
        </w:tc>
        <w:tc>
          <w:tcPr>
            <w:tcW w:w="5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9,764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171,092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171,092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287,665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287,665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212,666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212,666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2"/>
        </w:trPr>
        <w:tc>
          <w:tcPr>
            <w:tcW w:w="20" w:type="dxa"/>
            <w:vAlign w:val="bottom"/>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22,274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22,274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5,277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85,689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85,689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fair value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0" w:type="dxa"/>
            <w:vAlign w:val="bottom"/>
          </w:tcPr>
          <w:p>
            <w:pPr>
              <w:spacing w:after="0"/>
              <w:rPr>
                <w:sz w:val="17"/>
                <w:szCs w:val="17"/>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85,689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85,689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2"/>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 risk participations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0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11"/>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11"/>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at December 31, 2024 Using</w:t>
            </w:r>
          </w:p>
        </w:tc>
      </w:tr>
      <w:tr>
        <w:trPr>
          <w:trHeight w:val="186"/>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 w:type="dxa"/>
            <w:vAlign w:val="bottom"/>
          </w:tcPr>
          <w:p>
            <w:pPr>
              <w:spacing w:after="0"/>
              <w:rPr>
                <w:sz w:val="16"/>
                <w:szCs w:val="16"/>
                <w:color w:val="auto"/>
              </w:rPr>
            </w:pPr>
          </w:p>
        </w:tc>
      </w:tr>
      <w:tr>
        <w:trPr>
          <w:trHeight w:val="215"/>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199"/>
        </w:trPr>
        <w:tc>
          <w:tcPr>
            <w:tcW w:w="5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Agency Notes</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Corporate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163,949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163,949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Pass-through MBS issued by GSEs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300,221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300,221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Agency CMOs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191,888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191,888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State and municipal obligations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108,178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cash flow hedges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Derivative – freestanding derivatives,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108,178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108,178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3"/>
        </w:trPr>
        <w:tc>
          <w:tcPr>
            <w:tcW w:w="5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 risk participations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Non-recurring Basis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reported at the fair value of the underlying collateral if repayment is expected solely from the collateral.</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7"/>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2,330</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2,330</w:t>
            </w:r>
          </w:p>
        </w:tc>
        <w:tc>
          <w:tcPr>
            <w:tcW w:w="0" w:type="dxa"/>
            <w:vAlign w:val="bottom"/>
          </w:tcPr>
          <w:p>
            <w:pPr>
              <w:spacing w:after="0"/>
              <w:rPr>
                <w:sz w:val="1"/>
                <w:szCs w:val="1"/>
                <w:color w:val="auto"/>
              </w:rPr>
            </w:pPr>
          </w:p>
        </w:tc>
      </w:tr>
      <w:tr>
        <w:trPr>
          <w:trHeight w:val="378"/>
        </w:trPr>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7"/>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8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44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Individually evaluated loans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7,584</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7,584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Individually evaluated loans with an allowance for credit losses at June 30, 2025 had a carrying amount of $2.3 million, which is made up of the outstanding balance of $4.0 million, net of a valuation allowance of $1.6 million. There was a credit loss recovery of $568 thousand on collateral dependent individually evaluated loans during the six months ended June 30, 2025, which is included in the amounts reported in the Consolidated Statements of Operations.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Individually evaluated loans with an allowance for credit losses at December 31, 2024 had a carrying amount of $7.6 million, which is made up of the outstanding balance of $9.7 million, net of a valuation allowance of $2.1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Financial Instruments Not Measured at Fair Value</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carrying amounts and estimated fair values of financial instruments other than those measured at fair value on either a recurring or non-recurring basis for the dates indicated, segmented by level within the fair value hierarchy. Financial assets and liabilities are classified in their entirety based on the lowest level of input that is significant to the fair value measurement.</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at June 30, 2025 Using</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6"/>
        </w:trPr>
        <w:tc>
          <w:tcPr>
            <w:tcW w:w="2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6"/>
                <w:szCs w:val="16"/>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1,156,754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1,156,754</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1,156,754</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625,188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556,507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556,507</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13,617</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10,775,353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10,481,731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10,481,731</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55,418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48,615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55,418</w:t>
            </w:r>
          </w:p>
        </w:tc>
      </w:tr>
      <w:tr>
        <w:trPr>
          <w:trHeight w:val="203"/>
        </w:trPr>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7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10,660,002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10,660,002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10,660,002</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Certificates of deposit ("CDs")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1,080,093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1,076,490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1,076,490</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FHLBNY advances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508,000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510,864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510,864</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debt,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272,414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253,563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253,563</w:t>
            </w:r>
          </w:p>
        </w:tc>
      </w:tr>
      <w:tr>
        <w:trPr>
          <w:trHeight w:val="212"/>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7,876</w:t>
            </w:r>
          </w:p>
        </w:tc>
      </w:tr>
      <w:tr>
        <w:trPr>
          <w:trHeight w:val="98"/>
        </w:trPr>
        <w:tc>
          <w:tcPr>
            <w:tcW w:w="2240" w:type="dxa"/>
            <w:vAlign w:val="bottom"/>
            <w:tcBorders>
              <w:bottom w:val="single" w:sz="8" w:color="auto"/>
            </w:tcBorders>
          </w:tcPr>
          <w:p>
            <w:pPr>
              <w:spacing w:after="0"/>
              <w:rPr>
                <w:sz w:val="8"/>
                <w:szCs w:val="8"/>
                <w:color w:val="auto"/>
              </w:rPr>
            </w:pPr>
          </w:p>
        </w:tc>
        <w:tc>
          <w:tcPr>
            <w:tcW w:w="14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381"/>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Includes mortgage escrow deposits.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6"/>
        </w:trPr>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2"/>
        </w:trPr>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2024 Using</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86"/>
        </w:trPr>
        <w:tc>
          <w:tcPr>
            <w:tcW w:w="2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6"/>
                <w:szCs w:val="16"/>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5"/>
        </w:trPr>
        <w:tc>
          <w:tcPr>
            <w:tcW w:w="37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02"/>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Cash and due from banks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1,283,571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1,283,571</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1,283,571</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552,277</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Loans held for sale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Loans held for investment,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10,775,608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10,354,366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10,354,366</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55,970</w:t>
            </w:r>
          </w:p>
        </w:tc>
      </w:tr>
      <w:tr>
        <w:trPr>
          <w:trHeight w:val="203"/>
        </w:trPr>
        <w:tc>
          <w:tcPr>
            <w:tcW w:w="3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372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Savings, money market and checking accounts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10,617,060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10,617,060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10,617,060</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CDs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1,066,630</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FHLBNY advances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608,908</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Subordinated debt,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257,464</w:t>
            </w:r>
          </w:p>
        </w:tc>
      </w:tr>
      <w:tr>
        <w:trPr>
          <w:trHeight w:val="203"/>
        </w:trPr>
        <w:tc>
          <w:tcPr>
            <w:tcW w:w="37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Other short-term borrowings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03"/>
        </w:trPr>
        <w:tc>
          <w:tcPr>
            <w:tcW w:w="3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w:t>
            </w:r>
          </w:p>
        </w:tc>
      </w:tr>
      <w:tr>
        <w:trPr>
          <w:trHeight w:val="108"/>
        </w:trPr>
        <w:tc>
          <w:tcPr>
            <w:tcW w:w="22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Includes mortgage escrow deposits.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OTHER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carrying amount and accumulated amortization of intangible assets that are amortizable.</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carrying value</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10,204</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10,204</w:t>
            </w:r>
          </w:p>
        </w:tc>
      </w:tr>
      <w:tr>
        <w:trPr>
          <w:trHeight w:val="20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(6,795)</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w:t>
            </w:r>
          </w:p>
        </w:tc>
      </w:tr>
      <w:tr>
        <w:trPr>
          <w:trHeight w:val="196"/>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Amortization expense recognized on intangible assets was $235 thousand and $487 thousand for the three and six months ended June 30, 2025, respectively. Amortization expense recognized on intangible assets was $285 thousand and $592 thousand for the three and six months ended June 30,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amortization expense for the remainder of 2025 through 2029 and thereafter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9"/>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03"/>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196"/>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FHLBNY ADVANCES</w:t>
      </w:r>
    </w:p>
    <w:p>
      <w:pPr>
        <w:spacing w:after="0" w:line="22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The Bank had borrowings from the FHLBNY totaling $508.0 million and $608.0 million at June 30, 2025 and December 31, 2024, respectively, all of which were fixed rate. In accordance with FHLBNY advances, Collateral Pledge and Security Agreement with the FHLBNY, the Bank had remaining FHLBNY borrowing capacity of $1.75 billion as of June 30, 2025 and $1.84 billion as of December 31, 2024, and maintained sufficient qualifying collateral, as defined by the FHLBNY.</w:t>
      </w:r>
    </w:p>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three or six months ended June 30, 2025, the Company did not incur any prepayment penalty expense related to the extinguishment of debt. During the three months ended June 30, 2024, the Company did not incur any prepayment penalty expense related to the extinguishment of debt. During the six months ended June 30, 2024 the Company had $453 thousand of prepayment penalty expense recognized as a loss on extinguishment of debt.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is a summary of FHLBNY extinguishments for the periods presented: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8"/>
                <w:szCs w:val="18"/>
                <w:color w:val="auto"/>
              </w:rPr>
            </w:pPr>
          </w:p>
        </w:tc>
        <w:tc>
          <w:tcPr>
            <w:tcW w:w="24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2"/>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r>
      <w:tr>
        <w:trPr>
          <w:trHeight w:val="196"/>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advances extinguished</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1,780,000</w:t>
            </w:r>
          </w:p>
        </w:tc>
        <w:tc>
          <w:tcPr>
            <w:tcW w:w="240" w:type="dxa"/>
            <w:vAlign w:val="bottom"/>
            <w:tcBorders>
              <w:top w:val="single" w:sz="8" w:color="CCEEFF"/>
            </w:tcBorders>
            <w:shd w:val="clear" w:color="auto" w:fill="CCEEFF"/>
          </w:tcPr>
          <w:p>
            <w:pPr>
              <w:spacing w:after="0"/>
              <w:rPr>
                <w:sz w:val="17"/>
                <w:szCs w:val="17"/>
                <w:color w:val="auto"/>
              </w:rPr>
            </w:pPr>
          </w:p>
        </w:tc>
      </w:tr>
      <w:tr>
        <w:trPr>
          <w:trHeight w:val="20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rate</w:t>
            </w:r>
          </w:p>
        </w:tc>
        <w:tc>
          <w:tcPr>
            <w:tcW w:w="180" w:type="dxa"/>
            <w:vAlign w:val="bottom"/>
          </w:tcPr>
          <w:p>
            <w:pPr>
              <w:spacing w:after="0"/>
              <w:rPr>
                <w:sz w:val="17"/>
                <w:szCs w:val="17"/>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5.25 %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 %</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5.28 %</w:t>
            </w:r>
          </w:p>
        </w:tc>
      </w:tr>
      <w:tr>
        <w:trPr>
          <w:trHeight w:val="20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40" w:type="dxa"/>
            <w:vAlign w:val="bottom"/>
            <w:shd w:val="clear" w:color="auto" w:fill="CCEEFF"/>
          </w:tcPr>
          <w:p>
            <w:pPr>
              <w:spacing w:after="0"/>
              <w:rPr>
                <w:sz w:val="17"/>
                <w:szCs w:val="17"/>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FHLBNY advances for each of the next five years.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Overnight, fixed rate at 4.67%</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 fixed rate at rates from 4.42% to 4.52%</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400,000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0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 fixed rate at 4.25%</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36,000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w:t>
            </w:r>
          </w:p>
        </w:tc>
      </w:tr>
      <w:tr>
        <w:trPr>
          <w:trHeight w:val="20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2028, fixed rate at 4.04%</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12,000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0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fixed rate at rates from 3.98% to 4.03%</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60,000</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r>
      <w:tr>
        <w:trPr>
          <w:trHeight w:val="19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FHLBNY advances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508,000</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608,000</w:t>
            </w:r>
          </w:p>
        </w:tc>
      </w:tr>
      <w:tr>
        <w:trPr>
          <w:trHeight w:val="20"/>
        </w:trPr>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Total FHLBNY advances had a weighted average interest rate of 4.38% and 4.58% at June 30, 2025 and December 31,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SUBORDINATED DEBENTURES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June 28, 2024, the Company issued $65.0 million aggregate principal amount of fixed-to-floating rate subordinated notes due 2034 (“the 2024 Notes”). The 2024 Notes are callable at par after five years, have a stated maturity of July 15, 2034, and bear interest at a fixed annual rate of 9.00% per year, payable quarterly in arrears on January 15, April 15, July 15, and October 15 of each year, commencing on October 15, 2024. The last interest payment for the fixed rate period will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be July 15, 2029. From and including July 15, 2029, to, but excluding the stated maturity date or any earlier redemption date, the interest rate will reset quarterly to an annual interest rate equal to the benchmark rate (which is expected to be Three-Month Term SOFR) plus 495.1 basis points, payable quarterly in arrears on January 15, April 15, July 15, and October 15 of each year, commencing on October 15, 2029.</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Subsequently, on July 9, 2024, the Company issued and sold an additional $9.8 million of the 2024 Notes, pursuant to an overallotment option granted to the underwriters of the offering. Including the overallotment option, the total gross proceeds from the offering were $74.8 million, before discounts and offering expenses.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May 6, 2022, the Company issued $160.0 million aggregate principal amount of fixed-to-floating rate subordinated notes due 2032 (“the 2022 Notes”). The 2022 Notes are callable at par after five years, have a stated maturity of May 15, 2032 and bear interest at a fixed annual rate of 5.00% per year, payable semi-annually in arrears on May 15 and November 15 of each year, commencing on November 15, 2022. The last interest payment for the fixed rate period will be May 15, 2027. From and including May 15, 2027 to, but excluding the maturity date or early redemption date, the interest rate will reset quarterly to an annual interest rate equal to the benchmark rate (which is expected to be Three-Month Term SOFR) plus 218-basis points, payable quarterly in arrears on February 15, May 15, August 15 and November 15 of each year, commencing on August 15, 2027. The Company used the net proceeds of the offering for the repayment of $115.0 million of the Company’s 4.50% fixed-to-floating rate subordinated notes due 2027 on June 15, 2022, and $40.0 million of the Company’s 5.25% fixed-to-floating rate subordinated debentures due 2025 on June 30, 2022. The repayment of the subordinated notes due 2027 resulted in a pre-tax write-off of debt issuance costs of $740 thousand, which was recognized in loss on extinguishment of debt in non-interest expense.</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remaining $40.0 million of fixed-to-floating rate subordinated debentures were issued by the Company in September 2015, are callable at par after ten years, have a stated maturity of September 30, 2030, and bear interest at a fixed annual rate of 5.75% per year, for the first ten years. From and including September 30, 2025 to the maturity date or early redemption date, the interest rate will reset quarterly to an annual interest rate equal to the then-current three-month CME Term SOFR plus 372 basis points.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subordinated debentures totaled $272.4 million and $272.3 million at June 30, 2025 and December 31, 2024, respectively. Interest expense related to the subordinated debentures was $4.3 million and $2.6 million during the three months ended June 30, 2025 and 2024, respectively. Interest expense related to the subordinated debentures was $8.6 million and $5.2 million during the six months ended June 30, 2025 and 2024, respectively. The subordinated debentures are included in tier 2 capital (with certain limitations applicable) under current regulatory guidelines and interpretations.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RETIREMENT AND POSTRETIREMENT PLANS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Bank maintains two noncontributory pension plans that existed before the Merger: (i) the Retirement Plan of Dime Community Bank (“Employee Retirement Plan”) and (ii) the BNB Bank Pension Plan, covering all eligible employees.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Retirement Plan</w:t>
      </w:r>
    </w:p>
    <w:p>
      <w:pPr>
        <w:spacing w:after="0" w:line="121"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The Bank sponsors the Employee Retirement Plan, a tax-qualified, noncontributory, defined-benefit retirement plan. Prior to April 1, 2000, substantially all full-time employees of at least 21 years of age were eligible for participation after one year of service. Effective April 1, 2000, the Bank froze all participant benefits under the Employee Retirement Plan. On December 21, 2023, the Company’s Board of Directors adopted a resolution to terminate the Employee Retirement Plan effective December 31, 2023. Retirement benefits of the plan were vested as they were earned. For the year ended December 31, 2024, the Bank used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measurement date for the Employee Retirement Plan.</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BNB Bank Pension Plan</w:t>
      </w:r>
    </w:p>
    <w:p>
      <w:pPr>
        <w:spacing w:after="0" w:line="229"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8"/>
          <w:szCs w:val="18"/>
          <w:color w:val="auto"/>
        </w:rPr>
        <w:t>During 2012, Bridge Bancorp, Inc., (“Bridge”) amended the BNB Bank Pension Plan by revising the formula for determining benefits effective January 1, 2013, except for certain grandfathered Bridge employees. Additionally, new Bridge employees hired on or after October 1, 2012 were not eligible for the BNB Bank Pension Plan. Effective December 31, 2023, the Bank froze all participant benefits under the BNB Pension Plan, the impact of which is reflected in the recorded curtailment as of December 31, 2023. On December 21, 2023, the Company’s Board of Directors adopted a resolution to terminate the BNB Bank Pension Plan effective December 31, 2023. The termination was effectively completed by March 31, 2025, and all related liabilities were fully settled. Retirement benefits of the plan were vested as they were earned. For the year ended December 31, 2024, the Bank used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as its measurement date for the BNB Bank Pension Plan.</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represent the components of net periodic (credit) benefit cost associated with these plans: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(In thousands)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Service cost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Interest cost</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Expected return on assets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Amortization of unrealized loss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9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9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83"/>
        </w:trPr>
        <w:tc>
          <w:tcPr>
            <w:tcW w:w="10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Employee</w:t>
            </w:r>
          </w:p>
        </w:tc>
      </w:tr>
      <w:tr>
        <w:trPr>
          <w:trHeight w:val="212"/>
        </w:trPr>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Retirement Plan</w:t>
            </w:r>
          </w:p>
        </w:tc>
      </w:tr>
      <w:tr>
        <w:trPr>
          <w:trHeight w:val="200"/>
        </w:trPr>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12"/>
        </w:trPr>
        <w:tc>
          <w:tcPr>
            <w:tcW w:w="10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(322)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(360)</w:t>
            </w:r>
          </w:p>
        </w:tc>
      </w:tr>
      <w:tr>
        <w:trPr>
          <w:trHeight w:val="216"/>
        </w:trPr>
        <w:tc>
          <w:tcPr>
            <w:tcW w:w="10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-269875</wp:posOffset>
            </wp:positionV>
            <wp:extent cx="56489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-544195</wp:posOffset>
            </wp:positionV>
            <wp:extent cx="56489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80" w:space="720"/>
            <w:col w:w="481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15"/>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(credit) benefit</w:t>
            </w:r>
          </w:p>
        </w:tc>
        <w:tc>
          <w:tcPr>
            <w:tcW w:w="4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8"/>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Settlement loss recognized</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benefit cost</w:t>
            </w:r>
          </w:p>
        </w:tc>
        <w:tc>
          <w:tcPr>
            <w:tcW w:w="4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
        </w:trPr>
        <w:tc>
          <w:tcPr>
            <w:tcW w:w="4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960" w:type="dxa"/>
            <w:vAlign w:val="bottom"/>
            <w:tcBorders>
              <w:bottom w:val="single" w:sz="8" w:color="auto"/>
            </w:tcBorders>
          </w:tcPr>
          <w:p>
            <w:pPr>
              <w:spacing w:after="0"/>
              <w:rPr>
                <w:sz w:val="17"/>
                <w:szCs w:val="17"/>
                <w:color w:val="auto"/>
              </w:rPr>
            </w:pPr>
          </w:p>
        </w:tc>
      </w:tr>
      <w:tr>
        <w:trPr>
          <w:trHeight w:val="383"/>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20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BNB Bank</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Employee</w:t>
            </w:r>
          </w:p>
        </w:tc>
      </w:tr>
      <w:tr>
        <w:trPr>
          <w:trHeight w:val="21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Pension Plan</w:t>
            </w: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Retirement Plan</w:t>
            </w:r>
          </w:p>
        </w:tc>
      </w:tr>
      <w:tr>
        <w:trPr>
          <w:trHeight w:val="202"/>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0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assets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(534)</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(645)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r>
      <w:tr>
        <w:trPr>
          <w:trHeight w:val="202"/>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19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periodic (credit) benefit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 loss recognized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benefit cost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contributions to the BNB Bank Pension Plan or the Employee Retirement Plan for the three or six months ended June 30, 2025 and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8"/>
          <w:szCs w:val="18"/>
          <w:color w:val="auto"/>
        </w:rPr>
        <w:t>The Company maintains a 401(k) Plan (the “401(k) Plan”) that existed before the Merger. The 401(k) Plan covers substantially all current employees. Newly hired employees are automatically enrolled in the plan on the first pay date following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employment, unless they elect not to participate. Participants may contribute a portion of their pre-tax base salary, generally not to exceed $23,500 for the calendar year ended December 31, 2025. Under the provisions of the 401(k) Plan, Dime Community Bank provides an employer non-elective contribution to employee accounts equivalent to 3% of eligible compensation. Participants can invest their account balances into several investment alternatives. The 401(k) Plan does not allow for investment of new contributions in the Company’s common stock, nor does it allow participants to transfer existing balances into the Company’s common stock. The 401(k) Plan held Company</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common stock within the accounts of participants totaling $5.7 million and $4.7 million at June 30, 2025 and 2024, respectively. During the three and six months ended June 30, 2025, total expense recognized as a component of salaries and employee benefits expense for the 401(k) Plan was $1.9 million, respectively. During the three and six months ended June 30, 2024, total expense recognized as a component of salaries and employee benefits expense for the 401(k) Plan was $796 thousand and $1.7 million,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May 2021, the Company’s stockholders approved the Dime Community Bancshares, Inc. 2021 Equity Incentive Plan (the “2021 Equity Incentive Plan”) to provide the Company with sufficient equity compensation to meet the objectives of appropriately incentivizing its officers, other employees, and directors to execute our strategic plan to build shareholder value, while providing appropriate shareholder protections. The Company no longer makes grants under the Legacy Stock Plans. Awards outstanding under the Legacy Stock Plans will continue to remain outstanding and subject to the terms and conditions of the Legacy Stock Plans. An additional 1,185,000 shares of common stock were reserved to be issued under the 2021 Equity Incentive Plan following stockholder approval at the Annual Meeting of Shareholders on May 23, 2024. At June 30, 2025, there were 1,165,754 shares reserved for issuance under the 2021 Equity Incentive Plan.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 Awards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activity related to stock options granted under the Legacy Stock Plans, and changes during the period then ended: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5"/>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 except share and per share amounts)</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14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99"/>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January 1, 2025</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exercised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forfeited</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6"/>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 outstanding at June 30,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3"/>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and exercisable at June 30, 2025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stock options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r>
      <w:tr>
        <w:trPr>
          <w:trHeight w:val="202"/>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6"/>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for option exercise cost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recognized on stock option exercises</w:t>
            </w:r>
          </w:p>
        </w:tc>
        <w:tc>
          <w:tcPr>
            <w:tcW w:w="80" w:type="dxa"/>
            <w:vAlign w:val="bottom"/>
          </w:tcPr>
          <w:p>
            <w:pPr>
              <w:spacing w:after="0"/>
              <w:rPr>
                <w:sz w:val="17"/>
                <w:szCs w:val="17"/>
                <w:color w:val="auto"/>
              </w:rPr>
            </w:pP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range of exercise prices and weighted-average remaining contractual lives of both outstanding and vested options (by option exercise cost) as of June 30, 2025 were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8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7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Vested Options</w:t>
            </w:r>
          </w:p>
        </w:tc>
      </w:tr>
      <w:tr>
        <w:trPr>
          <w:trHeight w:val="183"/>
        </w:trPr>
        <w:tc>
          <w:tcPr>
            <w:tcW w:w="5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28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Contractual</w:t>
            </w:r>
          </w:p>
        </w:tc>
      </w:tr>
      <w:tr>
        <w:trPr>
          <w:trHeight w:val="203"/>
        </w:trPr>
        <w:tc>
          <w:tcPr>
            <w:tcW w:w="528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15"/>
        </w:trPr>
        <w:tc>
          <w:tcPr>
            <w:tcW w:w="528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199"/>
        </w:trPr>
        <w:tc>
          <w:tcPr>
            <w:tcW w:w="5280" w:type="dxa"/>
            <w:vAlign w:val="bottom"/>
            <w:tcBorders>
              <w:top w:val="single" w:sz="8" w:color="CCEEFF"/>
            </w:tcBorders>
            <w:shd w:val="clear" w:color="auto" w:fill="CCEEFF"/>
          </w:tcPr>
          <w:p>
            <w:pPr>
              <w:jc w:val="right"/>
              <w:ind w:right="4099"/>
              <w:spacing w:after="0"/>
              <w:rPr>
                <w:sz w:val="20"/>
                <w:szCs w:val="20"/>
                <w:color w:val="auto"/>
              </w:rPr>
            </w:pPr>
            <w:r>
              <w:rPr>
                <w:rFonts w:ascii="Times New Roman" w:cs="Times New Roman" w:eastAsia="Times New Roman" w:hAnsi="Times New Roman"/>
                <w:sz w:val="16"/>
                <w:szCs w:val="16"/>
                <w:b w:val="1"/>
                <w:bCs w:val="1"/>
                <w:color w:val="auto"/>
                <w:w w:val="99"/>
              </w:rPr>
              <w:t>Exercise Prices:</w:t>
            </w: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5280" w:type="dxa"/>
            <w:vAlign w:val="bottom"/>
          </w:tcPr>
          <w:p>
            <w:pPr>
              <w:jc w:val="right"/>
              <w:ind w:right="4739"/>
              <w:spacing w:after="0"/>
              <w:rPr>
                <w:sz w:val="20"/>
                <w:szCs w:val="20"/>
                <w:color w:val="auto"/>
              </w:rPr>
            </w:pPr>
            <w:r>
              <w:rPr>
                <w:rFonts w:ascii="Times New Roman" w:cs="Times New Roman" w:eastAsia="Times New Roman" w:hAnsi="Times New Roman"/>
                <w:sz w:val="16"/>
                <w:szCs w:val="16"/>
                <w:color w:val="auto"/>
                <w:w w:val="99"/>
              </w:rPr>
              <w:t>$34.87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10,061</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3"/>
        </w:trPr>
        <w:tc>
          <w:tcPr>
            <w:tcW w:w="5280" w:type="dxa"/>
            <w:vAlign w:val="bottom"/>
            <w:shd w:val="clear" w:color="auto" w:fill="CCEEFF"/>
          </w:tcPr>
          <w:p>
            <w:pPr>
              <w:jc w:val="right"/>
              <w:ind w:right="4739"/>
              <w:spacing w:after="0"/>
              <w:rPr>
                <w:sz w:val="20"/>
                <w:szCs w:val="20"/>
                <w:color w:val="auto"/>
              </w:rPr>
            </w:pPr>
            <w:r>
              <w:rPr>
                <w:rFonts w:ascii="Times New Roman" w:cs="Times New Roman" w:eastAsia="Times New Roman" w:hAnsi="Times New Roman"/>
                <w:sz w:val="16"/>
                <w:szCs w:val="16"/>
                <w:color w:val="auto"/>
                <w:w w:val="99"/>
              </w:rPr>
              <w:t>$35.35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2"/>
        </w:trPr>
        <w:tc>
          <w:tcPr>
            <w:tcW w:w="5280" w:type="dxa"/>
            <w:vAlign w:val="bottom"/>
            <w:tcBorders>
              <w:bottom w:val="single" w:sz="8" w:color="CCEEFF"/>
            </w:tcBorders>
          </w:tcPr>
          <w:p>
            <w:pPr>
              <w:jc w:val="right"/>
              <w:ind w:right="4739"/>
              <w:spacing w:after="0"/>
              <w:rPr>
                <w:sz w:val="20"/>
                <w:szCs w:val="20"/>
                <w:color w:val="auto"/>
              </w:rPr>
            </w:pPr>
            <w:r>
              <w:rPr>
                <w:rFonts w:ascii="Times New Roman" w:cs="Times New Roman" w:eastAsia="Times New Roman" w:hAnsi="Times New Roman"/>
                <w:sz w:val="16"/>
                <w:szCs w:val="16"/>
                <w:color w:val="auto"/>
                <w:w w:val="99"/>
              </w:rPr>
              <w:t>$36.19</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1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7,132</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196"/>
        </w:trPr>
        <w:tc>
          <w:tcPr>
            <w:tcW w:w="5280" w:type="dxa"/>
            <w:vAlign w:val="bottom"/>
            <w:tcBorders>
              <w:bottom w:val="single" w:sz="8" w:color="CCEEFF"/>
            </w:tcBorders>
            <w:shd w:val="clear" w:color="auto" w:fill="CCEEFF"/>
          </w:tcPr>
          <w:p>
            <w:pPr>
              <w:jc w:val="right"/>
              <w:ind w:right="4759"/>
              <w:spacing w:after="0"/>
              <w:rPr>
                <w:sz w:val="20"/>
                <w:szCs w:val="20"/>
                <w:color w:val="auto"/>
              </w:rPr>
            </w:pPr>
            <w:r>
              <w:rPr>
                <w:rFonts w:ascii="Times New Roman" w:cs="Times New Roman" w:eastAsia="Times New Roman" w:hAnsi="Times New Roman"/>
                <w:sz w:val="16"/>
                <w:szCs w:val="16"/>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26,995</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
        </w:trPr>
        <w:tc>
          <w:tcPr>
            <w:tcW w:w="5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made RSA grants to outside Directors and certain officers under the Legacy Stock Plans and the 2021 Equity Incentive Plan. Typically, awards to outside Directors fully vest on the first anniversary of the grant date, while awards to officers vest over a pre-determined requisite period. All awards were made at the fair value of the Company’s common stock on the grant date. Compensation expense on all RSAs is based upon the fair value of the shares on the respective dates of the grant.</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RSAs granted, and changes during the period then ended: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67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5"/>
        </w:trPr>
        <w:tc>
          <w:tcPr>
            <w:tcW w:w="67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January 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470,236</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vested</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(234,908)</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w:t>
            </w: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forfeited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(14,645)</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r>
      <w:tr>
        <w:trPr>
          <w:trHeight w:val="196"/>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allocated shares outstanding at June 30,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473,588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RSAs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158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Borders>
              <w:bottom w:val="single" w:sz="8" w:color="auto"/>
            </w:tcBorders>
          </w:tcPr>
          <w:p>
            <w:pPr>
              <w:spacing w:after="0"/>
              <w:rPr>
                <w:sz w:val="18"/>
                <w:szCs w:val="18"/>
                <w:color w:val="auto"/>
              </w:rPr>
            </w:pPr>
          </w:p>
        </w:tc>
      </w:tr>
      <w:tr>
        <w:trPr>
          <w:trHeight w:val="202"/>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7"/>
                <w:szCs w:val="17"/>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2,664</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r>
      <w:tr>
        <w:trPr>
          <w:trHeight w:val="212"/>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recognized on vesting of RSAs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r>
    </w:tbl>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June 30, 2025, there was $9.7 million of total unrecognized compensation cost related to unvested RSAs to be recognized over a weighted-average period of 2.2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Performance-Based Share Awards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maintains a Long-Term Incentive Plan (“LTIP”) for certain officers, which meets the criteria for equity-based accounting. For each award, threshold (50% of target), target (100% of target) and stretch (150% of target) opportunities are eligible to be earned over a three-year performance period based on the Company’s relative performance on certain goals that were established at the onset of the performance period and cannot be altered subsequently. Shares of common stock are issued on the grant date and held as unvested stock awards until the end of the performance period. Shares are issued at the stretch opportunity in order to ensure that an adequate number of shares are allocated for shares expected to vest at the end of the performance period. Compensation expense on PSAs is based upon the fair value of the shares on the date of the grant for the expected aggregate share payout as of the period end.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a summary of activity related to the PSAs granted, and changes during the period then ended: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9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Maximum aggregate share payout at January 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258,864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forfeited</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(12,430)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0" w:type="dxa"/>
            <w:vAlign w:val="bottom"/>
          </w:tcPr>
          <w:p>
            <w:pPr>
              <w:spacing w:after="0"/>
              <w:rPr>
                <w:sz w:val="1"/>
                <w:szCs w:val="1"/>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vested</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(7,166)</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0" w:type="dxa"/>
            <w:vAlign w:val="bottom"/>
          </w:tcPr>
          <w:p>
            <w:pPr>
              <w:spacing w:after="0"/>
              <w:rPr>
                <w:sz w:val="1"/>
                <w:szCs w:val="1"/>
                <w:color w:val="auto"/>
              </w:rPr>
            </w:pPr>
          </w:p>
        </w:tc>
      </w:tr>
      <w:tr>
        <w:trPr>
          <w:trHeight w:val="196"/>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Maximum aggregate share payout at June 30,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341,270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Minimum aggregate share payout</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aggregate share payout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341,270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related to PSAs during each period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162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Borders>
              <w:bottom w:val="single" w:sz="8" w:color="auto"/>
            </w:tcBorders>
          </w:tcPr>
          <w:p>
            <w:pPr>
              <w:spacing w:after="0"/>
              <w:rPr>
                <w:sz w:val="18"/>
                <w:szCs w:val="18"/>
                <w:color w:val="auto"/>
              </w:rPr>
            </w:pPr>
          </w:p>
        </w:tc>
      </w:tr>
      <w:tr>
        <w:trPr>
          <w:trHeight w:val="202"/>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7"/>
                <w:szCs w:val="17"/>
                <w:color w:val="auto"/>
              </w:rPr>
            </w:pP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6"/>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expense (benefit) recognized</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533</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1,011</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2"/>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recognized on vesting of PSAs</w:t>
            </w: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bl>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June 30, 2025, there was $4.5 million of total unrecognized compensation cost related to unvested PSAs based on the expected aggregate share payout to be recognized over a weighted-average period of 2.0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Company’s consolidated effective tax rates were 26.1% and 29.0%, respectively. During the six months ended June 30, 2025 and 2024, the Company’s consolidated effective tax rates were 25.7% and 28.1%, respectively. There were no significant unusual income tax items during the three or six months ended June 30, 2025 and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Chief Executive Officer, who is designated as the chief operating decision maker (“CODM”), determines the Company’s reportable segment. The Chief Executive Officer along with others in the Company’s executive management evaluates performance and allocates resources based upon analysis of the Company as one operating segment or unit. The activities of the Company comprise one reportable segment, “Community Banking.” All of the Company’s activities are interrelated, and each activity is dependent and assessed based on the manner in which it supports the other activities of the Company. All the consolidated assets are attributable to the Community Banking segment. The accounting policies of the Community Banking segment are the same as those described in Note 1 “Summary of Significant Accounting Policies” in the Company’s Annual Report on Form 10-K for fiscal year ended December 31, 2024.</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provides a range of community banking services, including commercial and consumer lending, personal and business banking, treasury management and merchant services, and other financial services primarily to individuals, businesses, and municipalities in the Greater Long Island area.</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CODM is provided with the Company’s consolidated statements of financial condition and operations and evaluates the Company’s operating results based on consolidated net interest income, non-interest income, non-interest expense, and net income, which can be seen on the consolidated statement of operations. These results are used to benchmark the Company against its competitors. Other significant non-cash items assessed by the CODM are depreciation, amortization and provision for credit losses consistent with the reporting on the consolidated statements of cash flows. Expenditures for long-lived assets are also evaluated and are consistent with the reporting on the consolidated statements of cash flows. Strategic plans and budget to actual monitoring are evaluated as one reportable segment. The actual results are used in assessing performance of the segment and in establishing management’s compensation. All revenues are derived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banking operations within the United States, and for the three or six months ended June 30, 2025 and 2024, no customer accounted for more than 10% of the Company's consolidated revenue.</w:t>
      </w: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Dime Community Bancshares, Inc., a New York corporation, is a bank holding company formed in 1988. On a parent-only basis, the Holding Company has minimal operations, other than as owner of Dime Community Bank. The Holding Company is dependent on dividends from its wholly-owned subsidiary, Dime Community Bank, its own earnings, additional capital raised, and borrowings as sources of funds. The information in this report reflects principally the financial condition and results of operations of the Bank. The Bank's results of operations are primarily dependent on its net interest income, which is the difference between interest income on loans and investments and interest expense on deposits and borrowings. The Bank also generates non-interest income, such as fee income on deposit and loan accounts, merchant credit and debit card processing programs, loan swap fees, investment services, income from its title insurance subsidiary, and net gains on sales of securities and loans. The level of non-interest expenses, such as salaries and benefits, occupancy and equipment costs, other general and administrative expenses, expenses from the Bank’s title insurance subsidiary, and income tax expense, further affects our net income. Certain reclassifications have been made to prior year amounts and the related discussion and analysis to conform to the current year presentation. These reclassifications did not have an impact on net income or total stockholders' equity.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The OBBBA makes permanent key elements of the Tax Cuts and Jobs Act, including bonus depreciation. ASC 740, “Income Taxes”, requires the effects of changes in tax rates and laws on deferred tax balances to be recognized in the period in which the legislation is enacted. The Company has evaluated the deferred tax impact under the newly elected tax law and has concluded it will have an immaterial impact on the September 30, 2025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Highlights and Other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At or For the</w:t>
            </w:r>
          </w:p>
        </w:tc>
        <w:tc>
          <w:tcPr>
            <w:tcW w:w="160" w:type="dxa"/>
            <w:vAlign w:val="bottom"/>
          </w:tcPr>
          <w:p>
            <w:pPr>
              <w:spacing w:after="0"/>
              <w:rPr>
                <w:sz w:val="17"/>
                <w:szCs w:val="17"/>
                <w:color w:val="auto"/>
              </w:rPr>
            </w:pPr>
          </w:p>
        </w:tc>
        <w:tc>
          <w:tcPr>
            <w:tcW w:w="18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At or For the</w:t>
            </w:r>
          </w:p>
        </w:tc>
      </w:tr>
      <w:tr>
        <w:trPr>
          <w:trHeight w:val="203"/>
        </w:trPr>
        <w:tc>
          <w:tcPr>
            <w:tcW w:w="2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18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5"/>
        </w:trPr>
        <w:tc>
          <w:tcPr>
            <w:tcW w:w="2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9"/>
        </w:trPr>
        <w:tc>
          <w:tcPr>
            <w:tcW w:w="2240" w:type="dxa"/>
            <w:vAlign w:val="bottom"/>
            <w:tcBorders>
              <w:bottom w:val="single" w:sz="8" w:color="CCEEFF"/>
            </w:tcBorders>
          </w:tcPr>
          <w:p>
            <w:pPr>
              <w:spacing w:after="0"/>
              <w:rPr>
                <w:sz w:val="17"/>
                <w:szCs w:val="17"/>
                <w:color w:val="auto"/>
              </w:rPr>
            </w:pPr>
          </w:p>
        </w:tc>
        <w:tc>
          <w:tcPr>
            <w:tcW w:w="27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r>
      <w:tr>
        <w:trPr>
          <w:trHeight w:val="196"/>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Reported EPS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0.64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0.50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Book value per common share</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payout ratio</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39.06 </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58.14 %</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45.87 %</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59.52 %</w:t>
            </w:r>
          </w:p>
        </w:tc>
      </w:tr>
      <w:tr>
        <w:trPr>
          <w:trHeight w:val="20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and Other Selected Ratios: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0.85 </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0.55 %</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0.74 %</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0.53 %</w:t>
            </w: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Return on average equity</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interest spread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20" w:type="dxa"/>
            <w:vAlign w:val="bottom"/>
            <w:shd w:val="clear" w:color="auto" w:fill="CCEEFF"/>
          </w:tcPr>
          <w:p>
            <w:pPr>
              <w:spacing w:after="0"/>
              <w:rPr>
                <w:sz w:val="17"/>
                <w:szCs w:val="17"/>
                <w:color w:val="auto"/>
              </w:rPr>
            </w:pPr>
          </w:p>
        </w:tc>
      </w:tr>
      <w:tr>
        <w:trPr>
          <w:trHeight w:val="202"/>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interest margin</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Average interest-earning assets to average interest-bearing liabilities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146.96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146.97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140.36</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Efficiency ratio</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Loan-to-deposit ratio at end of period</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Effective tax rate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 Quality Summary:</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Non-performing loans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53,214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53,214</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24,843</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Non-performing assets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53,214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53,214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24,843</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charge-offs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12,463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Non-performing assets/Total assets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0.18 %</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0.37</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0.18 %</w:t>
            </w: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Non-performing loans/Total loans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220" w:type="dxa"/>
            <w:vAlign w:val="bottom"/>
            <w:shd w:val="clear" w:color="auto" w:fill="CCEEFF"/>
          </w:tcPr>
          <w:p>
            <w:pPr>
              <w:spacing w:after="0"/>
              <w:rPr>
                <w:sz w:val="17"/>
                <w:szCs w:val="17"/>
                <w:color w:val="auto"/>
              </w:rPr>
            </w:pPr>
          </w:p>
        </w:tc>
      </w:tr>
      <w:tr>
        <w:trPr>
          <w:trHeight w:val="203"/>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Allowance for credit losses/Total loans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220" w:type="dxa"/>
            <w:vAlign w:val="bottom"/>
          </w:tcPr>
          <w:p>
            <w:pPr>
              <w:spacing w:after="0"/>
              <w:rPr>
                <w:sz w:val="17"/>
                <w:szCs w:val="17"/>
                <w:color w:val="auto"/>
              </w:rPr>
            </w:pPr>
          </w:p>
        </w:tc>
      </w:tr>
      <w:tr>
        <w:trPr>
          <w:trHeight w:val="20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Allowance for credit losses/Non-performing loans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175.12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175.12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313.21</w:t>
            </w:r>
          </w:p>
        </w:tc>
        <w:tc>
          <w:tcPr>
            <w:tcW w:w="220" w:type="dxa"/>
            <w:vAlign w:val="bottom"/>
            <w:shd w:val="clear" w:color="auto" w:fill="CCEEFF"/>
          </w:tcPr>
          <w:p>
            <w:pPr>
              <w:spacing w:after="0"/>
              <w:rPr>
                <w:sz w:val="17"/>
                <w:szCs w:val="17"/>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9" w:lineRule="exact"/>
        <w:rPr>
          <w:sz w:val="20"/>
          <w:szCs w:val="20"/>
          <w:color w:val="auto"/>
        </w:rPr>
      </w:pPr>
    </w:p>
    <w:p>
      <w:pPr>
        <w:ind w:left="240" w:hanging="190"/>
        <w:spacing w:after="0"/>
        <w:tabs>
          <w:tab w:leader="none" w:pos="24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Non-performing loans are defined as all loans on non-accrual status.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Note 1. Summary of Significant Accounting Policies, to the Company’s Audited Consolidated Financial Statements in its Annual Report on Form 10-K for the year ended December 31, 2024 contains a summary of significant accounting policies. These critical accounting estimates involve a significant degree of complexity and require management to make difficult subjective judgments which often necessitate assumptions or estimates about highly uncertain matters. Policies with respect to the methodologies used to determine the allowance for credit losses on loans held for investment and are important to the presentation of the Company’s consolidated financial condition and results of operations. The use of different judgments, assumptions or estimates could result in material variations in the Company’s consolidated results of operations or financial condition.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Management has reviewed the following critical accounting estimates and related disclosures with its Audit Committee.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Allowance for Credit Losses on Loans Held for Investment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realized losses, net of recoveries, are charged against the allowance.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or pool, for loans that share similar risk characteristics. For a loan that does not share risk characteristics with other loans, the Company will evaluate the loan on an individual basis. Within the model, assumptions are made in the determination of probability of default, loss given default, reasonable and supportable economic forecasts, prepayment rate, curtailment rate, and recovery lag periods.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Statistical regression is utilized to relate historical macro-economic variables to historical credit loss experience of a peer group of banks that operate in and around Dime’s footprint. These models are then utilized to forecast future expected loan losses based on expected future behavior of the same macro-economic variables. Adjustments to the quantitative results are made using qualitative factors, which are subjective and require significant management judgment. These factors include:</w:t>
      </w:r>
    </w:p>
    <w:p>
      <w:pPr>
        <w:spacing w:after="0" w:line="3" w:lineRule="exact"/>
        <w:rPr>
          <w:sz w:val="20"/>
          <w:szCs w:val="20"/>
          <w:color w:val="auto"/>
        </w:rPr>
      </w:pPr>
    </w:p>
    <w:p>
      <w:pPr>
        <w:jc w:val="both"/>
        <w:ind w:left="60" w:right="59" w:hanging="10"/>
        <w:spacing w:after="0" w:line="250" w:lineRule="auto"/>
        <w:tabs>
          <w:tab w:leader="none" w:pos="3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w:t>
      </w:r>
    </w:p>
    <w:p>
      <w:pPr>
        <w:spacing w:after="0" w:line="1" w:lineRule="exact"/>
        <w:rPr>
          <w:rFonts w:ascii="Times New Roman" w:cs="Times New Roman" w:eastAsia="Times New Roman" w:hAnsi="Times New Roman"/>
          <w:sz w:val="18"/>
          <w:szCs w:val="18"/>
          <w:color w:val="auto"/>
        </w:rPr>
      </w:pPr>
    </w:p>
    <w:p>
      <w:pPr>
        <w:jc w:val="both"/>
        <w:ind w:left="60" w:right="59" w:hanging="10"/>
        <w:spacing w:after="0" w:line="253" w:lineRule="auto"/>
        <w:tabs>
          <w:tab w:leader="none" w:pos="3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severity of past due loans; (5) the quality of our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Although management believes that it uses the best information available to establish the Allowance for Credit Loss, management assesses the sensitivity of key quantitative assumptions including macroeconomic forecasts and prepayment rate assumptions. Changes in quantitative inputs may not occur in the same direction or magnitude across all segments of our loan portfolio and deterioration in some quantitative inputs may offset improvement in others.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losses is subject to significant management judgment as these projected cash flows rely upon the estimates discussed above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spacing w:after="0" w:line="15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which would materially decrease our net income.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Bank to recognize adjustments to the allowance based on their judgments of the information available to them at the time of their examination.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Board of Directors has approved a liquidity policy that it reviews and updates at least annually. Senior management is responsible for implementing the policy. The Bank’s Asset Liability Committee (“ALCO”) is responsible for general oversight and strategic implementation of the policy and management of the appropriate departments are designated responsibility for implementing any strategies established by ALCO. On a daily basis, appropriate senior management receives a current cash position report and 30-day forecast to ensure that all short-term obligations are timely satisfied, and that adequate liquidity exists to fund future activities. Reports detailing the Bank’s liquidity reserves are presented to appropriate senior management on at least a monthly basis, and the Board of Directors at each of its meetings. In addition, a twelve-month liquidity forecast is presented to ALCO in order to assess potential future liquidity concerns. A forecast of cash flow data for the upcoming 12 months is presented to the Board of Directors no less than annually. Given recent banking industry events, management monitors the level of uninsured deposits on a regular basis.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Liquidity is primarily needed to meet customer borrowing commitments and deposit withdrawals, either on demand or on contractual maturity, to repay borrowings as they mature, to fund current and planned expenditures and to make new loans and investments as opportunities arise. The Bank’s primary sources of funding for its lending and investment activities include deposits, loan payments, investment security principal and interest payments and advances from the FHLBNY. The Bank may also sell or securitize selected multifamily residential, mixed-use or one-to-four family residential real estate loans to private sector secondary market purchasers and has in the past sold such loans to FNMA and Federal Home Loan Mortgage Corporation (“FHLMC”). The Company may additionally issue debt or equity under appropriate circumstances. Although maturities and scheduled amortization of loans and investments are predictable sources of funds, deposit flows and prepayments on real estate loans and MBS are influenced by interest rates, economic conditions and competition.</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Bank is a member of American Financial Exchange (“AFX”), through which it may either borrow or lend funds on an overnight or short-term basis with other member institutions. The availability of funds changes daily. At June 30, 2025, the Bank did not have any such borrowings outstanding through the AFX. At December 31, 2024, the Bank had $50.0 million of such borrowings outstanding through the AFX, which is included in other short-term borrowings on the consolidated statements of financial condition.</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utilizes repurchase agreements as part of its borrowing policy to add liquidity. Repurchase agreements represent funds received from customers, generally on an overnight basis, which are collateralized by investment securities. As of June 30, 2025 and December 31, 2024, the Bank did not have any repurchase agreements.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Bank gathers deposits in direct competition with commercial banks, savings banks and brokerage firms, many among the largest in the nation. It must additionally compete for deposit monies against the stock and bond markets, especially during periods of strong performance in those arenas. The Bank’s deposit flows are affected primarily by the pricing and marketing of its deposit products compared to its competitors, as well as the market performance of depositor investment alternatives such as the U.S. bond or equity markets. To the extent that the Bank is responsive to general market increases or declines in interest rates, its deposit flows should not be materially impacted. However, favorable performance of the equity or bond markets could adversely impact the Bank’s deposit flows.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deposits (including mortgage escrow deposits) increased $54.0 million during the six months ended June 30, 2025, compared to an increase of $497.8 million during the six months ended June 30, 2024. The increase in deposits during the current period was primarily due to an increase in non-interest-bearing checking accounts, money market accounts and CD’s, offset by a decline in interest bearing checking accounts and savings accounts deposits.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event that the Bank should require funds beyond its ability or desire to generate them internally, additional sources of funds are available through a borrowing line at the FHLBNY, borrowing capacity at the AFX, lines of credit with unaffiliated correspondent banks, and various brokered deposit sources. At June 30, 2025, the Bank had remaining borrowing capacity of $1.75 billion through the FHLBNY, subject to customary minimum FHLBNY common stock ownership requirements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4.5% of the Bank’s outstanding FHLBNY borrowings). The Bank also had access to the FRB Discount Window. At June 30, 2025, an available line of credit totaling $376.7 million was in place at the FRB backed by investment securities with no advances drawn. Additionally, at June 30, 2025, a line of credit totaling $3.22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billion was in place at the FRB secured by certain qualifying 1-4 family residential mortgage loans, construction loans and CRE loans with no amounts drawn.</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Bank reduced its outstanding FHLBNY advances by $100.0 million during the six months ended June 30, 2025, compared to a reduction of $680.0 million during the six months ended June 30, 2024. See Note 12. “FHLBNY Advances” for further information.</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Subordinated debentures totaled $272.4 million at June 30, 2025 compared to $272.3 million at December 31, 2024. See Note 13. “Subordinated Debentures” to our Consolidated Financial Statements for further information.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and 2024, business loan originations excluding new lines were $173.7 million and $171.6 million, respectively. During the six months ended June 30, 2025, and 2024, real estate loan originations excluding new lines (excluding owner-occupied commercial real estate) totaled $125.1 million and $88.2 million, respectively.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and the Bank are subject to minimum regulatory capital requirements imposed by their primary federal regulators. As a general matter, these capital requirements are based on the amount and composition of an institution’s assets. At June 30, 2025, both the Company and the Bank were in compliance with all applicable regulatory capital requirements and the Bank was considered “well capitalized” for all regulatory purposes.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Company and Bank capital ratios calculated under the Basel III Capital Rules framework as of the period indicated:</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7"/>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Actual Ratios at June 30, 2025</w:t>
            </w:r>
          </w:p>
        </w:tc>
      </w:tr>
      <w:tr>
        <w:trPr>
          <w:trHeight w:val="183"/>
        </w:trPr>
        <w:tc>
          <w:tcPr>
            <w:tcW w:w="41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Basel III</w:t>
            </w:r>
          </w:p>
        </w:tc>
        <w:tc>
          <w:tcPr>
            <w:tcW w:w="1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4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 Be Categorized as</w:t>
            </w:r>
          </w:p>
        </w:tc>
      </w:tr>
      <w:tr>
        <w:trPr>
          <w:trHeight w:val="232"/>
        </w:trPr>
        <w:tc>
          <w:tcPr>
            <w:tcW w:w="4160" w:type="dxa"/>
            <w:vAlign w:val="bottom"/>
          </w:tcPr>
          <w:p>
            <w:pPr>
              <w:spacing w:after="0"/>
              <w:rPr>
                <w:sz w:val="20"/>
                <w:szCs w:val="20"/>
                <w:color w:val="auto"/>
              </w:rPr>
            </w:pPr>
          </w:p>
        </w:tc>
        <w:tc>
          <w:tcPr>
            <w:tcW w:w="8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Bank</w:t>
            </w:r>
          </w:p>
        </w:tc>
        <w:tc>
          <w:tcPr>
            <w:tcW w:w="108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Requirement</w:t>
            </w:r>
          </w:p>
        </w:tc>
        <w:tc>
          <w:tcPr>
            <w:tcW w:w="1700" w:type="dxa"/>
            <w:vAlign w:val="bottom"/>
            <w:gridSpan w:val="2"/>
          </w:tcPr>
          <w:p>
            <w:pPr>
              <w:ind w:left="20"/>
              <w:spacing w:after="0" w:line="232" w:lineRule="exact"/>
              <w:rPr>
                <w:sz w:val="20"/>
                <w:szCs w:val="20"/>
                <w:color w:val="auto"/>
              </w:rPr>
            </w:pPr>
            <w:r>
              <w:rPr>
                <w:rFonts w:ascii="Times New Roman" w:cs="Times New Roman" w:eastAsia="Times New Roman" w:hAnsi="Times New Roman"/>
                <w:sz w:val="16"/>
                <w:szCs w:val="16"/>
                <w:b w:val="1"/>
                <w:bCs w:val="1"/>
                <w:color w:val="auto"/>
              </w:rPr>
              <w:t xml:space="preserve">“Well Capitalized” </w:t>
            </w:r>
            <w:r>
              <w:rPr>
                <w:rFonts w:ascii="Times New Roman" w:cs="Times New Roman" w:eastAsia="Times New Roman" w:hAnsi="Times New Roman"/>
                <w:sz w:val="24"/>
                <w:szCs w:val="24"/>
                <w:b w:val="1"/>
                <w:bCs w:val="1"/>
                <w:color w:val="auto"/>
                <w:vertAlign w:val="superscript"/>
              </w:rPr>
              <w:t>(1)</w:t>
            </w:r>
          </w:p>
        </w:tc>
      </w:tr>
      <w:tr>
        <w:trPr>
          <w:trHeight w:val="19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common equity ratio</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risk-based capital ratio</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Pr>
          <w:p>
            <w:pPr>
              <w:spacing w:after="0"/>
              <w:rPr>
                <w:sz w:val="17"/>
                <w:szCs w:val="17"/>
                <w:color w:val="auto"/>
              </w:rPr>
            </w:pP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CEEFF"/>
          </w:tcPr>
          <w:p>
            <w:pPr>
              <w:spacing w:after="0"/>
              <w:rPr>
                <w:sz w:val="17"/>
                <w:szCs w:val="17"/>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leverage ratio</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74"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Only the Bank is subject to these requirements.</w:t>
      </w:r>
    </w:p>
    <w:p>
      <w:pPr>
        <w:spacing w:after="0" w:line="20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and 2024, the Holding Company did not repurchase any shares of its common stock. As of June 30, 2025, 1,566,947 shares remained available for purchase under the authorized share repurchase programs. See “Part II - Item 2. Other Information - Unregistered Sales of Equity Securities, Use of Proceeds and Issuer Purchases of Equity Securities” for additional information about repurchases of common stock.</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Holding Company paid $3.6 million in cash dividends on its preferred stock during the six months ended June 30, 2025, and 2024, respectively.</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Holding Company paid $21.4 million and $19.0 million in cash dividends on its common stock during the six months ended June 30,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Bank generally has borrowings outstanding in the form of FHLBNY advances, short-term or overnight borrowings, subordinated debt, as well as customer CDs with fixed contractual interest rates. In addition, the Bank is obligated to make rental payments under leases on certain of its branches and equipment.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part of its loan origination business, the Bank generally has outstanding commitments to extend credit to borrowers, which are originated pursuant to its regular underwriting standards. Available lines of credit may not be drawn on or may expire prior to funding, in whole or in part, and amounts are not estimates of future cash flows. As of June 30, 2025, the Bank had $136.9 million of firm loan commitments that were accepted by the borrowers.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in connection with a loan securitization completed in December 2017, the Bank executed a reimbursement agreement with FHLMC that obligates the Company to reimburse FHLMC for any contractual principal and interest payments on defaulted loans, not to exceed 10% of the original principal amount of the loans comprising the aggregate balance of the loan pool at securitization. The maximum exposure under this reimbursement obligation is $27.9 million. The Bank has pledged $27.9 million of pass-through MBS issued by GSEs as collateral.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of Lending Activities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Non-owner occupied commercial real estate loans and multifamily residential and residential mixed-use loans have collectively represented the largest percentage of the Company’s loan portfolio, accounting for 63% and 65% of total loans held for investment as of June 30, 2025 and December 31, 2024, respectively. Non-owner occupied commercial real estate loans represent 29% and 30% of total loans held for investment as of June 30, 2025 and December 31, 2024, respectively. Multifamily residential and residential mixed-use loans made up 34% and 35% of total loans held for investment as of June 30, 2025 and December 31, 2024, respectively. The Company expects that non-owner occupied commercial real estate loans and multifamily residential and residential mixed-use loans will continue to be a significant portion of the Company’s total loan portfolio.</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Non-owner occupied commercial real estate loans and multifamily residential and residential mixed-use loans are subject to a varying degree of risk associated with changing general economic conditions. The Company employs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appropriate capital levels as needed to support lending activities.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Despite the Company's concentration in non-owner occupied commercial real estate and multifamily residential and residential mixed-use loans, the properties securing these portfolios are diversified in terms of type and geographic location. This diversity helps reduce the exposure to adverse economic events that affect any single market or industry. As a matter of policy, the non-owner occupied commercial real estate loan and the multifamily residential and residential mixed-use loan portfolios are subject to risk exposure limits by individual asset classes as well as geographic collateral locations outside of our market areas.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regularly identify and assess concentration levels through ongoing reporting to our Board of Directors as well as committees at both the Board and Management levels. The management team has extensive knowledge and experience in underwriting non-owner occupied commercial real estate loans and multifamily residential and residential mixed-use loans. Management has established the Credit Risk Management Committee which meets quarterly to review all policies and procedures, large lending exposures, and emerging trends including trends related to delinquency, debt service coverage ratios, loan-to-value, and loan ratings to aid in early detection and escalation of potential issues. The Company has a dedicated team responsible for conducting comprehensive annual reviews of the portfolios, ensuring consistent oversight. Credit underwriting standards are periodically reviewed and adjusted based upon observations from our ongoing monitoring of economic conditions in major real estate markets in which we lend. In response to the current dynamic interest rate environment and changes in the benchmark rates that determine loan pricing, the Company has enhanced its stress testing and loan review activities to mitigate interest rate reset risk with a specific emphasis on borrowers' abilities to absorb the impact of higher interest loan rates and measure the resiliency of the portfolios. As a general rule, Management takes a selective approach to originating non-owner occupied commercial real estate and multifamily residential and residential mixed-use loans, prioritizing quality and strategic alignment.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the composition by property type and weighted average loan-to-value (“LTV”) of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non-owner occupied commercial real estate loans: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NY</w:t>
            </w:r>
          </w:p>
        </w:tc>
        <w:tc>
          <w:tcPr>
            <w:tcW w:w="140" w:type="dxa"/>
            <w:vAlign w:val="bottom"/>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NJ</w:t>
            </w:r>
          </w:p>
        </w:tc>
        <w:tc>
          <w:tcPr>
            <w:tcW w:w="14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Rate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LTV</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Investor commercial real estate:</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1,033,852</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66,818</w:t>
            </w:r>
          </w:p>
        </w:tc>
        <w:tc>
          <w:tcPr>
            <w:tcW w:w="14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3,529</w:t>
            </w:r>
          </w:p>
        </w:tc>
        <w:tc>
          <w:tcPr>
            <w:tcW w:w="1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1,104,199</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48"/>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418,353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161,272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3,091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582,716</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Warehouse/ Industrial</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320,596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14,717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68,770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404,083</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330,351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11,823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342,596</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Supportive housing</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178,603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178,603</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100,860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28,162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129,022</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Educational facility or library</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113,302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113,302</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facility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60,626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60,626</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207,582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212,973</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Borders>
              <w:top w:val="single" w:sz="8" w:color="auto"/>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investor commercial real estate</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2,764,125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245,943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118,052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3,128,120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w:t>
            </w:r>
          </w:p>
        </w:tc>
        <w:tc>
          <w:tcPr>
            <w:tcW w:w="16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line="224" w:lineRule="auto"/>
        <w:tabs>
          <w:tab w:leader="none" w:pos="38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211" w:lineRule="exact"/>
        <w:rPr>
          <w:rFonts w:ascii="Times New Roman" w:cs="Times New Roman" w:eastAsia="Times New Roman" w:hAnsi="Times New Roman"/>
          <w:sz w:val="27"/>
          <w:szCs w:val="27"/>
          <w:color w:val="auto"/>
          <w:vertAlign w:val="superscript"/>
        </w:rPr>
      </w:pPr>
    </w:p>
    <w:p>
      <w:pPr>
        <w:ind w:left="600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b w:val="1"/>
          <w:bCs w:val="1"/>
          <w:color w:val="auto"/>
        </w:rPr>
        <w:t>December 31, 2024</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17"/>
        </w:trPr>
        <w:tc>
          <w:tcPr>
            <w:tcW w:w="22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NY</w:t>
            </w:r>
          </w:p>
        </w:tc>
        <w:tc>
          <w:tcPr>
            <w:tcW w:w="140" w:type="dxa"/>
            <w:vAlign w:val="bottom"/>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NJ</w:t>
            </w:r>
          </w:p>
        </w:tc>
        <w:tc>
          <w:tcPr>
            <w:tcW w:w="14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Rate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LTV</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Investor commercial real estate:</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1,085,618</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62,990</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3,594</w:t>
            </w:r>
          </w:p>
        </w:tc>
        <w:tc>
          <w:tcPr>
            <w:tcW w:w="1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1,152,202</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148"/>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Investor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439,359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162,367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604,853</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Warehouse/ Industrial</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337,288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16,675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69,314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423,277</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356,450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11,934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368,809</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Supportive housing</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161,207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161,207</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office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106,403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28,470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134,873</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Educational facility or library</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120,719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120,719</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Medical facility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60,866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60,866</w:t>
            </w:r>
          </w:p>
        </w:tc>
        <w:tc>
          <w:tcPr>
            <w:tcW w:w="9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196,304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2,763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4,662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203,729</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Borders>
              <w:top w:val="single" w:sz="8" w:color="auto"/>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investor commercial real estate</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2,864,214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245,220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121,101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3,230,535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w:t>
            </w:r>
          </w:p>
        </w:tc>
        <w:tc>
          <w:tcPr>
            <w:tcW w:w="16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line="224" w:lineRule="auto"/>
        <w:tabs>
          <w:tab w:leader="none" w:pos="38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20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composition by property type and weighted average LTV of the Company’s multifamily residential and residential mixed-use loans: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186"/>
        </w:trPr>
        <w:tc>
          <w:tcPr>
            <w:tcW w:w="22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Rate</w:t>
            </w:r>
          </w:p>
        </w:tc>
      </w:tr>
      <w:tr>
        <w:trPr>
          <w:trHeight w:val="215"/>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LTV</w:t>
            </w:r>
          </w:p>
        </w:tc>
      </w:tr>
      <w:tr>
        <w:trPr>
          <w:trHeight w:val="199"/>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550,863</w:t>
            </w:r>
          </w:p>
        </w:tc>
        <w:tc>
          <w:tcPr>
            <w:tcW w:w="13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58 </w:t>
            </w:r>
            <w:r>
              <w:rPr>
                <w:rFonts w:ascii="Arial" w:cs="Arial" w:eastAsia="Arial" w:hAnsi="Arial"/>
                <w:sz w:val="16"/>
                <w:szCs w:val="16"/>
                <w:color w:val="auto"/>
              </w:rPr>
              <w:t>%</w:t>
            </w:r>
          </w:p>
        </w:tc>
      </w:tr>
      <w:tr>
        <w:trPr>
          <w:trHeight w:val="203"/>
        </w:trPr>
        <w:tc>
          <w:tcPr>
            <w:tcW w:w="646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623,104</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1,781,000</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55</w:t>
            </w:r>
          </w:p>
        </w:tc>
        <w:tc>
          <w:tcPr>
            <w:tcW w:w="180" w:type="dxa"/>
            <w:vAlign w:val="bottom"/>
            <w:shd w:val="clear" w:color="auto" w:fill="CCEEFF"/>
          </w:tcPr>
          <w:p>
            <w:pPr>
              <w:spacing w:after="0"/>
              <w:rPr>
                <w:sz w:val="17"/>
                <w:szCs w:val="17"/>
                <w:color w:val="auto"/>
              </w:rPr>
            </w:pPr>
          </w:p>
        </w:tc>
      </w:tr>
      <w:tr>
        <w:trPr>
          <w:trHeight w:val="196"/>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2,954,967</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56</w:t>
            </w:r>
          </w:p>
        </w:tc>
        <w:tc>
          <w:tcPr>
            <w:tcW w:w="18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738,458</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58</w:t>
            </w:r>
          </w:p>
        </w:tc>
        <w:tc>
          <w:tcPr>
            <w:tcW w:w="180" w:type="dxa"/>
            <w:vAlign w:val="bottom"/>
          </w:tcPr>
          <w:p>
            <w:pPr>
              <w:spacing w:after="0"/>
              <w:rPr>
                <w:sz w:val="17"/>
                <w:szCs w:val="17"/>
                <w:color w:val="auto"/>
              </w:rPr>
            </w:pPr>
          </w:p>
        </w:tc>
      </w:tr>
      <w:tr>
        <w:trPr>
          <w:trHeight w:val="196"/>
        </w:trPr>
        <w:tc>
          <w:tcPr>
            <w:tcW w:w="62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multifamily residential and residential mixed-use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3,693,425</w:t>
            </w:r>
          </w:p>
        </w:tc>
        <w:tc>
          <w:tcPr>
            <w:tcW w:w="132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57 </w:t>
            </w: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r>
    </w:tbl>
    <w:p>
      <w:pPr>
        <w:ind w:left="380" w:hanging="330"/>
        <w:spacing w:after="0" w:line="214" w:lineRule="auto"/>
        <w:tabs>
          <w:tab w:leader="none" w:pos="38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New York City includes the Bronx, Brooklyn, Queens, Staten Island and Manhattan.</w:t>
      </w:r>
    </w:p>
    <w:p>
      <w:pPr>
        <w:spacing w:after="0" w:line="10"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6"/>
        </w:trPr>
        <w:tc>
          <w:tcPr>
            <w:tcW w:w="22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Average Rate</w:t>
            </w:r>
          </w:p>
        </w:tc>
      </w:tr>
      <w:tr>
        <w:trPr>
          <w:trHeight w:val="215"/>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LTV</w:t>
            </w:r>
          </w:p>
        </w:tc>
      </w:tr>
      <w:tr>
        <w:trPr>
          <w:trHeight w:val="199"/>
        </w:trPr>
        <w:tc>
          <w:tcPr>
            <w:tcW w:w="6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572,054</w:t>
            </w:r>
          </w:p>
        </w:tc>
        <w:tc>
          <w:tcPr>
            <w:tcW w:w="13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58 </w:t>
            </w:r>
            <w:r>
              <w:rPr>
                <w:rFonts w:ascii="Arial" w:cs="Arial" w:eastAsia="Arial" w:hAnsi="Arial"/>
                <w:sz w:val="16"/>
                <w:szCs w:val="16"/>
                <w:color w:val="auto"/>
              </w:rPr>
              <w:t>%</w:t>
            </w:r>
          </w:p>
        </w:tc>
      </w:tr>
      <w:tr>
        <w:trPr>
          <w:trHeight w:val="203"/>
        </w:trPr>
        <w:tc>
          <w:tcPr>
            <w:tcW w:w="646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643,908</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r>
      <w:tr>
        <w:trPr>
          <w:trHeight w:val="203"/>
        </w:trPr>
        <w:tc>
          <w:tcPr>
            <w:tcW w:w="64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1,846,525</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55</w:t>
            </w:r>
          </w:p>
        </w:tc>
        <w:tc>
          <w:tcPr>
            <w:tcW w:w="180" w:type="dxa"/>
            <w:vAlign w:val="bottom"/>
            <w:shd w:val="clear" w:color="auto" w:fill="CCEEFF"/>
          </w:tcPr>
          <w:p>
            <w:pPr>
              <w:spacing w:after="0"/>
              <w:rPr>
                <w:sz w:val="17"/>
                <w:szCs w:val="17"/>
                <w:color w:val="auto"/>
              </w:rPr>
            </w:pPr>
          </w:p>
        </w:tc>
      </w:tr>
      <w:tr>
        <w:trPr>
          <w:trHeight w:val="196"/>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3,062,487</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56</w:t>
            </w:r>
          </w:p>
        </w:tc>
        <w:tc>
          <w:tcPr>
            <w:tcW w:w="18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757,796</w:t>
            </w: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59</w:t>
            </w:r>
          </w:p>
        </w:tc>
        <w:tc>
          <w:tcPr>
            <w:tcW w:w="180" w:type="dxa"/>
            <w:vAlign w:val="bottom"/>
          </w:tcPr>
          <w:p>
            <w:pPr>
              <w:spacing w:after="0"/>
              <w:rPr>
                <w:sz w:val="17"/>
                <w:szCs w:val="17"/>
                <w:color w:val="auto"/>
              </w:rPr>
            </w:pPr>
          </w:p>
        </w:tc>
      </w:tr>
      <w:tr>
        <w:trPr>
          <w:trHeight w:val="196"/>
        </w:trPr>
        <w:tc>
          <w:tcPr>
            <w:tcW w:w="624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multifamily residential and residential mixed-use</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3,820,283</w:t>
            </w:r>
          </w:p>
        </w:tc>
        <w:tc>
          <w:tcPr>
            <w:tcW w:w="1320" w:type="dxa"/>
            <w:vAlign w:val="bottom"/>
            <w:tcBorders>
              <w:top w:val="single" w:sz="8" w:color="CCEEFF"/>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57 </w:t>
            </w:r>
            <w:r>
              <w:rPr>
                <w:rFonts w:ascii="Arial" w:cs="Arial" w:eastAsia="Arial" w:hAnsi="Arial"/>
                <w:sz w:val="16"/>
                <w:szCs w:val="16"/>
                <w:color w:val="auto"/>
              </w:rPr>
              <w:t>%</w:t>
            </w:r>
          </w:p>
        </w:tc>
      </w:tr>
      <w:tr>
        <w:trPr>
          <w:trHeight w:val="20"/>
        </w:trPr>
        <w:tc>
          <w:tcPr>
            <w:tcW w:w="2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r>
    </w:tbl>
    <w:p>
      <w:pPr>
        <w:ind w:left="380" w:hanging="330"/>
        <w:spacing w:after="0" w:line="224" w:lineRule="auto"/>
        <w:tabs>
          <w:tab w:leader="none" w:pos="3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New York City includes the Bronx, Brooklyn, Queens, Staten Island and Manhattan.</w:t>
      </w:r>
    </w:p>
    <w:p>
      <w:pPr>
        <w:spacing w:after="0" w:line="11"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0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 information related to the granularity in the non-owner occupied commercial real estate and multifamily residential and residential mixed-use portfolios is presented in the tables below as of June 30, 2025 and December 31, 2024:</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183"/>
        </w:trPr>
        <w:tc>
          <w:tcPr>
            <w:tcW w:w="22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03"/>
        </w:trPr>
        <w:tc>
          <w:tcPr>
            <w:tcW w:w="2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21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&gt; $20 million</w:t>
            </w:r>
          </w:p>
        </w:tc>
      </w:tr>
      <w:tr>
        <w:trPr>
          <w:trHeight w:val="199"/>
        </w:trPr>
        <w:tc>
          <w:tcPr>
            <w:tcW w:w="6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Investor commercial real estate:</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2,642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Investor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Warehouse/ Industrial</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3,707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Hotels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8,565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Supportive housing</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19,845</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Educational facility or library</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10,300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facility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7,578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03"/>
        </w:trPr>
        <w:tc>
          <w:tcPr>
            <w:tcW w:w="670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224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0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670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3,799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r>
      <w:tr>
        <w:trPr>
          <w:trHeight w:val="203"/>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3,949</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r>
      <w:tr>
        <w:trPr>
          <w:trHeight w:val="203"/>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4,674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r>
      <w:tr>
        <w:trPr>
          <w:trHeight w:val="108"/>
        </w:trPr>
        <w:tc>
          <w:tcPr>
            <w:tcW w:w="224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ind w:left="380" w:hanging="330"/>
        <w:spacing w:after="0" w:line="224" w:lineRule="auto"/>
        <w:tabs>
          <w:tab w:leader="none" w:pos="38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11"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 York City includes the Bronx, Brooklyn, Queens, Staten Island and Manhattan.</w:t>
      </w:r>
    </w:p>
    <w:p>
      <w:pPr>
        <w:spacing w:after="0" w:line="10" w:lineRule="exact"/>
        <w:rPr>
          <w:rFonts w:ascii="Times New Roman" w:cs="Times New Roman" w:eastAsia="Times New Roman" w:hAnsi="Times New Roman"/>
          <w:sz w:val="22"/>
          <w:szCs w:val="22"/>
          <w:color w:val="auto"/>
          <w:vertAlign w:val="superscript"/>
        </w:rPr>
      </w:pPr>
    </w:p>
    <w:p>
      <w:pPr>
        <w:ind w:left="380" w:hanging="330"/>
        <w:spacing w:after="0" w:line="182" w:lineRule="auto"/>
        <w:tabs>
          <w:tab w:leader="none" w:pos="3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83"/>
        </w:trPr>
        <w:tc>
          <w:tcPr>
            <w:tcW w:w="22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03"/>
        </w:trPr>
        <w:tc>
          <w:tcPr>
            <w:tcW w:w="22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r>
      <w:tr>
        <w:trPr>
          <w:trHeight w:val="21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&gt; $20 million</w:t>
            </w:r>
          </w:p>
        </w:tc>
      </w:tr>
      <w:tr>
        <w:trPr>
          <w:trHeight w:val="199"/>
        </w:trPr>
        <w:tc>
          <w:tcPr>
            <w:tcW w:w="64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Investor commercial real estate:</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Investor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Warehouse/ Industrial</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Hotels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Supportive housing</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office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Educational facility or library</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Medical facility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670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24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Multifamily residential and residential mixed-use: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0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New York City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100% rent regulated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Majority rent regulated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Majority free market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6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New York City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08"/>
        </w:trPr>
        <w:tc>
          <w:tcPr>
            <w:tcW w:w="224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ind w:left="380" w:hanging="330"/>
        <w:spacing w:after="0" w:line="224" w:lineRule="auto"/>
        <w:tabs>
          <w:tab w:leader="none" w:pos="38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various property types such as gas stations, restaurants, storage facilities, and other special use properties.</w:t>
      </w:r>
    </w:p>
    <w:p>
      <w:pPr>
        <w:spacing w:after="0" w:line="11" w:lineRule="exact"/>
        <w:rPr>
          <w:rFonts w:ascii="Times New Roman" w:cs="Times New Roman" w:eastAsia="Times New Roman" w:hAnsi="Times New Roman"/>
          <w:sz w:val="27"/>
          <w:szCs w:val="27"/>
          <w:color w:val="auto"/>
          <w:vertAlign w:val="superscript"/>
        </w:rPr>
      </w:pPr>
    </w:p>
    <w:p>
      <w:pPr>
        <w:ind w:left="380" w:hanging="330"/>
        <w:spacing w:after="0" w:line="182"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 York City includes the Bronx, Brooklyn, Queens, Staten Island and Manhattan.</w:t>
      </w:r>
    </w:p>
    <w:p>
      <w:pPr>
        <w:spacing w:after="0" w:line="10" w:lineRule="exact"/>
        <w:rPr>
          <w:rFonts w:ascii="Times New Roman" w:cs="Times New Roman" w:eastAsia="Times New Roman" w:hAnsi="Times New Roman"/>
          <w:sz w:val="22"/>
          <w:szCs w:val="22"/>
          <w:color w:val="auto"/>
          <w:vertAlign w:val="superscript"/>
        </w:rPr>
      </w:pPr>
    </w:p>
    <w:p>
      <w:pPr>
        <w:ind w:left="380" w:hanging="330"/>
        <w:spacing w:after="0" w:line="182"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Composition based on revenue.</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 xml:space="preserve">We do not originate or purchase loans, either whole loans or loans underlying MBS, which would have been considered subprime loans at origination,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real estate loans advanced to borrowers who did not qualify for market interest rates because of problems with their income or credit history. See Note 6 to our unaudited condensed Consolidated Financial Statements for a discussion of evaluation for impaired securities.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Monitoring and Collection of Delinquent Loans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management reviews delinquent loans on a monthly basis and reports to our Board of Directors or Committees of the Board of Directors at each regularly scheduled Board or Committee meeting regarding the status of all non-performing and otherwise delinquent loans in our loan portfolio.</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loan servicing policies and procedures require that an automated late notice be sent to a delinquent borrower as soon as possible after a payment is ten days late in the case of business loans, multifamily residential and mixed use, non-owner-occupied commercial real estate loans, and ADC loans, or fifteen days late in connection with one-to-four family and consumer loans. Thereafter, periodic letters are mailed and phone calls placed to the borrower until payment is received or the loan is transferred to workout. When contact is made with the borrower at any time prior to foreclosure, we will attempt to obtain the full payment due or negotiate a repayment schedule with the borrower to avoid foreclosure.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Accrual of interest is generally discontinued on a loan that meets any of the following three criteria: (i) full payment of principal or interest is not expected; (ii) principal or interest has been in default for a period of 90 days or more (unless the loan is both deemed to be well secured and in the process of collection); or (iii) an election has otherwise been made to maintain the loan on a cash basis due to deterioration in the financial condition of the borrower. Such non-accrual determination practices are applied consistently to all loans regardless of their internal classification or designation. Upon entering non-accrual status, the system will reverse all outstanding accrued interest receivable.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generally initiate foreclosure proceedings on real estate loans when a loan enters non-accrual status based upon non-payment, unless the borrower is paying in accordance with an agreed upon modified payment agreement. We obtain an updated appraisal upon the commencement of legal action to calculate a potential collateral shortfall and to reserve appropriately for the potential loss. If a foreclosure action is instituted and the loan is not brought current, paid in full, or refinanced before the foreclosure action is completed, the property securing the loan is transferred to Other Real Estate Owned (“OREO”) status. We generally attempt to utilize all available remedies, such as note sales in lieu of foreclosure, in an effort to resolve non-accrual loans and OREO properties as quickly and prudently as possible in consideration of market conditions, the physical condition of the property and any other mitigating circumstances. We have not initiated any expected or imminent foreclosure proceedings that are likely to have a material adverse impact on our consolidated financial statements. In the event that a non-accrual loan is subsequently brought current, it is returned to accrual status once the doubt concerning collectability has been removed and the borrower has demonstrated performance in accordance with the loan terms and has made at least six months of payments.</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C&amp;I portfolio, which is within our business loans, is actively managed by our lenders. Most credit facilities typically require an annual review of the exposure and borrowers are required to submit annual financial reporting and loans are structured with financial covenants to indicate expected performance levels. Smaller C&amp;I loans are monitored based on performance and the ability to draw against a credit line is curtailed if there are any indications of credit deterioration. Guarantors are also required to update their financial reporting on an annual basis or alternative schedule as provided in their loan documents. All exposures are credit risk rated and those entering adverse ratings due to financial performance concerns of the borrower or material delinquency of any payments or financial reporting are subjected to added management scrutiny and monitoring. Measures taken typically include amendments to the amount of the available credit facility, requirements for increased collateral, additional guarantor support or a material enhancement to the frequency and quality of financial reporting. Loans determined to reach adverse risk rating standards are monitored closely by Credit Administration to identify any potential credit losses. When warranted, loans reaching a Substandard rating could be reassigned to the Workout Group for direct handling.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Non-accrual Loans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Within our held-for-investment loan portfolio, non-accrual loans totaled $53.2 million at June 30, 2025 and $49.5 million at December 31, 2024.</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non-accrual loans as of the dates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Non-accrual loans:</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18,007</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22,624</w:t>
            </w:r>
          </w:p>
        </w:tc>
        <w:tc>
          <w:tcPr>
            <w:tcW w:w="36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1,642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4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32,908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22,960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8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Total non-accrual loans</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53,214</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49,479</w:t>
            </w: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24,843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4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Ratios: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non-accrual loans to total loans</w:t>
            </w:r>
          </w:p>
        </w:tc>
        <w:tc>
          <w:tcPr>
            <w:tcW w:w="140" w:type="dxa"/>
            <w:vAlign w:val="bottom"/>
          </w:tcPr>
          <w:p>
            <w:pPr>
              <w:spacing w:after="0"/>
              <w:rPr>
                <w:sz w:val="16"/>
                <w:szCs w:val="16"/>
                <w:color w:val="auto"/>
              </w:rPr>
            </w:pPr>
          </w:p>
        </w:tc>
        <w:tc>
          <w:tcPr>
            <w:tcW w:w="9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0.49 %</w:t>
            </w:r>
          </w:p>
        </w:tc>
        <w:tc>
          <w:tcPr>
            <w:tcW w:w="200" w:type="dxa"/>
            <w:vAlign w:val="bottom"/>
          </w:tcPr>
          <w:p>
            <w:pPr>
              <w:spacing w:after="0"/>
              <w:rPr>
                <w:sz w:val="16"/>
                <w:szCs w:val="16"/>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0.46</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9"/>
        </w:trPr>
        <w:tc>
          <w:tcPr>
            <w:tcW w:w="548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Total non-performing assets to total assets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0.37</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0.34</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0.18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Loan Restructurings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Within the allowance for credit losses, losses are estimated for restructured loans on accrual status as well as restructured loans on non-accrual status that are one-to-four family loans or consumer loans, on a pooled basis with loans that share similar risk characteristics. Restructured loans on non-accrual status excluding one-to-four family and consumer loans are individually evaluated to determine expected credit losses. For restructured loans that are collateral-dependent where the Bank has determined that foreclosure of the collateral is probable, or where the borrower is experiencing financial difficulty and we expect repayment of the loan to be provided substantially through the operation or sale of the collateral, the allowance for credit losses is measured based on the difference between the fair value of collateral, less the estimated costs to sell, and the amortized cost basis of the loan as of the measurement date. For non-collateral-dependent loans, the allowance for credit losses is measured based on the difference between the present value of expected cash flows and the amortized cost basis of the loan as of the measurement date.</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OREO</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Property acquired by the Bank, or a subsidiary, as a result of foreclosure on a mortgage loan or a deed in lieu of foreclosure is classified as OREO. Upon entering OREO status, we obtain a current appraisal on the property and reassess the likely realizable value (</w:t>
      </w:r>
      <w:r>
        <w:rPr>
          <w:rFonts w:ascii="Times New Roman" w:cs="Times New Roman" w:eastAsia="Times New Roman" w:hAnsi="Times New Roman"/>
          <w:sz w:val="18"/>
          <w:szCs w:val="18"/>
          <w:i w:val="1"/>
          <w:iCs w:val="1"/>
          <w:color w:val="auto"/>
        </w:rPr>
        <w:t>a/k/a</w:t>
      </w:r>
      <w:r>
        <w:rPr>
          <w:rFonts w:ascii="Times New Roman" w:cs="Times New Roman" w:eastAsia="Times New Roman" w:hAnsi="Times New Roman"/>
          <w:sz w:val="18"/>
          <w:szCs w:val="18"/>
          <w:color w:val="auto"/>
        </w:rPr>
        <w:t xml:space="preserve"> fair value) of the property quarterly thereafter. OREO is carried at the lower of the fair value or book balance, with any write downs recognized through a provision recorded in non-interest expense. Only the appraised value, or either a contractual or formal marketed value that falls below the appraised value, is used when determining the likely realizable value of OREO at each reporting period. We typically seek to dispose of OREO properties in a timely manner. As a result, OREO properties have generally not warranted subsequent independent appraisals.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no carrying value of OREO properties on our Consolidated Statement of Financial Condition at June 30, 2025 or December 31, 2024. We did not recognize any provision for losses on OREO properties during the six months ended June 30, 2025 or 2024.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Past Due Loans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30 to 59 Days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At June 30, 2025, there were $28.1 million of loans that were past due between 30 and 59 days, compared to $10.3 million at December 31, 2024. The 30 to 59-day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Loans Delinquent 60 to 89 Days</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At June 30, 2025, there were $33.4 million of loans that were past due between 60 and 89 days, compared to $31.3 million at December 31, 2024. The 60 to 89-day delinquency levels fluctuate monthly and are generally considered a less accurate indicator of near-term credit quality trends than non-accrual loans.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Accruing Loans 90 Days or More Past Due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accruing loans 90 days or more past due at June 30, 2025 or at December 31,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Reserve for Unfunded Loan Commitments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Bank maintains a reserve, recorded in other liabilities, associated with unfunded loan commitments accepted by the borrower. The amount of our reserve was $2.8 million and $2.7 million at June 30, 2025 and December 31, 2024, respectively. This reserve is determined based upon the outstanding volume of unfunded loan commitments at each period end. Any increases or reductions in this reserve are recognized in provision for credit losses.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Provision for credit losses for the six months ended June 30, 2025 and 2024 was $18.8 million and $10.8 million, respectively. Included in the provision for credit losses for the six months ended June 30, 2025 was $1.8 million of provision related to one available-for-sale corporate security. The remainder of the credit loss provision for the six months ended June 30, 2025, was primarily attributable to updates in the macroeconomic forecast and to the loss driver models. The $10.8 million credit loss provision for the six months ended June 30, 2024, was primarily associated with provisioning for the Bank’s pooled multifamily loan portfolio.</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a further discussion of the allowance for credit losses and related activity during the six months ended June 30, 2025 and 2024, please see Note 6 “Securities” and Note 7 “Loans Held for Investment, Net” to the condensed Consolidated Financial Statements.</w:t>
      </w:r>
    </w:p>
    <w:p>
      <w:pPr>
        <w:spacing w:after="0" w:line="176" w:lineRule="exact"/>
        <w:rPr>
          <w:sz w:val="20"/>
          <w:szCs w:val="20"/>
          <w:color w:val="auto"/>
        </w:rPr>
      </w:pPr>
    </w:p>
    <w:p>
      <w:pPr>
        <w:jc w:val="both"/>
        <w:ind w:left="60" w:right="79"/>
        <w:spacing w:after="0" w:line="270" w:lineRule="auto"/>
        <w:rPr>
          <w:sz w:val="20"/>
          <w:szCs w:val="20"/>
          <w:color w:val="auto"/>
        </w:rPr>
      </w:pPr>
      <w:r>
        <w:rPr>
          <w:rFonts w:ascii="Times New Roman" w:cs="Times New Roman" w:eastAsia="Times New Roman" w:hAnsi="Times New Roman"/>
          <w:sz w:val="18"/>
          <w:szCs w:val="18"/>
          <w:color w:val="auto"/>
        </w:rPr>
        <w:t>The following table presents our allowance for credit losses allocated by loan type and the percent of loans in each category to total loans as of the dates indicated.</w:t>
      </w:r>
    </w:p>
    <w:tbl>
      <w:tblPr>
        <w:tblLayout w:type="fixed"/>
        <w:tblInd w:w="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5"/>
                <w:szCs w:val="15"/>
                <w:color w:val="auto"/>
              </w:rPr>
            </w:pPr>
          </w:p>
        </w:tc>
        <w:tc>
          <w:tcPr>
            <w:tcW w:w="174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3"/>
              </w:rPr>
              <w:t>Percent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5"/>
              </w:rPr>
              <w:t>of Loans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Loans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4"/>
              </w:rPr>
              <w:t>in Each</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Each</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7"/>
              </w:rPr>
              <w:t>Category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Category</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Allocated</w:t>
            </w:r>
          </w:p>
        </w:tc>
        <w:tc>
          <w:tcPr>
            <w:tcW w:w="112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w w:val="96"/>
              </w:rPr>
              <w:t>to Total</w:t>
            </w:r>
          </w:p>
        </w:tc>
        <w:tc>
          <w:tcPr>
            <w:tcW w:w="14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Allocated</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 Total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120" w:type="dxa"/>
            <w:vAlign w:val="bottom"/>
            <w:gridSpan w:val="2"/>
          </w:tcPr>
          <w:p>
            <w:pPr>
              <w:jc w:val="center"/>
              <w:ind w:right="248"/>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8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Business loans</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42,965</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26.70</w:t>
            </w:r>
          </w:p>
        </w:tc>
        <w:tc>
          <w:tcPr>
            <w:tcW w:w="3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42,898</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25.08</w:t>
            </w:r>
          </w:p>
        </w:tc>
        <w:tc>
          <w:tcPr>
            <w:tcW w:w="30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45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9,567</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9.19</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9,501</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13,667</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33.97</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35.16</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24,326</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28.78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21,876</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2,380</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284</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0.06</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93,189</w:t>
            </w: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100.00</w:t>
            </w:r>
          </w:p>
        </w:tc>
        <w:tc>
          <w:tcPr>
            <w:tcW w:w="320" w:type="dxa"/>
            <w:vAlign w:val="bottom"/>
            <w:tcBorders>
              <w:bottom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88,751</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300" w:type="dxa"/>
            <w:vAlign w:val="bottom"/>
            <w:tcBorders>
              <w:bottom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information about our allowance for credit losses at or for the dates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At or for the Six Months Ended June 30,</w:t>
            </w: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Total loans outstanding at end of period </w:t>
            </w:r>
            <w:r>
              <w:rPr>
                <w:rFonts w:ascii="Times New Roman" w:cs="Times New Roman" w:eastAsia="Times New Roman" w:hAnsi="Times New Roman"/>
                <w:sz w:val="16"/>
                <w:szCs w:val="16"/>
                <w:color w:val="auto"/>
                <w:vertAlign w:val="superscript"/>
              </w:rPr>
              <w:t>(1)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10,870,030</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10,824,518</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Average total loans outstanding during the period </w:t>
            </w:r>
            <w:r>
              <w:rPr>
                <w:rFonts w:ascii="Times New Roman" w:cs="Times New Roman" w:eastAsia="Times New Roman" w:hAnsi="Times New Roman"/>
                <w:sz w:val="17"/>
                <w:szCs w:val="17"/>
                <w:color w:val="auto"/>
                <w:vertAlign w:val="superscript"/>
              </w:rPr>
              <w:t>(2)</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10,852,525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10,757,655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balance at end of period</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93,189</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77,812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loans at end of period</w:t>
            </w:r>
          </w:p>
        </w:tc>
        <w:tc>
          <w:tcPr>
            <w:tcW w:w="1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0.86 %</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0.72</w:t>
            </w:r>
          </w:p>
        </w:tc>
        <w:tc>
          <w:tcPr>
            <w:tcW w:w="2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6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Non-performing loans to total loans at end of period</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0.49</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Allowance for credit losses to total non-performing loans at end of period</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175.12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313.21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Ratio of net charge-offs to average loans outstanding during the period:</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Business loans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0.35 %</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0.15</w:t>
            </w:r>
          </w:p>
        </w:tc>
        <w:tc>
          <w:tcPr>
            <w:tcW w:w="2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cooperative/condominium apartment</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0.01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0.47</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0.75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0.23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41910</wp:posOffset>
            </wp:positionV>
            <wp:extent cx="14141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40"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Total loans represent gross loans (excluding loans held for sale), inclusive of deferred fees/costs and premiums/discounts.</w:t>
      </w:r>
    </w:p>
    <w:p>
      <w:pPr>
        <w:spacing w:after="0" w:line="10" w:lineRule="exact"/>
        <w:rPr>
          <w:rFonts w:ascii="Times New Roman" w:cs="Times New Roman" w:eastAsia="Times New Roman" w:hAnsi="Times New Roman"/>
          <w:sz w:val="27"/>
          <w:szCs w:val="27"/>
          <w:color w:val="auto"/>
          <w:vertAlign w:val="superscript"/>
        </w:rPr>
      </w:pPr>
    </w:p>
    <w:p>
      <w:pPr>
        <w:ind w:left="380" w:right="79" w:hanging="330"/>
        <w:spacing w:after="0" w:line="191" w:lineRule="auto"/>
        <w:tabs>
          <w:tab w:leader="none" w:pos="38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Total average loans represent gross loans (including loans held for sale), inclusive of deferred loan fees/costs and premiums/discounts.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Financial Condition at June 30, 2025 and December 31, 2024</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totaled $14.21 billion at June 30, 2025, $145.3 million below their level at December 31, 2024,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decreases of $126.8 million in cash and due from banks, $76.3 million in other assets, $25.5 million in derivative assets, $9.0 million in loans held for sale and $5.5 million in the loan portfolio, partially offset by an increase of $102.7 million in BOLI.</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Loan originations, excluding new lines, totaled $298.8 million for the six-month period ended June 30, 2025.</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investment securities increased $617 thousand during the six months ended June 30, 2025, to $1.33 billion at period end, primarily due to purchases of $81.0 million and a decrease in unrealized losses of $12.9 million, offset by proceeds from principal payments, calls and maturities of $68.6 million and proceeds from the sale of available for sale securities of $24.8 million. There were no transfers to or from securities held-to-maturity during the six months ended June 30, 2025.</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BOLI increased $102.7 million during the six months ended June 30, 2025, to $393.3 million. This increase in BOLI is primarily due to completion of the restructuring initiative that begun in late 2024, as well as purchases of new BOLI assets.</w:t>
      </w:r>
    </w:p>
    <w:p>
      <w:pPr>
        <w:spacing w:after="0" w:line="15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liabilities decreased $179.8 million during the six months ended June 30, 2025, to $12.78 billion at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 primarily due to decreases of $100.0 million in FHLBNY advances, $50.0 million in short-term borrowings, $42.6 million in derivative cash collateral, $22.2 million in derivative liabilities and $17.6 million in other liabilities, partially offset by an increase of $54.0 million in deposits (including mortgage escrow accounts).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Stockholders’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equity increased $34.5 million during the six months ended June 30, 2025, to $1.43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at period end, primarily due to net income of $51.2 million and other comprehensive income of $7.1 million, partially offset by common stock dividends of $21.8 million, and preferred stock dividends of $3.6 million.</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Months Ended June 30, 2025 and 2024</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Net income was $29.7 million during the three months ended June 30, 2025, compared to net income of $18.5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2024. During the three months ended June 30, 2025, net interest income increased by $22.6 million, non-interest expense increased by $4.6 million, the credit loss provision increased by $3.6 million, non-interest income decreased by $213 thousand and income tax expense increased by $2.9 million, compared to the three months ended June 30, 2024.</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discussion of net interest income for the three months ended June 30, 2025 and 2024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 included in interest income were $1.1 million during the three months ended June 30, 2025, compared to a net loan cost of $7 thousand during the three months ended June 30, 2024. The increase in net loan fees was primarily due to increases in prepayment penalty fees and deferred fees on loans in 2025.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Net Interest Income</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center"/>
              <w:ind w:righ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6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Yield/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60" w:type="dxa"/>
            <w:vAlign w:val="bottom"/>
          </w:tcPr>
          <w:p>
            <w:pPr>
              <w:spacing w:after="0"/>
              <w:rPr>
                <w:sz w:val="13"/>
                <w:szCs w:val="13"/>
                <w:color w:val="auto"/>
              </w:rPr>
            </w:pPr>
          </w:p>
        </w:tc>
        <w:tc>
          <w:tcPr>
            <w:tcW w:w="760" w:type="dxa"/>
            <w:vAlign w:val="bottom"/>
            <w:gridSpan w:val="3"/>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62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Assets:</w:t>
            </w: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w w:val="93"/>
              </w:rPr>
              <w:t>(Dollars</w:t>
            </w:r>
          </w:p>
        </w:tc>
        <w:tc>
          <w:tcPr>
            <w:tcW w:w="200" w:type="dxa"/>
            <w:vAlign w:val="bottom"/>
            <w:tcBorders>
              <w:top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6"/>
              </w:rPr>
              <w:t>in</w:t>
            </w:r>
          </w:p>
        </w:tc>
        <w:tc>
          <w:tcPr>
            <w:tcW w:w="72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thousands)</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Interest-earning assets:</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5"/>
                <w:szCs w:val="15"/>
                <w:color w:val="auto"/>
                <w:vertAlign w:val="superscript"/>
              </w:rPr>
              <w:t>(1) (3) (6)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2,798,899</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46,593</w:t>
            </w:r>
          </w:p>
        </w:tc>
        <w:tc>
          <w:tcPr>
            <w:tcW w:w="82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6.68 % </w:t>
            </w: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2,400,219</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42,933</w:t>
            </w:r>
          </w:p>
        </w:tc>
        <w:tc>
          <w:tcPr>
            <w:tcW w:w="720" w:type="dxa"/>
            <w:vAlign w:val="bottom"/>
            <w:gridSpan w:val="3"/>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7.19 %</w:t>
            </w: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One-to-four family residential and coop/condo apartment </w:t>
            </w:r>
            <w:r>
              <w:rPr>
                <w:rFonts w:ascii="Times New Roman" w:cs="Times New Roman" w:eastAsia="Times New Roman" w:hAnsi="Times New Roman"/>
                <w:sz w:val="15"/>
                <w:szCs w:val="15"/>
                <w:color w:val="auto"/>
                <w:vertAlign w:val="superscript"/>
              </w:rPr>
              <w:t>(3) (6)</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981,138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11,532</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4.71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886,037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9,968</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4.52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Multifamily residential and residential mixed-use </w:t>
            </w:r>
            <w:r>
              <w:rPr>
                <w:rFonts w:ascii="Times New Roman" w:cs="Times New Roman" w:eastAsia="Times New Roman" w:hAnsi="Times New Roman"/>
                <w:sz w:val="15"/>
                <w:szCs w:val="15"/>
                <w:color w:val="auto"/>
                <w:vertAlign w:val="superscript"/>
              </w:rPr>
              <w:t>(3) (6)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3,740,939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42,462</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3,958,617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45,775</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Non-owner-occupied commercial real estate </w:t>
            </w:r>
            <w:r>
              <w:rPr>
                <w:rFonts w:ascii="Times New Roman" w:cs="Times New Roman" w:eastAsia="Times New Roman" w:hAnsi="Times New Roman"/>
                <w:sz w:val="15"/>
                <w:szCs w:val="15"/>
                <w:color w:val="auto"/>
                <w:vertAlign w:val="superscript"/>
              </w:rPr>
              <w:t>(3) (6)</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3,175,062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41,822</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3,359,004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44,728</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5.36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ADC </w:t>
            </w:r>
            <w:r>
              <w:rPr>
                <w:rFonts w:ascii="Times New Roman" w:cs="Times New Roman" w:eastAsia="Times New Roman" w:hAnsi="Times New Roman"/>
                <w:sz w:val="15"/>
                <w:szCs w:val="15"/>
                <w:color w:val="auto"/>
                <w:vertAlign w:val="superscript"/>
              </w:rPr>
              <w:t>(3)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136,154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3,009</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8.86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164,283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3,638</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Other loans </w:t>
            </w:r>
            <w:r>
              <w:rPr>
                <w:rFonts w:ascii="Times New Roman" w:cs="Times New Roman" w:eastAsia="Times New Roman" w:hAnsi="Times New Roman"/>
                <w:sz w:val="15"/>
                <w:szCs w:val="15"/>
                <w:color w:val="auto"/>
                <w:vertAlign w:val="superscript"/>
              </w:rPr>
              <w:t>(3)</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7,135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4.50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Securities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1,361,383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11,353</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3.34</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1,537,487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7,907</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short-term investments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994,406</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10,749</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4.34</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313,809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4,412</w:t>
            </w:r>
          </w:p>
        </w:tc>
        <w:tc>
          <w:tcPr>
            <w:tcW w:w="5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5.65</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13,195,116</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167,550</w:t>
            </w:r>
          </w:p>
        </w:tc>
        <w:tc>
          <w:tcPr>
            <w:tcW w:w="720" w:type="dxa"/>
            <w:vAlign w:val="bottom"/>
            <w:gridSpan w:val="3"/>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5.09 %</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12,624,556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159,418</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5.08</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8"/>
        </w:trPr>
        <w:tc>
          <w:tcPr>
            <w:tcW w:w="462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Non-interest earning assets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818,476</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793,885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14,013,592</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13,418,441</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Liabilities and Stockholders' Equity:</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liabilities:</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Interest-bearing checking </w:t>
            </w:r>
            <w:r>
              <w:rPr>
                <w:rFonts w:ascii="Times New Roman" w:cs="Times New Roman" w:eastAsia="Times New Roman" w:hAnsi="Times New Roman"/>
                <w:sz w:val="15"/>
                <w:szCs w:val="15"/>
                <w:color w:val="auto"/>
                <w:vertAlign w:val="superscript"/>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943,716</w:t>
            </w: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4,141</w:t>
            </w:r>
          </w:p>
        </w:tc>
        <w:tc>
          <w:tcPr>
            <w:tcW w:w="82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1.76 % </w:t>
            </w: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631,403</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1,499</w:t>
            </w:r>
          </w:p>
        </w:tc>
        <w:tc>
          <w:tcPr>
            <w:tcW w:w="720" w:type="dxa"/>
            <w:vAlign w:val="bottom"/>
            <w:gridSpan w:val="3"/>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0.95 %</w:t>
            </w:r>
          </w:p>
        </w:tc>
        <w:tc>
          <w:tcPr>
            <w:tcW w:w="0" w:type="dxa"/>
            <w:vAlign w:val="bottom"/>
          </w:tcPr>
          <w:p>
            <w:pPr>
              <w:spacing w:after="0"/>
              <w:rPr>
                <w:sz w:val="1"/>
                <w:szCs w:val="1"/>
                <w:color w:val="auto"/>
              </w:rPr>
            </w:pPr>
          </w:p>
        </w:tc>
      </w:tr>
      <w:tr>
        <w:trPr>
          <w:trHeight w:val="135"/>
        </w:trPr>
        <w:tc>
          <w:tcPr>
            <w:tcW w:w="46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Money market</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4,174,694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32,818</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3,495,989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33,193</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3.82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Savings </w:t>
            </w:r>
            <w:r>
              <w:rPr>
                <w:rFonts w:ascii="Times New Roman" w:cs="Times New Roman" w:eastAsia="Times New Roman" w:hAnsi="Times New Roman"/>
                <w:sz w:val="15"/>
                <w:szCs w:val="15"/>
                <w:color w:val="auto"/>
                <w:vertAlign w:val="superscript"/>
              </w:rPr>
              <w:t>(2)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1,925,224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14,048</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2,336,202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23,109</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CDs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1,075,729</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9,174</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3.42</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1,393,678</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15,077</w:t>
            </w:r>
          </w:p>
        </w:tc>
        <w:tc>
          <w:tcPr>
            <w:tcW w:w="5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4.35</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deposits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8,119,363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60,181</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7,857,272</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72,878</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auto"/>
              </w:rPr>
              <w:t>FHLBNY advances</w:t>
            </w: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508,000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4,053</w:t>
            </w:r>
          </w:p>
        </w:tc>
        <w:tc>
          <w:tcPr>
            <w:tcW w:w="5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671,242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6,429</w:t>
            </w: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3.85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net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272,385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4,301</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202,232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2,604</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5.18</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short-term borrowings</w:t>
            </w: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1"/>
                <w:szCs w:val="11"/>
                <w:color w:val="auto"/>
              </w:rPr>
            </w:pPr>
          </w:p>
        </w:tc>
        <w:tc>
          <w:tcPr>
            <w:tcW w:w="760" w:type="dxa"/>
            <w:vAlign w:val="bottom"/>
            <w:gridSpan w:val="3"/>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tcBorders>
              <w:top w:val="single" w:sz="8" w:color="CCEEFF"/>
            </w:tcBorders>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borrowings</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780,385</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8,354</w:t>
            </w:r>
          </w:p>
        </w:tc>
        <w:tc>
          <w:tcPr>
            <w:tcW w:w="52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4.29</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873,474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9,033</w:t>
            </w:r>
          </w:p>
        </w:tc>
        <w:tc>
          <w:tcPr>
            <w:tcW w:w="54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4.16</w:t>
            </w: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20" w:type="dxa"/>
            <w:vAlign w:val="bottom"/>
            <w:tcBorders>
              <w:bottom w:val="single" w:sz="8" w:color="CCEEFF"/>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Derivative cash collateral</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79,188</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918</w:t>
            </w:r>
          </w:p>
        </w:tc>
        <w:tc>
          <w:tcPr>
            <w:tcW w:w="52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4.65</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145,702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2,005</w:t>
            </w:r>
          </w:p>
        </w:tc>
        <w:tc>
          <w:tcPr>
            <w:tcW w:w="54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5.53</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8,978,936</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69,453</w:t>
            </w:r>
          </w:p>
        </w:tc>
        <w:tc>
          <w:tcPr>
            <w:tcW w:w="720" w:type="dxa"/>
            <w:vAlign w:val="bottom"/>
            <w:gridSpan w:val="3"/>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3.10 %</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8,876,448</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83,916</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3.80</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8"/>
        </w:trPr>
        <w:tc>
          <w:tcPr>
            <w:tcW w:w="46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0"/>
                <w:szCs w:val="10"/>
                <w:color w:val="auto"/>
              </w:rPr>
              <w:t xml:space="preserve">Non-interest-bearing checking </w:t>
            </w:r>
            <w:r>
              <w:rPr>
                <w:rFonts w:ascii="Times New Roman" w:cs="Times New Roman" w:eastAsia="Times New Roman" w:hAnsi="Times New Roman"/>
                <w:sz w:val="14"/>
                <w:szCs w:val="14"/>
                <w:color w:val="auto"/>
                <w:vertAlign w:val="superscript"/>
              </w:rPr>
              <w:t>(2)</w:t>
            </w: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3,412,215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3,042,382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non-interest-bearing liabilities</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187,774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242,980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2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12,578,925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12,161,810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1,434,667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1,256,631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62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9"/>
              </w:rPr>
              <w:t>14,013,592</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13,418,441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620" w:type="dxa"/>
            <w:vAlign w:val="bottom"/>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income</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gridSpan w:val="2"/>
            <w:shd w:val="clear" w:color="auto" w:fill="CCEEFF"/>
          </w:tcPr>
          <w:p>
            <w:pPr>
              <w:ind w:left="140"/>
              <w:spacing w:after="0" w:line="102"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98,097</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140"/>
              <w:spacing w:after="0" w:line="102"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75,502</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rate spread </w:t>
            </w:r>
            <w:r>
              <w:rPr>
                <w:rFonts w:ascii="Times New Roman" w:cs="Times New Roman" w:eastAsia="Times New Roman" w:hAnsi="Times New Roman"/>
                <w:sz w:val="18"/>
                <w:szCs w:val="18"/>
                <w:color w:val="auto"/>
                <w:vertAlign w:val="superscript"/>
              </w:rPr>
              <w:t>(4)</w:t>
            </w: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3"/>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1.99 %</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80" w:type="dxa"/>
            <w:vAlign w:val="bottom"/>
            <w:tcBorders>
              <w:top w:val="single" w:sz="8" w:color="CCEEFF"/>
              <w:bottom w:val="single" w:sz="8" w:color="CCEEFF"/>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line="20" w:lineRule="exact"/>
              <w:rPr>
                <w:sz w:val="1"/>
                <w:szCs w:val="1"/>
                <w:color w:val="auto"/>
              </w:rPr>
            </w:pPr>
          </w:p>
        </w:tc>
      </w:tr>
      <w:tr>
        <w:trPr>
          <w:trHeight w:val="116"/>
        </w:trPr>
        <w:tc>
          <w:tcPr>
            <w:tcW w:w="4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interest-earning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4,216,180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20" w:type="dxa"/>
            <w:vAlign w:val="bottom"/>
            <w:gridSpan w:val="4"/>
            <w:shd w:val="clear" w:color="auto" w:fill="CCEEFF"/>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3,748,108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18"/>
                <w:szCs w:val="18"/>
                <w:color w:val="auto"/>
                <w:vertAlign w:val="superscript"/>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3"/>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2.98 %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2.41 %</w:t>
            </w:r>
          </w:p>
        </w:tc>
        <w:tc>
          <w:tcPr>
            <w:tcW w:w="0" w:type="dxa"/>
            <w:vAlign w:val="bottom"/>
          </w:tcPr>
          <w:p>
            <w:pPr>
              <w:spacing w:after="0" w:line="20" w:lineRule="exact"/>
              <w:rPr>
                <w:sz w:val="1"/>
                <w:szCs w:val="1"/>
                <w:color w:val="auto"/>
              </w:rPr>
            </w:pPr>
          </w:p>
        </w:tc>
      </w:tr>
      <w:tr>
        <w:trPr>
          <w:trHeight w:val="115"/>
        </w:trPr>
        <w:tc>
          <w:tcPr>
            <w:tcW w:w="4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Ratio of interest-earning assets to interest-bearing liabilities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146.96 %</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142.23</w:t>
            </w:r>
          </w:p>
        </w:tc>
        <w:tc>
          <w:tcPr>
            <w:tcW w:w="18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35"/>
        </w:trPr>
        <w:tc>
          <w:tcPr>
            <w:tcW w:w="46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Deposits (including non-interest-bearing checking accounts) </w:t>
            </w:r>
            <w:r>
              <w:rPr>
                <w:rFonts w:ascii="Times New Roman" w:cs="Times New Roman" w:eastAsia="Times New Roman" w:hAnsi="Times New Roman"/>
                <w:sz w:val="15"/>
                <w:szCs w:val="15"/>
                <w:color w:val="auto"/>
                <w:vertAlign w:val="superscript"/>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11,531,578</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60,181</w:t>
            </w:r>
          </w:p>
        </w:tc>
        <w:tc>
          <w:tcPr>
            <w:tcW w:w="82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2.09 % </w:t>
            </w: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5"/>
              </w:rPr>
              <w:t>10,899,654</w:t>
            </w:r>
          </w:p>
        </w:tc>
        <w:tc>
          <w:tcPr>
            <w:tcW w:w="2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72,878</w:t>
            </w:r>
          </w:p>
        </w:tc>
        <w:tc>
          <w:tcPr>
            <w:tcW w:w="5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2.69</w:t>
            </w:r>
          </w:p>
        </w:tc>
        <w:tc>
          <w:tcPr>
            <w:tcW w:w="1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owner-occupied commercial real estate loans and PPP loans.</w:t>
      </w:r>
    </w:p>
    <w:p>
      <w:pPr>
        <w:spacing w:after="0" w:line="5" w:lineRule="exact"/>
        <w:rPr>
          <w:rFonts w:ascii="Times New Roman" w:cs="Times New Roman" w:eastAsia="Times New Roman" w:hAnsi="Times New Roman"/>
          <w:sz w:val="13"/>
          <w:szCs w:val="13"/>
          <w:color w:val="auto"/>
        </w:rPr>
      </w:pPr>
    </w:p>
    <w:p>
      <w:pPr>
        <w:ind w:left="380" w:hanging="330"/>
        <w:spacing w:after="0" w:line="225"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Includes mortgage escrow deposits.</w:t>
      </w:r>
    </w:p>
    <w:p>
      <w:pPr>
        <w:ind w:left="380" w:hanging="330"/>
        <w:spacing w:after="0" w:line="225"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ind w:left="380" w:right="79" w:hanging="330"/>
        <w:spacing w:after="0" w:line="225"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rate spread represents the difference between the yield on average interest-earning assets and the cost of average interest-bearing liabilities.</w:t>
      </w:r>
    </w:p>
    <w:p>
      <w:pPr>
        <w:ind w:left="380" w:hanging="330"/>
        <w:spacing w:after="0" w:line="225"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margin represents net interest income divided by average-interest earning assets.</w:t>
      </w:r>
    </w:p>
    <w:p>
      <w:pPr>
        <w:jc w:val="both"/>
        <w:ind w:left="380" w:right="79" w:hanging="330"/>
        <w:spacing w:after="0" w:line="234"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At June 30, 2025 and 2024, 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80" w:type="dxa"/>
            <w:vAlign w:val="bottom"/>
            <w:gridSpan w:val="9"/>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r>
      <w:tr>
        <w:trPr>
          <w:trHeight w:val="148"/>
        </w:trPr>
        <w:tc>
          <w:tcPr>
            <w:tcW w:w="22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80" w:type="dxa"/>
            <w:vAlign w:val="bottom"/>
            <w:gridSpan w:val="9"/>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Three Months Ended June 30, 2024</w:t>
            </w:r>
          </w:p>
        </w:tc>
      </w:tr>
      <w:tr>
        <w:trPr>
          <w:trHeight w:val="173"/>
        </w:trPr>
        <w:tc>
          <w:tcPr>
            <w:tcW w:w="22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Increase / (Decrease) Due to:</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8"/>
        </w:trPr>
        <w:tc>
          <w:tcPr>
            <w:tcW w:w="22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55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Interest-earning assets: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Business loans </w:t>
            </w:r>
            <w:r>
              <w:rPr>
                <w:rFonts w:ascii="Times New Roman" w:cs="Times New Roman" w:eastAsia="Times New Roman" w:hAnsi="Times New Roman"/>
                <w:sz w:val="17"/>
                <w:szCs w:val="17"/>
                <w:color w:val="auto"/>
                <w:vertAlign w:val="superscript"/>
              </w:rPr>
              <w:t>(1) (2)</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6,930</w:t>
            </w:r>
          </w:p>
        </w:tc>
        <w:tc>
          <w:tcPr>
            <w:tcW w:w="20" w:type="dxa"/>
            <w:vAlign w:val="bottom"/>
          </w:tcPr>
          <w:p>
            <w:pPr>
              <w:spacing w:after="0"/>
              <w:rPr>
                <w:sz w:val="12"/>
                <w:szCs w:val="12"/>
                <w:color w:val="auto"/>
              </w:rPr>
            </w:pPr>
          </w:p>
        </w:tc>
        <w:tc>
          <w:tcPr>
            <w:tcW w:w="40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(3,270)</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3,660</w:t>
            </w:r>
          </w:p>
        </w:tc>
        <w:tc>
          <w:tcPr>
            <w:tcW w:w="20" w:type="dxa"/>
            <w:vAlign w:val="bottom"/>
          </w:tcPr>
          <w:p>
            <w:pPr>
              <w:spacing w:after="0"/>
              <w:rPr>
                <w:sz w:val="12"/>
                <w:szCs w:val="12"/>
                <w:color w:val="auto"/>
              </w:rPr>
            </w:pPr>
          </w:p>
        </w:tc>
      </w:tr>
      <w:tr>
        <w:trPr>
          <w:trHeight w:val="149"/>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w:t>
            </w: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(2,425)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(888)</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(3,313)</w:t>
            </w:r>
          </w:p>
        </w:tc>
        <w:tc>
          <w:tcPr>
            <w:tcW w:w="20" w:type="dxa"/>
            <w:vAlign w:val="bottom"/>
          </w:tcPr>
          <w:p>
            <w:pPr>
              <w:spacing w:after="0"/>
              <w:rPr>
                <w:sz w:val="12"/>
                <w:szCs w:val="12"/>
                <w:color w:val="auto"/>
              </w:rPr>
            </w:pPr>
          </w:p>
        </w:tc>
      </w:tr>
      <w:tr>
        <w:trPr>
          <w:trHeight w:val="148"/>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(2,906)</w:t>
            </w: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20" w:type="dxa"/>
            <w:vAlign w:val="bottom"/>
          </w:tcPr>
          <w:p>
            <w:pPr>
              <w:spacing w:after="0"/>
              <w:rPr>
                <w:sz w:val="12"/>
                <w:szCs w:val="12"/>
                <w:color w:val="auto"/>
              </w:rPr>
            </w:pPr>
          </w:p>
        </w:tc>
      </w:tr>
      <w:tr>
        <w:trPr>
          <w:trHeight w:val="148"/>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3,446</w:t>
            </w:r>
          </w:p>
        </w:tc>
        <w:tc>
          <w:tcPr>
            <w:tcW w:w="20" w:type="dxa"/>
            <w:vAlign w:val="bottom"/>
          </w:tcPr>
          <w:p>
            <w:pPr>
              <w:spacing w:after="0"/>
              <w:rPr>
                <w:sz w:val="12"/>
                <w:szCs w:val="12"/>
                <w:color w:val="auto"/>
              </w:rPr>
            </w:pPr>
          </w:p>
        </w:tc>
      </w:tr>
      <w:tr>
        <w:trPr>
          <w:trHeight w:val="149"/>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investments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(2,138)</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6,337</w:t>
            </w:r>
          </w:p>
        </w:tc>
        <w:tc>
          <w:tcPr>
            <w:tcW w:w="20" w:type="dxa"/>
            <w:vAlign w:val="bottom"/>
          </w:tcPr>
          <w:p>
            <w:pPr>
              <w:spacing w:after="0"/>
              <w:rPr>
                <w:sz w:val="12"/>
                <w:szCs w:val="12"/>
                <w:color w:val="auto"/>
              </w:rPr>
            </w:pPr>
          </w:p>
        </w:tc>
      </w:tr>
      <w:tr>
        <w:trPr>
          <w:trHeight w:val="142"/>
        </w:trPr>
        <w:tc>
          <w:tcPr>
            <w:tcW w:w="550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9,974</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(1,842)</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8,132</w:t>
            </w:r>
          </w:p>
        </w:tc>
        <w:tc>
          <w:tcPr>
            <w:tcW w:w="20" w:type="dxa"/>
            <w:vAlign w:val="bottom"/>
          </w:tcPr>
          <w:p>
            <w:pPr>
              <w:spacing w:after="0"/>
              <w:rPr>
                <w:sz w:val="12"/>
                <w:szCs w:val="12"/>
                <w:color w:val="auto"/>
              </w:rPr>
            </w:pPr>
          </w:p>
        </w:tc>
      </w:tr>
      <w:tr>
        <w:trPr>
          <w:trHeight w:val="142"/>
        </w:trPr>
        <w:tc>
          <w:tcPr>
            <w:tcW w:w="55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Interest-bearing liabilities: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Interest-bearing checking</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w:t>
            </w:r>
          </w:p>
        </w:tc>
        <w:tc>
          <w:tcPr>
            <w:tcW w:w="20" w:type="dxa"/>
            <w:vAlign w:val="bottom"/>
          </w:tcPr>
          <w:p>
            <w:pPr>
              <w:spacing w:after="0"/>
              <w:rPr>
                <w:sz w:val="12"/>
                <w:szCs w:val="12"/>
                <w:color w:val="auto"/>
              </w:rPr>
            </w:pPr>
          </w:p>
        </w:tc>
        <w:tc>
          <w:tcPr>
            <w:tcW w:w="40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1,589</w:t>
            </w:r>
          </w:p>
        </w:tc>
        <w:tc>
          <w:tcPr>
            <w:tcW w:w="20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w:t>
            </w:r>
          </w:p>
        </w:tc>
        <w:tc>
          <w:tcPr>
            <w:tcW w:w="20" w:type="dxa"/>
            <w:vAlign w:val="bottom"/>
          </w:tcPr>
          <w:p>
            <w:pPr>
              <w:spacing w:after="0"/>
              <w:rPr>
                <w:sz w:val="12"/>
                <w:szCs w:val="12"/>
                <w:color w:val="auto"/>
              </w:rPr>
            </w:pPr>
          </w:p>
        </w:tc>
      </w:tr>
      <w:tr>
        <w:trPr>
          <w:trHeight w:val="148"/>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(6,340)</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(5,550)</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(9,061)</w:t>
            </w:r>
          </w:p>
        </w:tc>
        <w:tc>
          <w:tcPr>
            <w:tcW w:w="20" w:type="dxa"/>
            <w:vAlign w:val="bottom"/>
          </w:tcPr>
          <w:p>
            <w:pPr>
              <w:spacing w:after="0"/>
              <w:rPr>
                <w:sz w:val="12"/>
                <w:szCs w:val="12"/>
                <w:color w:val="auto"/>
              </w:rPr>
            </w:pPr>
          </w:p>
        </w:tc>
      </w:tr>
      <w:tr>
        <w:trPr>
          <w:trHeight w:val="148"/>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CDs</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(2,843)</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(5,903)</w:t>
            </w: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FHLBNY advances</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(1,427)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w:t>
            </w:r>
          </w:p>
        </w:tc>
        <w:tc>
          <w:tcPr>
            <w:tcW w:w="20" w:type="dxa"/>
            <w:vAlign w:val="bottom"/>
          </w:tcPr>
          <w:p>
            <w:pPr>
              <w:spacing w:after="0"/>
              <w:rPr>
                <w:sz w:val="12"/>
                <w:szCs w:val="12"/>
                <w:color w:val="auto"/>
              </w:rPr>
            </w:pPr>
          </w:p>
        </w:tc>
      </w:tr>
      <w:tr>
        <w:trPr>
          <w:trHeight w:val="149"/>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20" w:type="dxa"/>
            <w:vAlign w:val="bottom"/>
          </w:tcPr>
          <w:p>
            <w:pPr>
              <w:spacing w:after="0"/>
              <w:rPr>
                <w:sz w:val="12"/>
                <w:szCs w:val="12"/>
                <w:color w:val="auto"/>
              </w:rPr>
            </w:pPr>
          </w:p>
        </w:tc>
      </w:tr>
      <w:tr>
        <w:trPr>
          <w:trHeight w:val="148"/>
        </w:trPr>
        <w:tc>
          <w:tcPr>
            <w:tcW w:w="55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w:t>
            </w:r>
          </w:p>
        </w:tc>
        <w:tc>
          <w:tcPr>
            <w:tcW w:w="20" w:type="dxa"/>
            <w:vAlign w:val="bottom"/>
          </w:tcPr>
          <w:p>
            <w:pPr>
              <w:spacing w:after="0"/>
              <w:rPr>
                <w:sz w:val="12"/>
                <w:szCs w:val="12"/>
                <w:color w:val="auto"/>
              </w:rPr>
            </w:pPr>
          </w:p>
        </w:tc>
      </w:tr>
      <w:tr>
        <w:trPr>
          <w:trHeight w:val="142"/>
        </w:trPr>
        <w:tc>
          <w:tcPr>
            <w:tcW w:w="550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interest-bearing liabilities</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(811)</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(13,652)</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(14,463)</w:t>
            </w:r>
          </w:p>
        </w:tc>
        <w:tc>
          <w:tcPr>
            <w:tcW w:w="20" w:type="dxa"/>
            <w:vAlign w:val="bottom"/>
          </w:tcPr>
          <w:p>
            <w:pPr>
              <w:spacing w:after="0"/>
              <w:rPr>
                <w:sz w:val="12"/>
                <w:szCs w:val="12"/>
                <w:color w:val="auto"/>
              </w:rPr>
            </w:pPr>
          </w:p>
        </w:tc>
      </w:tr>
      <w:tr>
        <w:trPr>
          <w:trHeight w:val="142"/>
        </w:trPr>
        <w:tc>
          <w:tcPr>
            <w:tcW w:w="55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net interest income</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10,785</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11,810</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22,595</w:t>
            </w:r>
          </w:p>
        </w:tc>
        <w:tc>
          <w:tcPr>
            <w:tcW w:w="20" w:type="dxa"/>
            <w:vAlign w:val="bottom"/>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64"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owner-occupied commercial real estate loans and PPP loans.</w:t>
      </w:r>
    </w:p>
    <w:p>
      <w:pPr>
        <w:spacing w:after="0" w:line="5" w:lineRule="exact"/>
        <w:rPr>
          <w:rFonts w:ascii="Times New Roman" w:cs="Times New Roman" w:eastAsia="Times New Roman" w:hAnsi="Times New Roman"/>
          <w:sz w:val="13"/>
          <w:szCs w:val="13"/>
          <w:color w:val="auto"/>
        </w:rPr>
      </w:pPr>
    </w:p>
    <w:p>
      <w:pPr>
        <w:ind w:left="380" w:hanging="330"/>
        <w:spacing w:after="0"/>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spacing w:after="0" w:line="18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was $98.1 million during the three months ended June 30, 2025,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$22.6 million from the three months ended June 30, 2024. Average interest-earning assets were $13.20 billion for the three months ended June 30, 2025, an increase of $570.6 million from $12.62 billion for the three months ended June 30, 2024. The net interest margin was 2.98% during the three months ended June 30, 2025, up from 2.41% during the three months ended June 30, 2024.</w:t>
      </w:r>
    </w:p>
    <w:p>
      <w:pPr>
        <w:spacing w:after="0" w:line="183"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$167.5 million during the three months ended June 30, 2025, compared to $159.4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three months ended June 30, 2024. During the three months ended June 30, 2025, interest income increased $8.1 million from the three months ended June 30, 2024, primarily reflecting increases in interest income of $6.3 million in other short-term investments, $3.7 million on business loans, $3.4 million on securities and $1.6 million on one-to-four family loans, partially offset by a decrease of $3.3 million on multifamily residential and residential mixed-use loans and a decrease of $2.9 million on non-owner-occupied commercial real estate loans.</w:t>
      </w:r>
    </w:p>
    <w:p>
      <w:pPr>
        <w:spacing w:after="0" w:line="18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increased interest income on other short-term investments was related to a $680.6 million increase in the average balances, partially offset by a 131-basis point decrease in the yield of such investments in the period. The increased interest income on business loans was due to a $398.7 million increase in the average balances, partially offset by a 51-basis point decrease in the yield of such loans in the period. The increased interest income on securities was related to a 127-basis point increase in the yield, partially offset by a decrease of $176.1 million in the average balances of such securities in the period. The increased interest income on one-to-four family loans was related to a $95.1 million increase in the average balances and a 19-basis point increase in the yield of such loans in the period. The decreased interest income on multifamily residential and residential mixed-use loans was related to a $217.7 million decrease in the average balance and a 10-basis point decrease in the yield of such loans in the period. The decreased interest income on non-owner-occupied commercial real estate loans reflected a $183.9 million decrease in the average balance and an 8-basis point decrease in the yield of such loans in the period.</w:t>
      </w:r>
    </w:p>
    <w:p>
      <w:pPr>
        <w:spacing w:after="0" w:line="190"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$69.5 million during the three months ended June 30, 2025, compared to $83.9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three months ended June 30, 2024. During the three months ended June 30, 2025, interest expense decreased $14.4 million, primarily reflecting a decrease in interest expense of $12.7 million on deposits, a decrease 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interest expense of $2.4 million on FHLBNY advances and a decrease of $1.1 million in interest expense on derivative cash collateral, partially offset by a $1.7 million increase in interest expense on subordinated debt.</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decreased interest expense on deposits was primarily due to a 105-basis point decrease in rates paid on savings accounts, a $411.0 million decrease in average balances of such deposits, a $317.9 million decrease in the average balance of CDs and a 93-basis point decrease in rates paid on such deposits in the period. The decreased interest expense on FHLBNY advances was due to a $163.2 million decrease in the average balance and a 65-basis point decrease in the cost of FHLBNY advances in the period. The decreased interest expense on derivative cash collateral was due to a $66.5 million decrease in the average balance and an 88-basis point decrease in the cost of such derivatives in the period. The increased interest expense on subordinated debt was due to a $70.2 million increase in the average balance and a 115-basis point increase in the cost of such debt in the period.</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We recorded a credit loss provision of $9.2 million and $5.6 million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and 2024, respectively. The $9.2 million credit loss provision for the three months ended June 30, 2025, was primarily attributable to updates in the macroeconomic forecast and to the loss driver models. The $5.6 million credit loss provision for the three months ended June 30, 2024, was primarily associated with increased provisioning for our pooled multifamily loan portfolio.</w:t>
      </w:r>
    </w:p>
    <w:p>
      <w:pPr>
        <w:spacing w:after="0" w:line="18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totaled $11.6 million for the three months ended June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$11.8 million for the same period in 2024. The decrease was primarily driven by a $3.7 million reduction in gains from the sale of other assets, partially offset by a $1.7 million increase in BOLI income.</w:t>
      </w:r>
    </w:p>
    <w:p>
      <w:pPr>
        <w:spacing w:after="0" w:line="17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totaled $60.3 million for the three months ended June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$55.7 million for the same period in 2024. The change was primarily driven by a $4.0 million increase in salaries and employee benefits.</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Non-interest expense was 1.72% and 1.66% of average assets during the three months ended June 30, 2025 and 2024, respectively.</w:t>
      </w:r>
    </w:p>
    <w:p>
      <w:pPr>
        <w:spacing w:after="0" w:line="160"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$10.5 million during the three months ended June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of $7.6 million during the three months ended June 30, 2024. The reported effective tax rate for the three months ended June 30, 2025 and 2024 was 26.1%, and 29.0%,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Six Months Ended June 30, 2025 and 2024</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Net income was $51.2 million during the six months ended June 30, 2025, compared to net income of $36.2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2024. During the six months ended June 30, 2025, net interest income increased by $45.3 million, credit loss provision increased by $8.1 million, non-interest expense increased by $17.6 million, non-interest income decreased by $1.0 million and income tax expense increased by $3.6 million, compared to the six months ended June 30, 2024.</w:t>
      </w:r>
    </w:p>
    <w:p>
      <w:pPr>
        <w:spacing w:after="0" w:line="18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discussion of net interest income for the six months ended June 30, 2025 and 2024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 included in interest income were $2.3 million during the six months ended June 30, 2025, compared to a net loan cost of $304 thousand during the six months ended June 30, 2024. The increase in net loan fees was primarily due to increases in prepayment penalty fees and deferred fees on loans in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Net Interest Income</w:t>
      </w: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right"/>
              <w:ind w:right="2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6"/>
              </w:rPr>
              <w:t>Yield/</w:t>
            </w: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Yield/</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40" w:type="dxa"/>
            <w:vAlign w:val="bottom"/>
          </w:tcPr>
          <w:p>
            <w:pPr>
              <w:spacing w:after="0"/>
              <w:rPr>
                <w:sz w:val="13"/>
                <w:szCs w:val="13"/>
                <w:color w:val="auto"/>
              </w:rPr>
            </w:pPr>
          </w:p>
        </w:tc>
        <w:tc>
          <w:tcPr>
            <w:tcW w:w="760" w:type="dxa"/>
            <w:vAlign w:val="bottom"/>
            <w:gridSpan w:val="3"/>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64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Assets:</w:t>
            </w: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(Dollars</w:t>
            </w:r>
          </w:p>
        </w:tc>
        <w:tc>
          <w:tcPr>
            <w:tcW w:w="180" w:type="dxa"/>
            <w:vAlign w:val="bottom"/>
            <w:tcBorders>
              <w:top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in</w:t>
            </w:r>
          </w:p>
        </w:tc>
        <w:tc>
          <w:tcPr>
            <w:tcW w:w="74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thousands)</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Interest-earning assets: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Business loans </w:t>
            </w:r>
            <w:r>
              <w:rPr>
                <w:rFonts w:ascii="Times New Roman" w:cs="Times New Roman" w:eastAsia="Times New Roman" w:hAnsi="Times New Roman"/>
                <w:sz w:val="15"/>
                <w:szCs w:val="15"/>
                <w:color w:val="auto"/>
                <w:vertAlign w:val="superscript"/>
              </w:rPr>
              <w:t>(1) (3) (6)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2,773,661</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91,640</w:t>
            </w:r>
          </w:p>
        </w:tc>
        <w:tc>
          <w:tcPr>
            <w:tcW w:w="80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6.66 % </w:t>
            </w: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2,354,269</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82,157</w:t>
            </w:r>
          </w:p>
        </w:tc>
        <w:tc>
          <w:tcPr>
            <w:tcW w:w="66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7.02 %</w:t>
            </w:r>
          </w:p>
        </w:tc>
        <w:tc>
          <w:tcPr>
            <w:tcW w:w="0" w:type="dxa"/>
            <w:vAlign w:val="bottom"/>
          </w:tcPr>
          <w:p>
            <w:pPr>
              <w:spacing w:after="0"/>
              <w:rPr>
                <w:sz w:val="1"/>
                <w:szCs w:val="1"/>
                <w:color w:val="auto"/>
              </w:rPr>
            </w:pPr>
          </w:p>
        </w:tc>
      </w:tr>
      <w:tr>
        <w:trPr>
          <w:trHeight w:val="135"/>
        </w:trPr>
        <w:tc>
          <w:tcPr>
            <w:tcW w:w="46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One-to-four family residential and coop/condo apartment </w:t>
            </w:r>
            <w:r>
              <w:rPr>
                <w:rFonts w:ascii="Times New Roman" w:cs="Times New Roman" w:eastAsia="Times New Roman" w:hAnsi="Times New Roman"/>
                <w:sz w:val="15"/>
                <w:szCs w:val="15"/>
                <w:color w:val="auto"/>
                <w:vertAlign w:val="superscript"/>
              </w:rPr>
              <w:t>(3) (6)</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971,645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22,601</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886,313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19,738</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4.48</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Multifamily residential and residential mixed-use </w:t>
            </w:r>
            <w:r>
              <w:rPr>
                <w:rFonts w:ascii="Times New Roman" w:cs="Times New Roman" w:eastAsia="Times New Roman" w:hAnsi="Times New Roman"/>
                <w:sz w:val="15"/>
                <w:szCs w:val="15"/>
                <w:color w:val="auto"/>
                <w:vertAlign w:val="superscript"/>
              </w:rPr>
              <w:t>(3) (6)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3,768,693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84,791</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3,979,563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91,794</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4.64</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Non-owner-occupied commercial real estate </w:t>
            </w:r>
            <w:r>
              <w:rPr>
                <w:rFonts w:ascii="Times New Roman" w:cs="Times New Roman" w:eastAsia="Times New Roman" w:hAnsi="Times New Roman"/>
                <w:sz w:val="15"/>
                <w:szCs w:val="15"/>
                <w:color w:val="auto"/>
                <w:vertAlign w:val="superscript"/>
              </w:rPr>
              <w:t>(3) (6)</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3,194,800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83,148</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3,365,221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89,504</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5"/>
                <w:szCs w:val="15"/>
                <w:color w:val="auto"/>
                <w:vertAlign w:val="subscript"/>
              </w:rPr>
              <w:t>ADC</w:t>
            </w:r>
            <w:r>
              <w:rPr>
                <w:rFonts w:ascii="Times New Roman" w:cs="Times New Roman" w:eastAsia="Times New Roman" w:hAnsi="Times New Roman"/>
                <w:sz w:val="7"/>
                <w:szCs w:val="7"/>
                <w:color w:val="auto"/>
              </w:rPr>
              <w:t xml:space="preserve"> (3)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137,285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5,915</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8.69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167,029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7,330</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8.83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Other loans </w:t>
            </w:r>
            <w:r>
              <w:rPr>
                <w:rFonts w:ascii="Times New Roman" w:cs="Times New Roman" w:eastAsia="Times New Roman" w:hAnsi="Times New Roman"/>
                <w:sz w:val="15"/>
                <w:szCs w:val="15"/>
                <w:color w:val="auto"/>
                <w:vertAlign w:val="superscript"/>
              </w:rPr>
              <w:t>(3)</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6,441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58</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5.39</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Securities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1,366,942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22,676</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1,557,909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15,787</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2.04</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short-term investments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860,392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18,586</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4.36</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504,592</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13,976</w:t>
            </w: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5.57</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13,079,859</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329,415</w:t>
            </w:r>
          </w:p>
        </w:tc>
        <w:tc>
          <w:tcPr>
            <w:tcW w:w="70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5.08 %</w:t>
            </w: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12,820,156</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320,427</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5.03</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8"/>
        </w:trPr>
        <w:tc>
          <w:tcPr>
            <w:tcW w:w="464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Non-interest earning assets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816,422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786,526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4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13,896,281</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13,606,682</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Liabilities and Stockholders' Equity:</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Interest-bearing liabilities:</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Interest-bearing checking </w:t>
            </w:r>
            <w:r>
              <w:rPr>
                <w:rFonts w:ascii="Times New Roman" w:cs="Times New Roman" w:eastAsia="Times New Roman" w:hAnsi="Times New Roman"/>
                <w:sz w:val="15"/>
                <w:szCs w:val="15"/>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928,369</w:t>
            </w:r>
          </w:p>
        </w:tc>
        <w:tc>
          <w:tcPr>
            <w:tcW w:w="22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8,305</w:t>
            </w:r>
          </w:p>
        </w:tc>
        <w:tc>
          <w:tcPr>
            <w:tcW w:w="80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1.80 % </w:t>
            </w: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606,725</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2,722</w:t>
            </w:r>
          </w:p>
        </w:tc>
        <w:tc>
          <w:tcPr>
            <w:tcW w:w="660" w:type="dxa"/>
            <w:vAlign w:val="bottom"/>
            <w:gridSpan w:val="2"/>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0.90 %</w:t>
            </w:r>
          </w:p>
        </w:tc>
        <w:tc>
          <w:tcPr>
            <w:tcW w:w="0" w:type="dxa"/>
            <w:vAlign w:val="bottom"/>
          </w:tcPr>
          <w:p>
            <w:pPr>
              <w:spacing w:after="0"/>
              <w:rPr>
                <w:sz w:val="1"/>
                <w:szCs w:val="1"/>
                <w:color w:val="auto"/>
              </w:rPr>
            </w:pPr>
          </w:p>
        </w:tc>
      </w:tr>
      <w:tr>
        <w:trPr>
          <w:trHeight w:val="135"/>
        </w:trPr>
        <w:tc>
          <w:tcPr>
            <w:tcW w:w="46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Money market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4,125,924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64,112</w:t>
            </w:r>
          </w:p>
        </w:tc>
        <w:tc>
          <w:tcPr>
            <w:tcW w:w="5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3,427,937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63,831</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3.74</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1"/>
                <w:szCs w:val="11"/>
                <w:color w:val="auto"/>
              </w:rPr>
              <w:t xml:space="preserve">Savings </w:t>
            </w:r>
            <w:r>
              <w:rPr>
                <w:rFonts w:ascii="Times New Roman" w:cs="Times New Roman" w:eastAsia="Times New Roman" w:hAnsi="Times New Roman"/>
                <w:sz w:val="15"/>
                <w:szCs w:val="15"/>
                <w:color w:val="auto"/>
                <w:vertAlign w:val="superscript"/>
              </w:rPr>
              <w:t>(2)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1,947,657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28,233</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2,352,574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45,919</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tcBorders>
              <w:bottom w:val="single" w:sz="8" w:color="CCEEFF"/>
            </w:tcBorders>
            <w:gridSpan w:val="2"/>
          </w:tcPr>
          <w:p>
            <w:pPr>
              <w:ind w:left="120"/>
              <w:spacing w:after="0" w:line="135" w:lineRule="exact"/>
              <w:rPr>
                <w:sz w:val="20"/>
                <w:szCs w:val="20"/>
                <w:color w:val="auto"/>
              </w:rPr>
            </w:pPr>
            <w:r>
              <w:rPr>
                <w:rFonts w:ascii="Times New Roman" w:cs="Times New Roman" w:eastAsia="Times New Roman" w:hAnsi="Times New Roman"/>
                <w:sz w:val="13"/>
                <w:szCs w:val="13"/>
                <w:color w:val="auto"/>
              </w:rPr>
              <w:t>CDs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1,024,702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17,605</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3.46</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1,524,780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33,475</w:t>
            </w: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4.41</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deposits</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8,026,652</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118,255</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2.97</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7,912,016</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145,947</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4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auto"/>
              </w:rPr>
              <w:t>FHLBNY advances</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508,552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8,119</w:t>
            </w:r>
          </w:p>
        </w:tc>
        <w:tc>
          <w:tcPr>
            <w:tcW w:w="5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882,725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18,572</w:t>
            </w: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4.23</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net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272,363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8,603</w:t>
            </w:r>
          </w:p>
        </w:tc>
        <w:tc>
          <w:tcPr>
            <w:tcW w:w="5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201,210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5,157</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5.15</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tcBorders>
              <w:bottom w:val="single" w:sz="8" w:color="CCEEFF"/>
            </w:tcBorders>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short-term borrowings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w:t>
            </w:r>
          </w:p>
        </w:tc>
        <w:tc>
          <w:tcPr>
            <w:tcW w:w="52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8.32</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480" w:type="dxa"/>
            <w:vAlign w:val="bottom"/>
            <w:tcBorders>
              <w:bottom w:val="single" w:sz="8" w:color="CCEEFF"/>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5.16</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borrowings</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781,230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16,735</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4.32</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1,083,974</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23,730</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4.40</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tcBorders>
              <w:bottom w:val="single" w:sz="8" w:color="CCEEFF"/>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color w:val="auto"/>
              </w:rPr>
              <w:t>Derivative cash collateral</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91,588</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2,115</w:t>
            </w:r>
          </w:p>
        </w:tc>
        <w:tc>
          <w:tcPr>
            <w:tcW w:w="520" w:type="dxa"/>
            <w:vAlign w:val="bottom"/>
            <w:tcBorders>
              <w:bottom w:val="single" w:sz="8" w:color="CCEEFF"/>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4.66</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137,934</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3,718</w:t>
            </w:r>
          </w:p>
        </w:tc>
        <w:tc>
          <w:tcPr>
            <w:tcW w:w="48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5.42</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40" w:type="dxa"/>
            <w:vAlign w:val="bottom"/>
            <w:gridSpan w:val="2"/>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8,899,470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137,105</w:t>
            </w:r>
          </w:p>
        </w:tc>
        <w:tc>
          <w:tcPr>
            <w:tcW w:w="70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3.11 %</w:t>
            </w: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9,133,924</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173,395</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3.82</w:t>
            </w:r>
          </w:p>
        </w:tc>
        <w:tc>
          <w:tcPr>
            <w:tcW w:w="180" w:type="dxa"/>
            <w:vAlign w:val="bottom"/>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28"/>
        </w:trPr>
        <w:tc>
          <w:tcPr>
            <w:tcW w:w="464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0"/>
                <w:szCs w:val="10"/>
                <w:color w:val="auto"/>
              </w:rPr>
              <w:t xml:space="preserve">Non-interest-bearing checking </w:t>
            </w:r>
            <w:r>
              <w:rPr>
                <w:rFonts w:ascii="Times New Roman" w:cs="Times New Roman" w:eastAsia="Times New Roman" w:hAnsi="Times New Roman"/>
                <w:sz w:val="14"/>
                <w:szCs w:val="14"/>
                <w:color w:val="auto"/>
                <w:vertAlign w:val="superscript"/>
              </w:rPr>
              <w:t>(2)</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3,367,647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2,976,079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non-interest-bearing liabilities</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200,753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245,348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12,467,870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12,355,351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1,428,411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1,251,331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640" w:type="dxa"/>
            <w:vAlign w:val="bottom"/>
            <w:tcBorders>
              <w:bottom w:val="single" w:sz="8" w:color="CCEEFF"/>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13,896,281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13,606,682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640" w:type="dxa"/>
            <w:vAlign w:val="bottom"/>
            <w:gridSpan w:val="2"/>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income</w:t>
            </w: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gridSpan w:val="2"/>
            <w:shd w:val="clear" w:color="auto" w:fill="CCEEFF"/>
          </w:tcPr>
          <w:p>
            <w:pPr>
              <w:ind w:left="140"/>
              <w:spacing w:after="0" w:line="102" w:lineRule="exact"/>
              <w:rPr>
                <w:sz w:val="20"/>
                <w:szCs w:val="20"/>
                <w:color w:val="auto"/>
              </w:rPr>
            </w:pPr>
            <w:r>
              <w:rPr>
                <w:rFonts w:ascii="Times New Roman" w:cs="Times New Roman" w:eastAsia="Times New Roman" w:hAnsi="Times New Roman"/>
                <w:sz w:val="10"/>
                <w:szCs w:val="10"/>
                <w:b w:val="1"/>
                <w:bCs w:val="1"/>
                <w:color w:val="auto"/>
              </w:rPr>
              <w:t>$</w:t>
            </w:r>
          </w:p>
        </w:tc>
        <w:tc>
          <w:tcPr>
            <w:tcW w:w="5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b w:val="1"/>
                <w:bCs w:val="1"/>
                <w:color w:val="auto"/>
              </w:rPr>
              <w:t>192,310</w:t>
            </w: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0"/>
                <w:szCs w:val="10"/>
                <w:color w:val="auto"/>
              </w:rPr>
              <w:t>147,032</w:t>
            </w:r>
          </w:p>
        </w:tc>
        <w:tc>
          <w:tcPr>
            <w:tcW w:w="4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rate spread </w:t>
            </w:r>
            <w:r>
              <w:rPr>
                <w:rFonts w:ascii="Times New Roman" w:cs="Times New Roman" w:eastAsia="Times New Roman" w:hAnsi="Times New Roman"/>
                <w:sz w:val="18"/>
                <w:szCs w:val="18"/>
                <w:color w:val="auto"/>
                <w:vertAlign w:val="superscript"/>
              </w:rPr>
              <w:t>(4)</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1.97 %</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80" w:type="dxa"/>
            <w:vAlign w:val="bottom"/>
            <w:tcBorders>
              <w:top w:val="single" w:sz="8" w:color="CCEEFF"/>
              <w:bottom w:val="single" w:sz="8" w:color="CCEEFF"/>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line="20" w:lineRule="exact"/>
              <w:rPr>
                <w:sz w:val="1"/>
                <w:szCs w:val="1"/>
                <w:color w:val="auto"/>
              </w:rPr>
            </w:pPr>
          </w:p>
        </w:tc>
      </w:tr>
      <w:tr>
        <w:trPr>
          <w:trHeight w:val="115"/>
        </w:trPr>
        <w:tc>
          <w:tcPr>
            <w:tcW w:w="4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interest-earning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4,180,389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gridSpan w:val="4"/>
            <w:shd w:val="clear" w:color="auto" w:fill="CCEEFF"/>
          </w:tcPr>
          <w:p>
            <w:pPr>
              <w:ind w:left="7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3,686,232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18"/>
                <w:szCs w:val="18"/>
                <w:color w:val="auto"/>
                <w:vertAlign w:val="superscript"/>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2.96 %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2.31 %</w:t>
            </w:r>
          </w:p>
        </w:tc>
        <w:tc>
          <w:tcPr>
            <w:tcW w:w="0" w:type="dxa"/>
            <w:vAlign w:val="bottom"/>
          </w:tcPr>
          <w:p>
            <w:pPr>
              <w:spacing w:after="0" w:line="20" w:lineRule="exact"/>
              <w:rPr>
                <w:sz w:val="1"/>
                <w:szCs w:val="1"/>
                <w:color w:val="auto"/>
              </w:rPr>
            </w:pPr>
          </w:p>
        </w:tc>
      </w:tr>
      <w:tr>
        <w:trPr>
          <w:trHeight w:val="115"/>
        </w:trPr>
        <w:tc>
          <w:tcPr>
            <w:tcW w:w="4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Ratio of interest-earning assets to interest-bearing liabilities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146.97 %</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140.36</w:t>
            </w:r>
          </w:p>
        </w:tc>
        <w:tc>
          <w:tcPr>
            <w:tcW w:w="18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135"/>
        </w:trPr>
        <w:tc>
          <w:tcPr>
            <w:tcW w:w="4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Deposits (including non-interest-bearing checking accounts) </w:t>
            </w:r>
            <w:r>
              <w:rPr>
                <w:rFonts w:ascii="Times New Roman" w:cs="Times New Roman" w:eastAsia="Times New Roman" w:hAnsi="Times New Roman"/>
                <w:sz w:val="15"/>
                <w:szCs w:val="15"/>
                <w:color w:val="auto"/>
                <w:vertAlign w:val="superscript"/>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5"/>
              </w:rPr>
              <w:t>11,394,299</w:t>
            </w:r>
          </w:p>
        </w:tc>
        <w:tc>
          <w:tcPr>
            <w:tcW w:w="2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118,255</w:t>
            </w:r>
          </w:p>
        </w:tc>
        <w:tc>
          <w:tcPr>
            <w:tcW w:w="80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2.09 % </w:t>
            </w: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10,888,095</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145,947</w:t>
            </w:r>
          </w:p>
        </w:tc>
        <w:tc>
          <w:tcPr>
            <w:tcW w:w="6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2.70 %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80" w:hanging="330"/>
        <w:spacing w:after="0"/>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owner-occupied commercial real estate loans and PPP loans.</w:t>
      </w:r>
    </w:p>
    <w:p>
      <w:pPr>
        <w:spacing w:after="0" w:line="5" w:lineRule="exact"/>
        <w:rPr>
          <w:rFonts w:ascii="Times New Roman" w:cs="Times New Roman" w:eastAsia="Times New Roman" w:hAnsi="Times New Roman"/>
          <w:sz w:val="13"/>
          <w:szCs w:val="13"/>
          <w:color w:val="auto"/>
        </w:rPr>
      </w:pPr>
    </w:p>
    <w:p>
      <w:pPr>
        <w:ind w:left="380" w:hanging="330"/>
        <w:spacing w:after="0" w:line="225" w:lineRule="auto"/>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Includes mortgage escrow deposits.</w:t>
      </w:r>
    </w:p>
    <w:p>
      <w:pPr>
        <w:ind w:left="380" w:hanging="330"/>
        <w:spacing w:after="0" w:line="225" w:lineRule="auto"/>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ind w:left="380" w:right="79" w:hanging="330"/>
        <w:spacing w:after="0" w:line="225" w:lineRule="auto"/>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rate spread represents the difference between the yield on average interest-earning assets and the cost of average interest-bearing liabilities.</w:t>
      </w:r>
    </w:p>
    <w:p>
      <w:pPr>
        <w:ind w:left="380" w:hanging="330"/>
        <w:spacing w:after="0" w:line="225" w:lineRule="auto"/>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Net interest margin represents net interest income divided by average-interest earning assets.</w:t>
      </w:r>
    </w:p>
    <w:p>
      <w:pPr>
        <w:jc w:val="both"/>
        <w:ind w:left="380" w:right="79" w:hanging="330"/>
        <w:spacing w:after="0" w:line="234" w:lineRule="auto"/>
        <w:tabs>
          <w:tab w:leader="none" w:pos="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At June 30, 2025 and 2024, 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6"/>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8"/>
        </w:trPr>
        <w:tc>
          <w:tcPr>
            <w:tcW w:w="22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80" w:type="dxa"/>
            <w:vAlign w:val="bottom"/>
            <w:gridSpan w:val="8"/>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Compared to Six Months Ended June 30, 2024</w:t>
            </w:r>
          </w:p>
        </w:tc>
      </w:tr>
      <w:tr>
        <w:trPr>
          <w:trHeight w:val="173"/>
        </w:trPr>
        <w:tc>
          <w:tcPr>
            <w:tcW w:w="22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Increase / (Decrease) Due to:</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Volume</w:t>
            </w:r>
          </w:p>
        </w:tc>
        <w:tc>
          <w:tcPr>
            <w:tcW w:w="220" w:type="dxa"/>
            <w:vAlign w:val="bottom"/>
          </w:tcPr>
          <w:p>
            <w:pPr>
              <w:spacing w:after="0"/>
              <w:rPr>
                <w:sz w:val="12"/>
                <w:szCs w:val="12"/>
                <w:color w:val="auto"/>
              </w:rPr>
            </w:pPr>
          </w:p>
        </w:tc>
        <w:tc>
          <w:tcPr>
            <w:tcW w:w="98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320" w:type="dxa"/>
            <w:vAlign w:val="bottom"/>
          </w:tcPr>
          <w:p>
            <w:pPr>
              <w:spacing w:after="0"/>
              <w:rPr>
                <w:sz w:val="12"/>
                <w:szCs w:val="12"/>
                <w:color w:val="auto"/>
              </w:rPr>
            </w:pPr>
          </w:p>
        </w:tc>
        <w:tc>
          <w:tcPr>
            <w:tcW w:w="66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2"/>
                <w:szCs w:val="12"/>
                <w:color w:val="auto"/>
              </w:rPr>
            </w:pPr>
          </w:p>
        </w:tc>
      </w:tr>
      <w:tr>
        <w:trPr>
          <w:trHeight w:val="142"/>
        </w:trPr>
        <w:tc>
          <w:tcPr>
            <w:tcW w:w="536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Interest-earning assets:</w:t>
            </w: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r>
      <w:tr>
        <w:trPr>
          <w:trHeight w:val="148"/>
        </w:trPr>
        <w:tc>
          <w:tcPr>
            <w:tcW w:w="5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2"/>
                <w:szCs w:val="12"/>
                <w:color w:val="auto"/>
              </w:rPr>
              <w:t xml:space="preserve">Business loans </w:t>
            </w:r>
            <w:r>
              <w:rPr>
                <w:rFonts w:ascii="Times New Roman" w:cs="Times New Roman" w:eastAsia="Times New Roman" w:hAnsi="Times New Roman"/>
                <w:sz w:val="17"/>
                <w:szCs w:val="17"/>
                <w:color w:val="auto"/>
                <w:vertAlign w:val="superscript"/>
              </w:rPr>
              <w:t>(1) (2)</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14,143</w:t>
            </w:r>
          </w:p>
        </w:tc>
        <w:tc>
          <w:tcPr>
            <w:tcW w:w="20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(4,660)</w:t>
            </w: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9,483</w:t>
            </w:r>
          </w:p>
        </w:tc>
        <w:tc>
          <w:tcPr>
            <w:tcW w:w="200" w:type="dxa"/>
            <w:vAlign w:val="bottom"/>
          </w:tcPr>
          <w:p>
            <w:pPr>
              <w:spacing w:after="0"/>
              <w:rPr>
                <w:sz w:val="12"/>
                <w:szCs w:val="12"/>
                <w:color w:val="auto"/>
              </w:rPr>
            </w:pPr>
          </w:p>
        </w:tc>
      </w:tr>
      <w:tr>
        <w:trPr>
          <w:trHeight w:val="148"/>
        </w:trPr>
        <w:tc>
          <w:tcPr>
            <w:tcW w:w="5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One-to-four family residential and coop/condo apartment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200" w:type="dxa"/>
            <w:vAlign w:val="bottom"/>
            <w:shd w:val="clear" w:color="auto" w:fill="CCEEFF"/>
          </w:tcPr>
          <w:p>
            <w:pPr>
              <w:spacing w:after="0"/>
              <w:rPr>
                <w:sz w:val="12"/>
                <w:szCs w:val="12"/>
                <w:color w:val="auto"/>
              </w:rPr>
            </w:pPr>
          </w:p>
        </w:tc>
      </w:tr>
      <w:tr>
        <w:trPr>
          <w:trHeight w:val="149"/>
        </w:trPr>
        <w:tc>
          <w:tcPr>
            <w:tcW w:w="5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Multifamily residential and residential mixed-use</w:t>
            </w: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(4,941)</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(2,062)</w:t>
            </w:r>
          </w:p>
        </w:tc>
        <w:tc>
          <w:tcPr>
            <w:tcW w:w="3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(7,003)</w:t>
            </w:r>
          </w:p>
        </w:tc>
      </w:tr>
      <w:tr>
        <w:trPr>
          <w:trHeight w:val="148"/>
        </w:trPr>
        <w:tc>
          <w:tcPr>
            <w:tcW w:w="5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Non-owner-occupied commercial real estate</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(4,604)</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(1,752)</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(6,356)</w:t>
            </w:r>
          </w:p>
        </w:tc>
      </w:tr>
      <w:tr>
        <w:trPr>
          <w:trHeight w:val="148"/>
        </w:trPr>
        <w:tc>
          <w:tcPr>
            <w:tcW w:w="5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ADC</w:t>
            </w: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3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(1,415)</w:t>
            </w:r>
          </w:p>
        </w:tc>
      </w:tr>
      <w:tr>
        <w:trPr>
          <w:trHeight w:val="148"/>
        </w:trPr>
        <w:tc>
          <w:tcPr>
            <w:tcW w:w="5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loans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w:t>
            </w:r>
          </w:p>
        </w:tc>
      </w:tr>
      <w:tr>
        <w:trPr>
          <w:trHeight w:val="148"/>
        </w:trPr>
        <w:tc>
          <w:tcPr>
            <w:tcW w:w="5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(2,582)</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9,471</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6,889</w:t>
            </w:r>
          </w:p>
        </w:tc>
        <w:tc>
          <w:tcPr>
            <w:tcW w:w="200" w:type="dxa"/>
            <w:vAlign w:val="bottom"/>
          </w:tcPr>
          <w:p>
            <w:pPr>
              <w:spacing w:after="0"/>
              <w:rPr>
                <w:sz w:val="12"/>
                <w:szCs w:val="12"/>
                <w:color w:val="auto"/>
              </w:rPr>
            </w:pPr>
          </w:p>
        </w:tc>
      </w:tr>
      <w:tr>
        <w:trPr>
          <w:trHeight w:val="149"/>
        </w:trPr>
        <w:tc>
          <w:tcPr>
            <w:tcW w:w="5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investments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8,733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(4,123)</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4,610</w:t>
            </w:r>
          </w:p>
        </w:tc>
        <w:tc>
          <w:tcPr>
            <w:tcW w:w="200" w:type="dxa"/>
            <w:vAlign w:val="bottom"/>
            <w:shd w:val="clear" w:color="auto" w:fill="CCEEFF"/>
          </w:tcPr>
          <w:p>
            <w:pPr>
              <w:spacing w:after="0"/>
              <w:rPr>
                <w:sz w:val="12"/>
                <w:szCs w:val="12"/>
                <w:color w:val="auto"/>
              </w:rPr>
            </w:pPr>
          </w:p>
        </w:tc>
      </w:tr>
      <w:tr>
        <w:trPr>
          <w:trHeight w:val="142"/>
        </w:trPr>
        <w:tc>
          <w:tcPr>
            <w:tcW w:w="536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11,388</w:t>
            </w: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(2,400)</w:t>
            </w:r>
          </w:p>
        </w:tc>
        <w:tc>
          <w:tcPr>
            <w:tcW w:w="2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8,988</w:t>
            </w:r>
          </w:p>
        </w:tc>
        <w:tc>
          <w:tcPr>
            <w:tcW w:w="200" w:type="dxa"/>
            <w:vAlign w:val="bottom"/>
            <w:tcBorders>
              <w:bottom w:val="single" w:sz="8" w:color="CCEEFF"/>
            </w:tcBorders>
          </w:tcPr>
          <w:p>
            <w:pPr>
              <w:spacing w:after="0"/>
              <w:rPr>
                <w:sz w:val="12"/>
                <w:szCs w:val="12"/>
                <w:color w:val="auto"/>
              </w:rPr>
            </w:pPr>
          </w:p>
        </w:tc>
      </w:tr>
      <w:tr>
        <w:trPr>
          <w:trHeight w:val="142"/>
        </w:trPr>
        <w:tc>
          <w:tcPr>
            <w:tcW w:w="53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Interest-bearing liabilities:</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5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Interest-bearing checking</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2,155</w:t>
            </w:r>
          </w:p>
        </w:tc>
        <w:tc>
          <w:tcPr>
            <w:tcW w:w="200" w:type="dxa"/>
            <w:vAlign w:val="bottom"/>
          </w:tcPr>
          <w:p>
            <w:pPr>
              <w:spacing w:after="0"/>
              <w:rPr>
                <w:sz w:val="12"/>
                <w:szCs w:val="12"/>
                <w:color w:val="auto"/>
              </w:rPr>
            </w:pPr>
          </w:p>
        </w:tc>
        <w:tc>
          <w:tcPr>
            <w:tcW w:w="2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3,428</w:t>
            </w:r>
          </w:p>
        </w:tc>
        <w:tc>
          <w:tcPr>
            <w:tcW w:w="20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5,583</w:t>
            </w:r>
          </w:p>
        </w:tc>
        <w:tc>
          <w:tcPr>
            <w:tcW w:w="200" w:type="dxa"/>
            <w:vAlign w:val="bottom"/>
          </w:tcPr>
          <w:p>
            <w:pPr>
              <w:spacing w:after="0"/>
              <w:rPr>
                <w:sz w:val="12"/>
                <w:szCs w:val="12"/>
                <w:color w:val="auto"/>
              </w:rPr>
            </w:pPr>
          </w:p>
        </w:tc>
      </w:tr>
      <w:tr>
        <w:trPr>
          <w:trHeight w:val="149"/>
        </w:trPr>
        <w:tc>
          <w:tcPr>
            <w:tcW w:w="5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(11,517)</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00" w:type="dxa"/>
            <w:vAlign w:val="bottom"/>
            <w:shd w:val="clear" w:color="auto" w:fill="CCEEFF"/>
          </w:tcPr>
          <w:p>
            <w:pPr>
              <w:spacing w:after="0"/>
              <w:rPr>
                <w:sz w:val="12"/>
                <w:szCs w:val="12"/>
                <w:color w:val="auto"/>
              </w:rPr>
            </w:pPr>
          </w:p>
        </w:tc>
      </w:tr>
      <w:tr>
        <w:trPr>
          <w:trHeight w:val="148"/>
        </w:trPr>
        <w:tc>
          <w:tcPr>
            <w:tcW w:w="5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Savings</w:t>
            </w: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(6,897)</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(10,789)</w:t>
            </w:r>
          </w:p>
        </w:tc>
        <w:tc>
          <w:tcPr>
            <w:tcW w:w="3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(17,686)</w:t>
            </w:r>
          </w:p>
        </w:tc>
      </w:tr>
      <w:tr>
        <w:trPr>
          <w:trHeight w:val="148"/>
        </w:trPr>
        <w:tc>
          <w:tcPr>
            <w:tcW w:w="5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CDs</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(9,811)</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(6,059)</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(15,870)</w:t>
            </w:r>
          </w:p>
        </w:tc>
      </w:tr>
      <w:tr>
        <w:trPr>
          <w:trHeight w:val="148"/>
        </w:trPr>
        <w:tc>
          <w:tcPr>
            <w:tcW w:w="5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FHLBNY advances</w:t>
            </w: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(6,940)</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(3,513)</w:t>
            </w:r>
          </w:p>
        </w:tc>
        <w:tc>
          <w:tcPr>
            <w:tcW w:w="3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(10,453)</w:t>
            </w:r>
          </w:p>
        </w:tc>
      </w:tr>
      <w:tr>
        <w:trPr>
          <w:trHeight w:val="148"/>
        </w:trPr>
        <w:tc>
          <w:tcPr>
            <w:tcW w:w="5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Subordinated debt, net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1,423</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3,446</w:t>
            </w:r>
          </w:p>
        </w:tc>
        <w:tc>
          <w:tcPr>
            <w:tcW w:w="200" w:type="dxa"/>
            <w:vAlign w:val="bottom"/>
            <w:shd w:val="clear" w:color="auto" w:fill="CCEEFF"/>
          </w:tcPr>
          <w:p>
            <w:pPr>
              <w:spacing w:after="0"/>
              <w:rPr>
                <w:sz w:val="12"/>
                <w:szCs w:val="12"/>
                <w:color w:val="auto"/>
              </w:rPr>
            </w:pPr>
          </w:p>
        </w:tc>
      </w:tr>
      <w:tr>
        <w:trPr>
          <w:trHeight w:val="149"/>
        </w:trPr>
        <w:tc>
          <w:tcPr>
            <w:tcW w:w="5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short-term borrowings</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2"/>
                <w:szCs w:val="12"/>
                <w:color w:val="auto"/>
              </w:rPr>
            </w:pPr>
          </w:p>
        </w:tc>
      </w:tr>
      <w:tr>
        <w:trPr>
          <w:trHeight w:val="148"/>
        </w:trPr>
        <w:tc>
          <w:tcPr>
            <w:tcW w:w="5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Derivative cash collateral</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(1,603)</w:t>
            </w:r>
          </w:p>
        </w:tc>
      </w:tr>
      <w:tr>
        <w:trPr>
          <w:trHeight w:val="142"/>
        </w:trPr>
        <w:tc>
          <w:tcPr>
            <w:tcW w:w="536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interest-bearing liabilities</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(8,827)</w:t>
            </w:r>
          </w:p>
        </w:tc>
        <w:tc>
          <w:tcPr>
            <w:tcW w:w="2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(27,463)</w:t>
            </w:r>
          </w:p>
        </w:tc>
        <w:tc>
          <w:tcPr>
            <w:tcW w:w="2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(36,290)</w:t>
            </w:r>
          </w:p>
        </w:tc>
        <w:tc>
          <w:tcPr>
            <w:tcW w:w="200" w:type="dxa"/>
            <w:vAlign w:val="bottom"/>
            <w:tcBorders>
              <w:bottom w:val="single" w:sz="8" w:color="CCEEFF"/>
            </w:tcBorders>
          </w:tcPr>
          <w:p>
            <w:pPr>
              <w:spacing w:after="0"/>
              <w:rPr>
                <w:sz w:val="12"/>
                <w:szCs w:val="12"/>
                <w:color w:val="auto"/>
              </w:rPr>
            </w:pPr>
          </w:p>
        </w:tc>
      </w:tr>
      <w:tr>
        <w:trPr>
          <w:trHeight w:val="142"/>
        </w:trPr>
        <w:tc>
          <w:tcPr>
            <w:tcW w:w="536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net interest income</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20,215</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25,063</w:t>
            </w:r>
          </w:p>
        </w:tc>
        <w:tc>
          <w:tcPr>
            <w:tcW w:w="2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45,278</w:t>
            </w:r>
          </w:p>
        </w:tc>
        <w:tc>
          <w:tcPr>
            <w:tcW w:w="200" w:type="dxa"/>
            <w:vAlign w:val="bottom"/>
            <w:tcBorders>
              <w:bottom w:val="single" w:sz="8" w:color="CCEEFF"/>
            </w:tcBorders>
            <w:shd w:val="clear" w:color="auto" w:fill="CCEEFF"/>
          </w:tcPr>
          <w:p>
            <w:pPr>
              <w:spacing w:after="0"/>
              <w:rPr>
                <w:sz w:val="12"/>
                <w:szCs w:val="12"/>
                <w:color w:val="auto"/>
              </w:rPr>
            </w:pPr>
          </w:p>
        </w:tc>
      </w:tr>
      <w:tr>
        <w:trPr>
          <w:trHeight w:val="20"/>
        </w:trPr>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3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r>
    </w:tbl>
    <w:p>
      <w:pPr>
        <w:spacing w:after="0" w:line="64" w:lineRule="exact"/>
        <w:rPr>
          <w:sz w:val="20"/>
          <w:szCs w:val="20"/>
          <w:color w:val="auto"/>
        </w:rPr>
      </w:pPr>
    </w:p>
    <w:p>
      <w:pPr>
        <w:ind w:left="380" w:hanging="330"/>
        <w:spacing w:after="0"/>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Business loans include C&amp;I loans, owner-occupied commercial real estate loans and PPP loans.</w:t>
      </w:r>
    </w:p>
    <w:p>
      <w:pPr>
        <w:spacing w:after="0" w:line="5" w:lineRule="exact"/>
        <w:rPr>
          <w:rFonts w:ascii="Times New Roman" w:cs="Times New Roman" w:eastAsia="Times New Roman" w:hAnsi="Times New Roman"/>
          <w:sz w:val="13"/>
          <w:szCs w:val="13"/>
          <w:color w:val="auto"/>
        </w:rPr>
      </w:pPr>
    </w:p>
    <w:p>
      <w:pPr>
        <w:ind w:left="380" w:hanging="330"/>
        <w:spacing w:after="0"/>
        <w:tabs>
          <w:tab w:leader="none" w:pos="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Amounts are net of deferred origination costs/(fees) and allowance for credit losses, and include loans held for sale.</w:t>
      </w:r>
    </w:p>
    <w:p>
      <w:pPr>
        <w:spacing w:after="0" w:line="294"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interest income. </w:t>
      </w:r>
      <w:r>
        <w:rPr>
          <w:rFonts w:ascii="Times New Roman" w:cs="Times New Roman" w:eastAsia="Times New Roman" w:hAnsi="Times New Roman"/>
          <w:sz w:val="18"/>
          <w:szCs w:val="18"/>
          <w:color w:val="auto"/>
        </w:rPr>
        <w:t>Net interest income was $192.3 million during the six months ended June 30, 2025,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$45.3 million from the six months ended June 30, 2024. Average interest-earning assets were $13.08 billion for the six months ended June 30, 2025, an increase of $259.7 million from $12.82 billion for the six months ended June 30, 2024. Net interest margin was 2.96% during the six months ended June 30, 2024, up from 2.31% during the six months ended June 30, 2024.</w:t>
      </w:r>
    </w:p>
    <w:p>
      <w:pPr>
        <w:spacing w:after="0" w:line="183"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$329.4 million during the six months ended June 30, 2025, compared to $320.4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six months ended June 30, 2024. During the six months ended June 30, 2025, interest income increased $9.0 million from the six months ended June 30, 2024, primarily reflecting increases in interest income of $9.5 million on business loans, $6.9 million on securities, $4.6 million on other short-term investments and $2.9 million on one-to-four family loans, partially offset by decreases in interest income of $7.0 million on multifamily loans, $6.4 million on non-owner-occupied loans, and $1.4 million on acquisition, development and construction loans.</w:t>
      </w:r>
    </w:p>
    <w:p>
      <w:pPr>
        <w:spacing w:after="0" w:line="18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increased interest income on business loans was due to a $419.4 million increase in the average balances, partially offset by a 36-basis point decrease in the yield of such loans in the period. The increased interest income on securities was related to a 131-basis point increase in the yield, partially offset by a decrease of $191.0 million in the average balances of such securities in the period. The increased interest income on other short-term investments was related to a $355.8 million increase in the average balances, partially offset by a 121-basis point decrease in the yield of such investments in the period. The increased interest income on one-to-four family loans was related to a $85.3 million increase in the average balances and a 21-basis point increase in the yield of such loans in the period. The decreased interest income on multifamily residential and residential mixed-use loans was related to a $210.9 million decrease in the average balance and a 10-basis point decrease in the yield of such loans in the period. The decreased interest income on non-owner-occupied commercial real estate loans reflected a $170.4 million decrease in the average balance and a 10-basis point decrease in the yield of such loans in the period. The decreased interest income on acquisition, development and construction loan income reflected a $29.7 million decrease in the average balance and a 14-basis point decrease in the yield of such loans in the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$137.1 million during the six months ended June 30, 2025, compared to $173.4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six months ended June 30, 2024. During the six months ended June 30, 2025, interest expense decreased $36.3 million, primarily reflecting decreases in interest expense of $27.7 million on deposits, $10.5 million on FHLBNY advances and $1.6 million in interest expense on derivative cash collateral, partially offset by a $3.4 million increase in interest expense on subordinated debt.</w:t>
      </w:r>
    </w:p>
    <w:p>
      <w:pPr>
        <w:spacing w:after="0" w:line="18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decreased interest expense on deposits was primarily due to a 101-basis point decrease in rates paid on savings accounts, a $404.9 million decrease in average balances of such deposits, $500.1 million decrease in the average balance of CDs and a 95-basis point decrease in the cost of such deposits in the period, partially offset by a 90-basis point increase in the cost of interest-bearing checking accounts and a $321.6 million increase in the average balance of such deposits in the period. The decreased interest expense on FHLBNY advances was due to a $374.2 million decrease in the average balance and a 101-basis point decrease in the cost of FHLBNY advances in the period. The decreased interest expense on derivative cash collateral was due to a $46.3 million decrease in the average balance and a 76-basis point decrease in the cost of such derivatives in the period. The increased interest expense on subordinated debt was due to a $71.2 million increase in the average balance and a 122-basis point increase in the cost of such debt in the period.</w:t>
      </w:r>
    </w:p>
    <w:p>
      <w:pPr>
        <w:spacing w:after="0" w:line="18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We recorded a credit loss provision of $18.8 million during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a credit loss provision of $10.8 million for the six months ended June 30, 2024. The $18.8 million credit loss provision for the six months ended June 30, 2025, was primarily attributable to updates in the macroeconomic forecast and to the loss driver models. The $10.8 million credit loss provision for the six months ended June 30, 2024 was primarily associated with increased provisioning for our pooled multifamily loan portfolio.</w:t>
      </w:r>
    </w:p>
    <w:p>
      <w:pPr>
        <w:spacing w:after="0" w:line="18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Non-Interest Income. </w:t>
      </w:r>
      <w:r>
        <w:rPr>
          <w:rFonts w:ascii="Times New Roman" w:cs="Times New Roman" w:eastAsia="Times New Roman" w:hAnsi="Times New Roman"/>
          <w:sz w:val="18"/>
          <w:szCs w:val="18"/>
          <w:color w:val="auto"/>
        </w:rPr>
        <w:t>Non-interest income was $21.2 million during the six months ended June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$22.3 million during the six months ended June 30, 2024. The decrease is primarily driven by a $6.7 million reduction in gains on sale of Bank’s premises, partially offset by an increase of $3.2 million related to BOLI income.</w:t>
      </w:r>
    </w:p>
    <w:p>
      <w:pPr>
        <w:spacing w:after="0" w:line="17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Non-Interest Expense. </w:t>
      </w:r>
      <w:r>
        <w:rPr>
          <w:rFonts w:ascii="Times New Roman" w:cs="Times New Roman" w:eastAsia="Times New Roman" w:hAnsi="Times New Roman"/>
          <w:sz w:val="18"/>
          <w:szCs w:val="18"/>
          <w:color w:val="auto"/>
        </w:rPr>
        <w:t>Non-interest expense was $125.8 million during the six months ended June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$108.2 million during the six months ended June 30, 2024. The increase in non-interest expense is primarily due to a $7.6 million increase in salaries and employee benefits and a $7.2 million increase due to the pension settlement loss recorded during the first quarter of 2025.</w:t>
      </w:r>
    </w:p>
    <w:p>
      <w:pPr>
        <w:spacing w:after="0" w:line="18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Non-interest expense was 1.81% and 1.59% of average assets during the six months ended June 30, 2025 and 2024, respectively.</w:t>
      </w:r>
    </w:p>
    <w:p>
      <w:pPr>
        <w:spacing w:after="0" w:line="160"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$17.7 million during the six months ended June 30,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of $14.1 million during the six months ended June 30, 2024. The reported effective tax rate for the six months ended June 30, 2025 and 2024 was 25.7%, and 28.1%, respectively.</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were presented at December 31, 2024 in Item 7A of the Holding Company’s Annual Report on Form 10-K, filed with the SEC on February 20, 2025. The following is an update of the discussion provided therein.</w:t>
      </w:r>
    </w:p>
    <w:p>
      <w:pPr>
        <w:spacing w:after="0" w:line="174"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Company’s largest component of market risk remains interest rate risk. The Company is not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exchange or commodity price risk. During the six months ended June 30, 2025, we conducted zero transactions involving derivative instruments requiring bifurcation in order to hedge interest rate or market risk.</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 Exposure Analysis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Economic Value of Equity (“EVE”) Analysis</w:t>
      </w:r>
      <w:r>
        <w:rPr>
          <w:rFonts w:ascii="Times New Roman" w:cs="Times New Roman" w:eastAsia="Times New Roman" w:hAnsi="Times New Roman"/>
          <w:sz w:val="18"/>
          <w:szCs w:val="18"/>
          <w:color w:val="auto"/>
        </w:rPr>
        <w:t>. In accordance with agency regulatory guidelines, the Company simulates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interest rate volatility upon EVE using several interest rate scenarios. EVE is the difference between the present value of the expected future cash flows of the Company’s assets and liabilities and the value of any off-balance sheet items, such as derivatives, if applicable.</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Traditionally, the fair value of fixed-rate instruments fluctuates inversely with changes in interest rates. Increases in interest rates thus result in decreases in the fair value of interest-earning assets, which could adversely affect the Company’s consolidated results of operations in the event they were to be sold, or, in the case of interest-earning assets classified as available-for-sale, reduce the Company’s consolidated stockholders’ equity, if retained. The changes in the value of assets and liabilities due to fluctuations in interest rates measure the interest rate sensitivity of those assets and liabilities.</w:t>
      </w:r>
    </w:p>
    <w:p>
      <w:pPr>
        <w:spacing w:after="0" w:line="16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order to measure the Company’s sensitivity to changes in interest rates, EVE is calculated under market interest rates prevailing at a given quarter-end (“Pre-Shock Scenario”), and under various other interest rate scenarios (“Rate Shock Scenarios”) representing immediate, permanent, parallel shifts in the term structure of interest rates from the actual term structure observed in the Pre-Shock Scenario, with this shift occurring equally across all points on the yield curve. An increase in the EVE is considered favorable, while a decline is considered unfavorable. The changes in EVE between the Pre-Shock Scenario and various Rate Shock Scenarios due to fluctuations in interest rates reflect the interest rate sensitivity of the Company’s assets, liabilities, and off-balance sheet items that are included in the EVE. Management reports the EVE results to the Board of Directors on a quarterly basis. The report compares the Company’s estimated Pre-Shock Scenario EVE to the estimated EVE calculated under the various Rate Shock Scenarios.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valuation model makes various estimates regarding cash flows from principal repayments on loans and deposit decay rates at each level of interest rate change. The Company’s estimates for loan repayment levels are influenced by the recent history of prepayment activity in its loan portfolio, as well as the interest rate composition of the existing portfolio, especially in relation to the existing interest rate environment. Regarding deposit decay rates, the Company tracks and analyzes the decay rate of its deposits over time, with the assistance of a reputable third-party, and over various interest rate scenarios. Such results are utilized in determining estimates of deposit decay rates in the valuation model. The Company also generates a series of spot discount rates that are integral to the valuation of the projected monthly cash flows of its assets and liabilities. The valuation model employs discount rates that it considers representative of prevailing market rates of interest with appropriate adjustments it believes are suited to the heterogeneous characteristics of the Company’s various asset and liability portfolios. No matter the care and precision with which the estimates are derived, actual cash flows could differ significantly from the Company’s estimates resulting in significantly different EVE calculations.</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analysis that follows presents, as of June 30, 2025 and December 31, 2024, the estimated EVE at both the Pre-Shock Scenario and the -200 Basis Point, -100 Basis Point, +100 Basis Point, and +200 Basis Point Rate Shock Scenarios.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8"/>
                <w:szCs w:val="18"/>
                <w:color w:val="auto"/>
              </w:rPr>
            </w:pPr>
          </w:p>
        </w:tc>
      </w:tr>
      <w:tr>
        <w:trPr>
          <w:trHeight w:val="183"/>
        </w:trPr>
        <w:tc>
          <w:tcPr>
            <w:tcW w:w="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20" w:type="dxa"/>
            <w:vAlign w:val="bottom"/>
          </w:tcPr>
          <w:p>
            <w:pPr>
              <w:spacing w:after="0"/>
              <w:rPr>
                <w:sz w:val="15"/>
                <w:szCs w:val="15"/>
                <w:color w:val="auto"/>
              </w:rPr>
            </w:pPr>
          </w:p>
        </w:tc>
      </w:tr>
      <w:tr>
        <w:trPr>
          <w:trHeight w:val="215"/>
        </w:trPr>
        <w:tc>
          <w:tcPr>
            <w:tcW w:w="2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EVE</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80" w:type="dxa"/>
            <w:vAlign w:val="bottom"/>
          </w:tcPr>
          <w:p>
            <w:pPr>
              <w:spacing w:after="0"/>
              <w:rPr>
                <w:sz w:val="18"/>
                <w:szCs w:val="18"/>
                <w:color w:val="auto"/>
              </w:rPr>
            </w:pP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EVE</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8"/>
                <w:szCs w:val="18"/>
                <w:color w:val="auto"/>
              </w:rPr>
            </w:pPr>
          </w:p>
        </w:tc>
      </w:tr>
      <w:tr>
        <w:trPr>
          <w:trHeight w:val="19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Rate Shock Scenarios</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97"/>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$ 1,959,621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162,707</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120" w:type="dxa"/>
            <w:vAlign w:val="bottom"/>
            <w:gridSpan w:val="2"/>
          </w:tcPr>
          <w:p>
            <w:pPr>
              <w:jc w:val="right"/>
              <w:spacing w:after="0" w:line="297"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6"/>
                <w:szCs w:val="16"/>
                <w:color w:val="auto"/>
              </w:rPr>
              <w:t xml:space="preserve">  $ 1,862,712</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101,644</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7"/>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1,914,186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117,272</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2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1,843,160</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82,092</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Pre-Shock Scenario</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1,796,914</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1,761,068</w:t>
            </w: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r>
      <w:tr>
        <w:trPr>
          <w:trHeight w:val="297"/>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1,630,725</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(166,189)</w:t>
            </w:r>
          </w:p>
        </w:tc>
        <w:tc>
          <w:tcPr>
            <w:tcW w:w="1080" w:type="dxa"/>
            <w:vAlign w:val="bottom"/>
            <w:gridSpan w:val="2"/>
            <w:shd w:val="clear" w:color="auto" w:fill="CCEEFF"/>
          </w:tcPr>
          <w:p>
            <w:pPr>
              <w:jc w:val="right"/>
              <w:ind w:right="44"/>
              <w:spacing w:after="0" w:line="297" w:lineRule="exact"/>
              <w:rPr>
                <w:sz w:val="20"/>
                <w:szCs w:val="20"/>
                <w:color w:val="auto"/>
              </w:rPr>
            </w:pPr>
            <w:r>
              <w:rPr>
                <w:rFonts w:ascii="Times New Roman" w:cs="Times New Roman" w:eastAsia="Times New Roman" w:hAnsi="Times New Roman"/>
                <w:sz w:val="16"/>
                <w:szCs w:val="16"/>
                <w:b w:val="1"/>
                <w:bCs w:val="1"/>
                <w:color w:val="auto"/>
              </w:rPr>
              <w:t xml:space="preserve">(9.2) </w:t>
            </w:r>
            <w:r>
              <w:rPr>
                <w:rFonts w:ascii="Times New Roman" w:cs="Times New Roman" w:eastAsia="Times New Roman" w:hAnsi="Times New Roman"/>
                <w:sz w:val="28"/>
                <w:szCs w:val="28"/>
                <w:b w:val="1"/>
                <w:bCs w:val="1"/>
                <w:color w:val="auto"/>
                <w:vertAlign w:val="subscript"/>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1,636,011</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(125,057)</w:t>
            </w:r>
          </w:p>
        </w:tc>
        <w:tc>
          <w:tcPr>
            <w:tcW w:w="1000" w:type="dxa"/>
            <w:vAlign w:val="bottom"/>
            <w:gridSpan w:val="2"/>
            <w:shd w:val="clear" w:color="auto" w:fill="CCEEFF"/>
          </w:tcPr>
          <w:p>
            <w:pPr>
              <w:jc w:val="right"/>
              <w:spacing w:after="0" w:line="297" w:lineRule="exact"/>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28"/>
                <w:szCs w:val="28"/>
                <w:color w:val="auto"/>
                <w:vertAlign w:val="subscript"/>
              </w:rPr>
              <w:t>%</w:t>
            </w:r>
          </w:p>
        </w:tc>
      </w:tr>
      <w:tr>
        <w:trPr>
          <w:trHeight w:val="38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1,392,212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(404,702)</w:t>
            </w:r>
          </w:p>
        </w:tc>
        <w:tc>
          <w:tcPr>
            <w:tcW w:w="10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 xml:space="preserve">(22.5) </w:t>
            </w:r>
            <w:r>
              <w:rPr>
                <w:rFonts w:ascii="Times New Roman" w:cs="Times New Roman" w:eastAsia="Times New Roman" w:hAnsi="Times New Roman"/>
                <w:sz w:val="28"/>
                <w:szCs w:val="28"/>
                <w:b w:val="1"/>
                <w:bCs w:val="1"/>
                <w:color w:val="auto"/>
                <w:vertAlign w:val="sub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1,439,251</w:t>
            </w:r>
          </w:p>
        </w:tc>
        <w:tc>
          <w:tcPr>
            <w:tcW w:w="1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(321,817)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(18.3) </w:t>
            </w:r>
            <w:r>
              <w:rPr>
                <w:rFonts w:ascii="Times New Roman" w:cs="Times New Roman" w:eastAsia="Times New Roman" w:hAnsi="Times New Roman"/>
                <w:sz w:val="28"/>
                <w:szCs w:val="28"/>
                <w:color w:val="auto"/>
                <w:vertAlign w:val="subscript"/>
              </w:rPr>
              <w:t>%</w:t>
            </w:r>
          </w:p>
        </w:tc>
      </w:tr>
    </w:tbl>
    <w:p>
      <w:pPr>
        <w:spacing w:after="0" w:line="11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Company’s Pre-Shock Scenario EVE increased marginally from $1.76 billion at December 31, 2024 to $1.80 billion at June 30, 2025. The primary factors contributing to the increase in EVE is an increase in the value of the Bank’s loan and investment portfolios, partially offset by a decline in value of the Bank’s non-maturity deposit base.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EVE in the +100 Basis Point Rate and +200 Basis Point Rate Shock Scenarios increased from $1.84 billion and $1.86 billion, respectively, at December 31, 2024, to $1.91 billion and $1.96 billion, respectively, at June 30, 2025. In the -100 Basis Point Rate and -200 Basis Point Rate Shock Scenario the Company’s EVE decreased from $1.64 billion and $1.44 billion, respectively, at December 31, 2024, to $1.63 billion and $1.39 billion, respectively, at June 30, 2025.</w:t>
      </w:r>
    </w:p>
    <w:p>
      <w:pPr>
        <w:spacing w:after="0" w:line="181" w:lineRule="exact"/>
        <w:rPr>
          <w:sz w:val="20"/>
          <w:szCs w:val="20"/>
          <w:color w:val="auto"/>
        </w:rPr>
      </w:pPr>
    </w:p>
    <w:p>
      <w:pPr>
        <w:jc w:val="both"/>
        <w:ind w:left="60" w:right="79"/>
        <w:spacing w:after="0" w:line="267" w:lineRule="auto"/>
        <w:rPr>
          <w:sz w:val="20"/>
          <w:szCs w:val="20"/>
          <w:color w:val="auto"/>
        </w:rPr>
      </w:pPr>
      <w:r>
        <w:rPr>
          <w:rFonts w:ascii="Times New Roman" w:cs="Times New Roman" w:eastAsia="Times New Roman" w:hAnsi="Times New Roman"/>
          <w:sz w:val="18"/>
          <w:szCs w:val="18"/>
          <w:i w:val="1"/>
          <w:iCs w:val="1"/>
          <w:color w:val="auto"/>
        </w:rPr>
        <w:t>Income Simulation Analysis</w:t>
      </w:r>
      <w:r>
        <w:rPr>
          <w:rFonts w:ascii="Times New Roman" w:cs="Times New Roman" w:eastAsia="Times New Roman" w:hAnsi="Times New Roman"/>
          <w:sz w:val="18"/>
          <w:szCs w:val="18"/>
          <w:color w:val="auto"/>
        </w:rPr>
        <w:t>. As of the end of each quarterly period, the Company also monitors the impact of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through a net interest income simulation model. This model estimates the impact of interest rate changes on the Company’s net interest income over forward-looking periods typically not exceeding 36 months (a considerably shorter</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period than measured through the EVE analysis). Management reports the net interest income simulation results to the Company’s Board of Directors on a quarterly basis. The following table discloses the estimated changes to the Company’s net interest income in various time periods assuming gradual changes in interest rates occurring equally across all points on the yield curve over a 12-month period beginning June 30, 2025, for the given rate scenarios: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02"/>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Gradual Change in Interest rates of:</w:t>
            </w: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7"/>
                <w:szCs w:val="17"/>
                <w:color w:val="auto"/>
              </w:rPr>
            </w:pPr>
          </w:p>
        </w:tc>
        <w:tc>
          <w:tcPr>
            <w:tcW w:w="138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7"/>
                <w:szCs w:val="17"/>
                <w:color w:val="auto"/>
              </w:rPr>
            </w:pPr>
          </w:p>
        </w:tc>
      </w:tr>
      <w:tr>
        <w:trPr>
          <w:trHeight w:val="196"/>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20" w:type="dxa"/>
            <w:vAlign w:val="bottom"/>
            <w:tcBorders>
              <w:top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42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 xml:space="preserve">(1.3) </w:t>
            </w:r>
            <w:r>
              <w:rPr>
                <w:rFonts w:ascii="Times New Roman" w:cs="Times New Roman" w:eastAsia="Times New Roman" w:hAnsi="Times New Roman"/>
                <w:sz w:val="23"/>
                <w:szCs w:val="23"/>
                <w:color w:val="auto"/>
                <w:vertAlign w:val="subscript"/>
              </w:rPr>
              <w:t>%</w:t>
            </w:r>
          </w:p>
        </w:tc>
      </w:tr>
      <w:tr>
        <w:trPr>
          <w:trHeight w:val="381"/>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28"/>
                <w:szCs w:val="28"/>
                <w:color w:val="auto"/>
                <w:vertAlign w:val="subscript"/>
              </w:rPr>
              <w:t>%</w:t>
            </w:r>
          </w:p>
        </w:tc>
      </w:tr>
    </w:tbl>
    <w:p>
      <w:pPr>
        <w:spacing w:after="0" w:line="2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also examines the potential impact to net interest income by simulating the impact of instantaneous changes to interest rates occurring equally across all points on the yield curve. The following table discloses the estimated changes to the Company’s net interest income in various time periods associated with the given interest rate shock scenarios.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Percentage Change in Net Interest Income</w:t>
            </w:r>
          </w:p>
        </w:tc>
        <w:tc>
          <w:tcPr>
            <w:tcW w:w="220" w:type="dxa"/>
            <w:vAlign w:val="bottom"/>
          </w:tcPr>
          <w:p>
            <w:pPr>
              <w:spacing w:after="0"/>
              <w:rPr>
                <w:sz w:val="18"/>
                <w:szCs w:val="18"/>
                <w:color w:val="auto"/>
              </w:rPr>
            </w:pPr>
          </w:p>
        </w:tc>
      </w:tr>
      <w:tr>
        <w:trPr>
          <w:trHeight w:val="202"/>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Instantaneous Rate Shock Scenarios</w:t>
            </w: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Year-One</w:t>
            </w:r>
          </w:p>
        </w:tc>
        <w:tc>
          <w:tcPr>
            <w:tcW w:w="420" w:type="dxa"/>
            <w:vAlign w:val="bottom"/>
          </w:tcPr>
          <w:p>
            <w:pPr>
              <w:spacing w:after="0"/>
              <w:rPr>
                <w:sz w:val="17"/>
                <w:szCs w:val="17"/>
                <w:color w:val="auto"/>
              </w:rPr>
            </w:pPr>
          </w:p>
        </w:tc>
        <w:tc>
          <w:tcPr>
            <w:tcW w:w="138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Year-Two</w:t>
            </w:r>
          </w:p>
        </w:tc>
        <w:tc>
          <w:tcPr>
            <w:tcW w:w="220" w:type="dxa"/>
            <w:vAlign w:val="bottom"/>
          </w:tcPr>
          <w:p>
            <w:pPr>
              <w:spacing w:after="0"/>
              <w:rPr>
                <w:sz w:val="17"/>
                <w:szCs w:val="17"/>
                <w:color w:val="auto"/>
              </w:rPr>
            </w:pPr>
          </w:p>
        </w:tc>
      </w:tr>
      <w:tr>
        <w:trPr>
          <w:trHeight w:val="196"/>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+ 200</w:t>
            </w:r>
          </w:p>
        </w:tc>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420" w:type="dxa"/>
            <w:vAlign w:val="bottom"/>
            <w:tcBorders>
              <w:top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+ 100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- 100</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780" w:type="dxa"/>
            <w:vAlign w:val="bottom"/>
            <w:gridSpan w:val="2"/>
            <w:shd w:val="clear" w:color="auto" w:fill="CCEEFF"/>
          </w:tcPr>
          <w:p>
            <w:pPr>
              <w:jc w:val="right"/>
              <w:ind w:right="188"/>
              <w:spacing w:after="0" w:line="202" w:lineRule="exact"/>
              <w:rPr>
                <w:sz w:val="20"/>
                <w:szCs w:val="20"/>
                <w:color w:val="auto"/>
              </w:rPr>
            </w:pPr>
            <w:r>
              <w:rPr>
                <w:rFonts w:ascii="Times New Roman" w:cs="Times New Roman" w:eastAsia="Times New Roman" w:hAnsi="Times New Roman"/>
                <w:sz w:val="14"/>
                <w:szCs w:val="14"/>
                <w:color w:val="auto"/>
              </w:rPr>
              <w:t xml:space="preserve">(0.6) </w:t>
            </w:r>
            <w:r>
              <w:rPr>
                <w:rFonts w:ascii="Times New Roman" w:cs="Times New Roman" w:eastAsia="Times New Roman" w:hAnsi="Times New Roman"/>
                <w:sz w:val="23"/>
                <w:szCs w:val="23"/>
                <w:color w:val="auto"/>
                <w:vertAlign w:val="subscript"/>
              </w:rPr>
              <w:t>%</w:t>
            </w:r>
          </w:p>
        </w:tc>
        <w:tc>
          <w:tcPr>
            <w:tcW w:w="16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4"/>
                <w:szCs w:val="14"/>
                <w:color w:val="auto"/>
              </w:rPr>
              <w:t xml:space="preserve">(3.3) </w:t>
            </w:r>
            <w:r>
              <w:rPr>
                <w:rFonts w:ascii="Times New Roman" w:cs="Times New Roman" w:eastAsia="Times New Roman" w:hAnsi="Times New Roman"/>
                <w:sz w:val="23"/>
                <w:szCs w:val="23"/>
                <w:color w:val="auto"/>
                <w:vertAlign w:val="subscript"/>
              </w:rPr>
              <w:t>%</w:t>
            </w:r>
          </w:p>
        </w:tc>
      </w:tr>
      <w:tr>
        <w:trPr>
          <w:trHeight w:val="381"/>
        </w:trPr>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Basis Points</w:t>
            </w:r>
          </w:p>
        </w:tc>
        <w:tc>
          <w:tcPr>
            <w:tcW w:w="178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28"/>
                <w:szCs w:val="28"/>
                <w:color w:val="auto"/>
                <w:vertAlign w:val="subscript"/>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(8.7) </w:t>
            </w:r>
            <w:r>
              <w:rPr>
                <w:rFonts w:ascii="Times New Roman" w:cs="Times New Roman" w:eastAsia="Times New Roman" w:hAnsi="Times New Roman"/>
                <w:sz w:val="28"/>
                <w:szCs w:val="28"/>
                <w:color w:val="auto"/>
                <w:vertAlign w:val="subscript"/>
              </w:rPr>
              <w:t>%</w:t>
            </w:r>
          </w:p>
        </w:tc>
      </w:tr>
    </w:tbl>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Management of the Company, with the participation of its Principal Executive Officer and Principal Financial Officer, conducted an evaluation of the effectiveness, as of June 30, 2025, of the Company’s disclosure controls and procedures, as defined in Rules 13a-15(e) and 15(d)-15(e) under the Exchange Act. Based upon this evaluation, the Principal Executive Officer and Principal Financial Officer concluded that the Company’s disclosure controls and procedures were effective as of June 30, 2025 in ensuring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as appropriate to allow timely decisions regarding required disclosures.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June 30, 2025, that has materially affected, or is reasonably likely to materially affect, such controls.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routinely named as a defendant in, or party to, various pending or threatened legal actions or proceedings. Certain of these matters may seek substantial monetary damages. In the opinion of management, the Company was not involved in any actions or proceedings that were likely to have a material adverse impact on its financial condition and results of operations as of June 30,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information regarding the Company’s risk factors, see Part 1, Item 1A “Risk Factors” in the Company’s Annual Report on Form 10-K for fiscal year ended December 31, 2024, and Part II, Item 1A “Risk Factors” in our subsequent Quarterly Reports on Form 10-Q, each as filed with the Securities and Exchange Commission.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jc w:val="both"/>
        <w:ind w:left="380" w:right="59" w:hanging="330"/>
        <w:spacing w:after="0" w:line="258" w:lineRule="auto"/>
        <w:tabs>
          <w:tab w:leader="none" w:pos="39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announced the adoption of a new stock repurchase program of up to 1,948,314 shares, upon the completion of our existing authorized stock repurchase program. The stock repurchase program may be suspended, terminated, or modified at any time for any reason, and has no termination date. As of June 30, 2025, there were 1,566,947 shares remaining to be purchased in the program. There were no repurchases of common stock during the quarter ended June 30,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300" w:type="dxa"/>
            <w:vAlign w:val="bottom"/>
            <w:gridSpan w:val="1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7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Restated Certificate of Incorporation of the Registrant (incorporated by reference to Exhibit 3.1 to the</w:t>
              </w:r>
            </w:hyperlink>
          </w:p>
        </w:tc>
        <w:tc>
          <w:tcPr>
            <w:tcW w:w="700" w:type="dxa"/>
            <w:vAlign w:val="bottom"/>
            <w:gridSpan w:val="6"/>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Registrant’s Current Report on Form 8-K, filed February 2, 2021 (File No. 001-34096))</w:t>
              </w:r>
            </w:hyperlink>
          </w:p>
        </w:tc>
        <w:tc>
          <w:tcPr>
            <w:tcW w:w="1700" w:type="dxa"/>
            <w:vAlign w:val="bottom"/>
            <w:gridSpan w:val="8"/>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7"/>
                <w:szCs w:val="17"/>
                <w:color w:val="auto"/>
              </w:rPr>
            </w:pPr>
          </w:p>
        </w:tc>
        <w:tc>
          <w:tcPr>
            <w:tcW w:w="8020" w:type="dxa"/>
            <w:vAlign w:val="bottom"/>
            <w:gridSpan w:val="15"/>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Amended and Restated Bylaws of Dime Community Bancshares, Inc. (incorporated by reference to Exhibit 3.2</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to the Registrant’s Current Report on Form 8-K, filed October 25, 2024 (File No. 001-34096))</w:t>
              </w:r>
            </w:hyperlink>
          </w:p>
        </w:tc>
        <w:tc>
          <w:tcPr>
            <w:tcW w:w="2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7"/>
                <w:szCs w:val="17"/>
                <w:color w:val="auto"/>
              </w:rPr>
            </w:pPr>
          </w:p>
        </w:tc>
        <w:tc>
          <w:tcPr>
            <w:tcW w:w="7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Indenture, dated May 6, 2022, between Dime Community Bancshares, Inc. and Wilmington Trust National</w:t>
              </w:r>
            </w:hyperlink>
          </w:p>
        </w:tc>
        <w:tc>
          <w:tcPr>
            <w:tcW w:w="32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Association, as trustee (incorporated by reference to Exhibit 4.1 to the Registrant’s Current Report on Form 8-</w:t>
              </w:r>
            </w:hyperlink>
          </w:p>
        </w:tc>
        <w:tc>
          <w:tcPr>
            <w:tcW w:w="80" w:type="dxa"/>
            <w:vAlign w:val="bottom"/>
            <w:gridSpan w:val="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15"/>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K, filed May 6, 2022 (File No. 001-34096))</w:t>
              </w:r>
            </w:hyperlink>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First Supplemental Indenture, dated May 6, 2022, between Dime Community Bancshares, Inc. and Wilmington</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15"/>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Trust National Association, as trustee (incorporated by reference to Exhibit 4.2 to the Registrant’s Current</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Report on Form 8-K, filed May 6, 2022 (File No. 001-34096))</w:t>
              </w:r>
            </w:hyperlink>
          </w:p>
        </w:tc>
        <w:tc>
          <w:tcPr>
            <w:tcW w:w="3120" w:type="dxa"/>
            <w:vAlign w:val="bottom"/>
            <w:tcBorders>
              <w:top w:val="single" w:sz="8" w:color="0000EE"/>
            </w:tcBorders>
            <w:gridSpan w:val="8"/>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7"/>
                <w:szCs w:val="17"/>
                <w:color w:val="auto"/>
              </w:rPr>
            </w:pPr>
          </w:p>
        </w:tc>
        <w:tc>
          <w:tcPr>
            <w:tcW w:w="74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Second Supplemental Indenture, dated June 28, 2024, between Dime Community Bancshares, Inc. and</w:t>
              </w:r>
            </w:hyperlink>
          </w:p>
        </w:tc>
        <w:tc>
          <w:tcPr>
            <w:tcW w:w="620" w:type="dxa"/>
            <w:vAlign w:val="bottom"/>
            <w:gridSpan w:val="5"/>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20" w:type="dxa"/>
            <w:vAlign w:val="bottom"/>
            <w:gridSpan w:val="15"/>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Wilmington Trust National Association, as trustee (incorporated by reference to Exhibit 4.2 to the Registrant’s</w:t>
              </w:r>
            </w:hyperlink>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Current Report on Form 8-K, filed June 28, 2024 (File No. 001-34096))</w:t>
              </w:r>
            </w:hyperlink>
          </w:p>
        </w:tc>
        <w:tc>
          <w:tcPr>
            <w:tcW w:w="2760" w:type="dxa"/>
            <w:vAlign w:val="bottom"/>
            <w:tcBorders>
              <w:top w:val="single" w:sz="8" w:color="0000EE"/>
            </w:tcBorders>
            <w:gridSpan w:val="7"/>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7"/>
                <w:szCs w:val="17"/>
                <w:color w:val="auto"/>
              </w:rPr>
            </w:pPr>
          </w:p>
        </w:tc>
        <w:tc>
          <w:tcPr>
            <w:tcW w:w="80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w:t>
            </w: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w:t>
            </w:r>
          </w:p>
        </w:tc>
        <w:tc>
          <w:tcPr>
            <w:tcW w:w="40" w:type="dxa"/>
            <w:vAlign w:val="bottom"/>
            <w:tcBorders>
              <w:top w:val="single" w:sz="8" w:color="0000EE"/>
            </w:tcBorders>
          </w:tcPr>
          <w:p>
            <w:pPr>
              <w:spacing w:after="0"/>
              <w:rPr>
                <w:sz w:val="17"/>
                <w:szCs w:val="17"/>
                <w:color w:val="auto"/>
              </w:rPr>
            </w:pPr>
          </w:p>
        </w:tc>
        <w:tc>
          <w:tcPr>
            <w:tcW w:w="2920" w:type="dxa"/>
            <w:vAlign w:val="bottom"/>
            <w:gridSpan w:val="10"/>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7"/>
                <w:szCs w:val="17"/>
                <w:color w:val="auto"/>
              </w:rPr>
            </w:pPr>
          </w:p>
        </w:tc>
        <w:tc>
          <w:tcPr>
            <w:tcW w:w="80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and Chief Financial Officer pursuant to Rule 13a-14(b) and 18 U.S.C.</w:t>
            </w: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Section 1350</w:t>
            </w:r>
          </w:p>
        </w:tc>
        <w:tc>
          <w:tcPr>
            <w:tcW w:w="80" w:type="dxa"/>
            <w:vAlign w:val="bottom"/>
            <w:gridSpan w:val="2"/>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920" w:right="79" w:hanging="864"/>
        <w:spacing w:after="0" w:line="253"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Dime Community Bancshares, Inc.'s Quarterly Report on Form 10-Q for the Quarter Ended June 30, 2025, filed on August 5, 2025, formatted in XBRL: (i) Consolidated Statements of Financial Condition as of June 30, 2025 and December 31, 2024, (ii) Consolidated Statements of Operations for the Three and Six Months Ended June 30, 2025 and 2024, (iii) Consolidated Statements of Comprehensive Income for the Three and Six Months Ended June 30, 2025 and 2024, (iv) Consolidated Statements of Stockholders' Equity for the Three and Six Months Ended June 30, 2025 and 2024, (v) Consolidated Statements of Cash Flows for the Six Months Ended June 30, 2025 and 2024, and (vi) the Condensed Notes to</w:t>
      </w:r>
    </w:p>
    <w:tbl>
      <w:tblPr>
        <w:tblLayout w:type="fixed"/>
        <w:tblInd w:w="60" w:type="dxa"/>
        <w:tblCellMar>
          <w:top w:w="0" w:type="dxa"/>
          <w:left w:w="0" w:type="dxa"/>
          <w:bottom w:w="0" w:type="dxa"/>
          <w:right w:w="0" w:type="dxa"/>
        </w:tblCellMar>
      </w:tblPr>
      <w:tr>
        <w:trPr>
          <w:trHeight w:val="201"/>
        </w:trPr>
        <w:tc>
          <w:tcPr>
            <w:tcW w:w="760" w:type="dxa"/>
            <w:vAlign w:val="bottom"/>
          </w:tcPr>
          <w:p>
            <w:pPr>
              <w:spacing w:after="0"/>
              <w:rPr>
                <w:sz w:val="17"/>
                <w:szCs w:val="17"/>
                <w:color w:val="auto"/>
              </w:rPr>
            </w:pPr>
          </w:p>
        </w:tc>
        <w:tc>
          <w:tcPr>
            <w:tcW w:w="458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r>
        <w:trPr>
          <w:trHeight w:val="37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Definitions Linkbase Document</w:t>
            </w:r>
          </w:p>
        </w:tc>
      </w:tr>
    </w:tbl>
    <w:p>
      <w:pPr>
        <w:ind w:left="920" w:hanging="8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to this Quarterly Report on Form 10-Q,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35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9"/>
              </w:rPr>
              <w:t>Dime Community Bancshares, Inc.</w:t>
            </w:r>
          </w:p>
        </w:tc>
      </w:tr>
      <w:tr>
        <w:trPr>
          <w:trHeight w:val="41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5, 2025</w:t>
            </w:r>
          </w:p>
        </w:tc>
        <w:tc>
          <w:tcPr>
            <w:tcW w:w="35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By: /s/ Stuart H. Lubow</w:t>
            </w:r>
          </w:p>
        </w:tc>
      </w:tr>
      <w:tr>
        <w:trPr>
          <w:trHeight w:val="191"/>
        </w:trPr>
        <w:tc>
          <w:tcPr>
            <w:tcW w:w="2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Stuart H. Lubow</w:t>
            </w:r>
          </w:p>
        </w:tc>
        <w:tc>
          <w:tcPr>
            <w:tcW w:w="40" w:type="dxa"/>
            <w:vAlign w:val="bottom"/>
          </w:tcPr>
          <w:p>
            <w:pPr>
              <w:spacing w:after="0"/>
              <w:rPr>
                <w:sz w:val="16"/>
                <w:szCs w:val="16"/>
                <w:color w:val="auto"/>
              </w:rPr>
            </w:pPr>
          </w:p>
        </w:tc>
      </w:tr>
      <w:tr>
        <w:trPr>
          <w:trHeight w:val="216"/>
        </w:trPr>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w:t>
            </w:r>
          </w:p>
        </w:tc>
      </w:tr>
      <w:tr>
        <w:trPr>
          <w:trHeight w:val="234"/>
        </w:trPr>
        <w:tc>
          <w:tcPr>
            <w:tcW w:w="2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64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5, 2025</w:t>
            </w:r>
          </w:p>
        </w:tc>
        <w:tc>
          <w:tcPr>
            <w:tcW w:w="35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By: /s/ Avinash Reddy</w:t>
            </w:r>
          </w:p>
        </w:tc>
      </w:tr>
      <w:tr>
        <w:trPr>
          <w:trHeight w:val="191"/>
        </w:trPr>
        <w:tc>
          <w:tcPr>
            <w:tcW w:w="2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Avinash Reddy</w:t>
            </w:r>
          </w:p>
        </w:tc>
        <w:tc>
          <w:tcPr>
            <w:tcW w:w="40" w:type="dxa"/>
            <w:vAlign w:val="bottom"/>
          </w:tcPr>
          <w:p>
            <w:pPr>
              <w:spacing w:after="0"/>
              <w:rPr>
                <w:sz w:val="16"/>
                <w:szCs w:val="16"/>
                <w:color w:val="auto"/>
              </w:rPr>
            </w:pPr>
          </w:p>
        </w:tc>
      </w:tr>
      <w:tr>
        <w:trPr>
          <w:trHeight w:val="216"/>
        </w:trPr>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Executive Vice President</w:t>
            </w:r>
          </w:p>
        </w:tc>
      </w:tr>
      <w:tr>
        <w:trPr>
          <w:trHeight w:val="234"/>
        </w:trPr>
        <w:tc>
          <w:tcPr>
            <w:tcW w:w="2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76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EXECUTIVE OFFICER PURSUANT TO RULE 13a-14(a)</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Stuart H. Lubow, certify that:</w:t>
      </w:r>
    </w:p>
    <w:p>
      <w:pPr>
        <w:spacing w:after="0" w:line="225" w:lineRule="exact"/>
        <w:rPr>
          <w:sz w:val="20"/>
          <w:szCs w:val="20"/>
          <w:color w:val="auto"/>
        </w:rPr>
      </w:pPr>
    </w:p>
    <w:p>
      <w:pPr>
        <w:ind w:left="540" w:hanging="331"/>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Dime Community Bancshares, Inc.;</w:t>
      </w:r>
    </w:p>
    <w:p>
      <w:pPr>
        <w:spacing w:after="0" w:line="184"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860" w:right="239" w:hanging="327"/>
        <w:spacing w:after="0" w:line="266"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540" w:right="239" w:hanging="331"/>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60" w:right="219" w:hanging="327"/>
        <w:spacing w:after="0" w:line="282"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Stuart H. Lubow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8632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Stuart H. Lubow</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4" w:name="page65"/>
    <w:bookmarkEnd w:id="64"/>
    <w:p>
      <w:pPr>
        <w:ind w:left="768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PRINCIPAL FINANCIAL OFFICER PURSUANT TO RULE 13a-14(a)</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Avinash Reddy, certify that:</w:t>
      </w:r>
    </w:p>
    <w:p>
      <w:pPr>
        <w:spacing w:after="0" w:line="185" w:lineRule="exact"/>
        <w:rPr>
          <w:sz w:val="20"/>
          <w:szCs w:val="20"/>
          <w:color w:val="auto"/>
        </w:rPr>
      </w:pPr>
    </w:p>
    <w:p>
      <w:pPr>
        <w:ind w:left="540" w:hanging="331"/>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Dime Community Bancshares, Inc.;</w:t>
      </w:r>
    </w:p>
    <w:p>
      <w:pPr>
        <w:spacing w:after="0" w:line="184"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540" w:right="219" w:hanging="331"/>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2" w:lineRule="exact"/>
        <w:rPr>
          <w:rFonts w:ascii="Times New Roman" w:cs="Times New Roman" w:eastAsia="Times New Roman" w:hAnsi="Times New Roman"/>
          <w:sz w:val="18"/>
          <w:szCs w:val="18"/>
          <w:color w:val="auto"/>
        </w:rPr>
      </w:pPr>
    </w:p>
    <w:p>
      <w:pPr>
        <w:jc w:val="both"/>
        <w:ind w:left="860" w:right="219" w:hanging="327"/>
        <w:spacing w:after="0" w:line="261" w:lineRule="auto"/>
        <w:tabs>
          <w:tab w:leader="none" w:pos="8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860" w:right="239" w:hanging="327"/>
        <w:spacing w:after="0" w:line="266" w:lineRule="auto"/>
        <w:tabs>
          <w:tab w:leader="none" w:pos="8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jc w:val="both"/>
        <w:ind w:left="540" w:right="239" w:hanging="331"/>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135" w:lineRule="exact"/>
        <w:rPr>
          <w:rFonts w:ascii="Times New Roman" w:cs="Times New Roman" w:eastAsia="Times New Roman" w:hAnsi="Times New Roman"/>
          <w:sz w:val="18"/>
          <w:szCs w:val="18"/>
          <w:color w:val="auto"/>
        </w:rPr>
      </w:pPr>
    </w:p>
    <w:p>
      <w:pPr>
        <w:jc w:val="both"/>
        <w:ind w:left="860" w:right="219" w:hanging="327"/>
        <w:spacing w:after="0" w:line="266" w:lineRule="auto"/>
        <w:tabs>
          <w:tab w:leader="none" w:pos="8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860" w:right="219" w:hanging="327"/>
        <w:spacing w:after="0" w:line="282" w:lineRule="auto"/>
        <w:tabs>
          <w:tab w:leader="none" w:pos="8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Avinash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260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Avinash Reddy</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Senior Executive Vice President and Chief Financial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5" w:name="page66"/>
    <w:bookmarkEnd w:id="65"/>
    <w:p>
      <w:pPr>
        <w:ind w:left="768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PURSUANT TO RULE 13a-14(b) 18 U.S.C. SECTION 1350,</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As adopted pursuant to</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SECTION 906 OF THE SARBANES-OXLEY ACT OF 2002</w:t>
      </w:r>
    </w:p>
    <w:p>
      <w:pPr>
        <w:spacing w:after="0" w:line="20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Dime Community Bancshares, Inc. (the “Company”) on Form 10-Q for the period ended June 30, 2025 as filed with the Securities and Exchange Commission, (the “Report”), we, Stuart H. Lubow, President and Chief Executive Officer of the Company and, Avinash Reddy, Senior Executive Vice President and Chief Financial Officer of the Company, hereby certify, pursuant to 18 U.S.C. Section 1350, as adopted pursuant to Section 906 of the Sarbanes-Oxley Act of 2002, that:</w:t>
      </w:r>
    </w:p>
    <w:p>
      <w:pPr>
        <w:spacing w:after="0" w:line="143" w:lineRule="exact"/>
        <w:rPr>
          <w:sz w:val="20"/>
          <w:szCs w:val="20"/>
          <w:color w:val="auto"/>
        </w:rPr>
      </w:pPr>
    </w:p>
    <w:p>
      <w:pPr>
        <w:ind w:left="860" w:right="239" w:hanging="327"/>
        <w:spacing w:after="0" w:line="282"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860" w:right="239" w:hanging="327"/>
        <w:spacing w:after="0" w:line="282"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H. Lubow</w:t>
            </w: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Stuart H. Lubow</w:t>
            </w: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Avinash Reddy</w:t>
            </w: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4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Avinash Reddy</w:t>
            </w: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tc>
      </w:tr>
      <w:tr>
        <w:trPr>
          <w:trHeight w:val="763"/>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3"/>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101"/>
    </w:lvl>
  </w:abstractNum>
  <w:abstractNum w:abstractNumId="23">
    <w:nsid w:val="4353D0CD"/>
    <w:multiLevelType w:val="hybridMultilevel"/>
    <w:lvl w:ilvl="0">
      <w:lvlJc w:val="left"/>
      <w:lvlText w:val="%1"/>
      <w:numFmt w:val="decimal"/>
      <w:start w:val="104"/>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91" Type="http://schemas.openxmlformats.org/officeDocument/2006/relationships/hyperlink" Target="https://www.sec.gov/Archives/edgar/data/846617/000110465921010989/tm214955d1_ex3-1.htm" TargetMode="External"/><Relationship Id="rId92" Type="http://schemas.openxmlformats.org/officeDocument/2006/relationships/hyperlink" Target="https://www.sec.gov/Archives/edgar/data/846617/000094337424000436/ex3-2_8k102424.htm" TargetMode="External"/><Relationship Id="rId93" Type="http://schemas.openxmlformats.org/officeDocument/2006/relationships/hyperlink" Target="https://www.sec.gov/Archives/edgar/data/0000846617/000110465922056846/tm2214585d1_ex4-1.htm" TargetMode="External"/><Relationship Id="rId94" Type="http://schemas.openxmlformats.org/officeDocument/2006/relationships/hyperlink" Target="https://www.sec.gov/Archives/edgar/data/846617/000110465922056846/tm2214585d1_ex4-2.htm" TargetMode="External"/><Relationship Id="rId95" Type="http://schemas.openxmlformats.org/officeDocument/2006/relationships/hyperlink" Target="https://www.sec.gov/Archives/edgar/data/846617/000110465924076292/tm2417725d4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2025-08-05T07:06:29Z</dcterms:created>
  <dcterms:modified xsi:type="dcterms:W3CDTF">2025-08-05T07:06:29Z</dcterms:modified>
</cp:coreProperties>
</file>