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C0F" w:rsidRPr="0034683A" w:rsidRDefault="00912B17" w:rsidP="00912B17">
      <w:pPr>
        <w:jc w:val="right"/>
        <w:rPr>
          <w:rFonts w:ascii="Times New Roman" w:hAnsi="Times New Roman" w:cs="Times New Roman"/>
          <w:b/>
          <w:bCs/>
        </w:rPr>
      </w:pPr>
      <w:r w:rsidRPr="0034683A">
        <w:rPr>
          <w:rFonts w:ascii="Times New Roman" w:hAnsi="Times New Roman" w:cs="Times New Roman"/>
          <w:b/>
          <w:bCs/>
        </w:rPr>
        <w:t>Exhibit 99.1</w:t>
      </w:r>
    </w:p>
    <w:p w:rsidR="00912B17" w:rsidRPr="00912B17" w:rsidRDefault="00912B17" w:rsidP="00912B17">
      <w:pPr>
        <w:jc w:val="center"/>
        <w:rPr>
          <w:rFonts w:asciiTheme="minorHAnsi" w:eastAsia="Times New Roman" w:hAnsi="Times New Roman"/>
          <w:bCs/>
        </w:rPr>
      </w:pPr>
    </w:p>
    <w:p w:rsidR="00912B17" w:rsidRDefault="00AE7038" w:rsidP="00912B17">
      <w:pPr>
        <w:jc w:val="center"/>
        <w:rPr>
          <w:rFonts w:asciiTheme="minorHAnsi" w:eastAsia="Times New Roman" w:hAnsi="Times New Roman" w:cs="Times New Roman"/>
          <w:b/>
          <w:bCs/>
          <w:color w:val="000000"/>
        </w:rPr>
      </w:pPr>
      <w:r>
        <w:rPr>
          <w:noProof/>
        </w:rPr>
        <w:drawing>
          <wp:inline distT="0" distB="0" distL="0" distR="0" wp14:anchorId="36787834" wp14:editId="46A83DC7">
            <wp:extent cx="2683510" cy="901700"/>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3510" cy="901700"/>
                    </a:xfrm>
                    <a:prstGeom prst="rect">
                      <a:avLst/>
                    </a:prstGeom>
                  </pic:spPr>
                </pic:pic>
              </a:graphicData>
            </a:graphic>
          </wp:inline>
        </w:drawing>
      </w:r>
    </w:p>
    <w:p w:rsidR="00AE7038" w:rsidRPr="00912B17" w:rsidRDefault="00AE7038" w:rsidP="00912B17">
      <w:pPr>
        <w:jc w:val="center"/>
        <w:rPr>
          <w:rFonts w:asciiTheme="minorHAnsi" w:eastAsia="Times New Roman" w:hAnsi="Times New Roman" w:cs="Times New Roman"/>
          <w:b/>
          <w:bCs/>
          <w:color w:val="000000"/>
        </w:rPr>
      </w:pPr>
    </w:p>
    <w:p w:rsidR="008262DF" w:rsidRDefault="008262DF" w:rsidP="008262DF">
      <w:pPr>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Dime Community Bancshares, Inc. Reports </w:t>
      </w:r>
      <w:r w:rsidR="004D4EDF">
        <w:rPr>
          <w:rFonts w:ascii="Times New Roman" w:eastAsia="Times New Roman" w:hAnsi="Times New Roman" w:cs="Times New Roman"/>
          <w:b/>
          <w:bCs/>
          <w:color w:val="000000"/>
        </w:rPr>
        <w:t>Third</w:t>
      </w:r>
      <w:r>
        <w:rPr>
          <w:rFonts w:ascii="Times New Roman" w:eastAsia="Times New Roman" w:hAnsi="Times New Roman" w:cs="Times New Roman"/>
          <w:b/>
          <w:bCs/>
          <w:color w:val="000000"/>
        </w:rPr>
        <w:t xml:space="preserve"> Quarter 2023 </w:t>
      </w:r>
      <w:r w:rsidR="007136FE">
        <w:rPr>
          <w:rFonts w:ascii="Times New Roman" w:eastAsia="Times New Roman" w:hAnsi="Times New Roman" w:cs="Times New Roman"/>
          <w:b/>
          <w:bCs/>
          <w:color w:val="000000"/>
        </w:rPr>
        <w:t>Results</w:t>
      </w:r>
      <w:r>
        <w:rPr>
          <w:rFonts w:ascii="Times New Roman" w:eastAsia="Times New Roman" w:hAnsi="Times New Roman" w:cs="Times New Roman"/>
          <w:b/>
          <w:bCs/>
          <w:color w:val="000000"/>
        </w:rPr>
        <w:t xml:space="preserve"> </w:t>
      </w:r>
    </w:p>
    <w:p w:rsidR="008262DF" w:rsidRDefault="008262DF" w:rsidP="008262DF">
      <w:pPr>
        <w:jc w:val="center"/>
        <w:rPr>
          <w:rFonts w:ascii="Times New Roman" w:eastAsia="Times New Roman" w:hAnsi="Times New Roman" w:cs="Times New Roman"/>
          <w:b/>
          <w:bCs/>
          <w:color w:val="000000"/>
        </w:rPr>
      </w:pPr>
    </w:p>
    <w:p w:rsidR="008262DF" w:rsidRPr="003C28CC" w:rsidRDefault="00D7400F" w:rsidP="008262DF">
      <w:pPr>
        <w:jc w:val="center"/>
        <w:rPr>
          <w:rFonts w:ascii="Times New Roman" w:eastAsia="Times New Roman" w:hAnsi="Times New Roman" w:cs="Times New Roman"/>
          <w:b/>
          <w:bCs/>
          <w:color w:val="000000"/>
        </w:rPr>
      </w:pPr>
      <w:r w:rsidRPr="003C28CC">
        <w:rPr>
          <w:rFonts w:ascii="Times New Roman" w:eastAsia="Times New Roman" w:hAnsi="Times New Roman" w:cs="Times New Roman"/>
          <w:b/>
          <w:bCs/>
          <w:color w:val="000000"/>
        </w:rPr>
        <w:t>Growth in New Commercial Customers Leads to Average Deposits Increasing By $12</w:t>
      </w:r>
      <w:r w:rsidR="00AB51CB">
        <w:rPr>
          <w:rFonts w:ascii="Times New Roman" w:eastAsia="Times New Roman" w:hAnsi="Times New Roman" w:cs="Times New Roman"/>
          <w:b/>
          <w:bCs/>
          <w:color w:val="000000"/>
        </w:rPr>
        <w:t>8</w:t>
      </w:r>
      <w:r w:rsidRPr="003C28CC">
        <w:rPr>
          <w:rFonts w:ascii="Times New Roman" w:eastAsia="Times New Roman" w:hAnsi="Times New Roman" w:cs="Times New Roman"/>
          <w:b/>
          <w:bCs/>
          <w:color w:val="000000"/>
        </w:rPr>
        <w:t xml:space="preserve"> Million on </w:t>
      </w:r>
      <w:r w:rsidR="00F34D3A">
        <w:rPr>
          <w:rFonts w:ascii="Times New Roman" w:eastAsia="Times New Roman" w:hAnsi="Times New Roman" w:cs="Times New Roman"/>
          <w:b/>
          <w:bCs/>
          <w:color w:val="000000"/>
        </w:rPr>
        <w:t xml:space="preserve">a </w:t>
      </w:r>
      <w:r w:rsidRPr="003C28CC">
        <w:rPr>
          <w:rFonts w:ascii="Times New Roman" w:eastAsia="Times New Roman" w:hAnsi="Times New Roman" w:cs="Times New Roman"/>
          <w:b/>
          <w:bCs/>
          <w:color w:val="000000"/>
        </w:rPr>
        <w:t>Linked Quarter Basis</w:t>
      </w:r>
    </w:p>
    <w:p w:rsidR="003F0F31" w:rsidRDefault="003F0F31" w:rsidP="00871389">
      <w:pPr>
        <w:jc w:val="center"/>
        <w:rPr>
          <w:rFonts w:ascii="Times New Roman" w:eastAsia="Times New Roman" w:hAnsi="Times New Roman" w:cs="Times New Roman"/>
          <w:b/>
          <w:bCs/>
          <w:color w:val="000000"/>
        </w:rPr>
      </w:pPr>
    </w:p>
    <w:p w:rsidR="00912547" w:rsidRDefault="008262DF" w:rsidP="00871389">
      <w:pPr>
        <w:jc w:val="center"/>
        <w:rPr>
          <w:rFonts w:ascii="Times New Roman" w:eastAsia="Times New Roman" w:hAnsi="Times New Roman" w:cs="Times New Roman"/>
          <w:b/>
          <w:bCs/>
          <w:color w:val="000000"/>
        </w:rPr>
      </w:pPr>
      <w:r w:rsidRPr="003C28CC">
        <w:rPr>
          <w:rFonts w:ascii="Times New Roman" w:eastAsia="Times New Roman" w:hAnsi="Times New Roman" w:cs="Times New Roman"/>
          <w:b/>
          <w:bCs/>
          <w:color w:val="000000"/>
        </w:rPr>
        <w:t xml:space="preserve">Capital Ratios </w:t>
      </w:r>
      <w:r w:rsidR="00D7400F" w:rsidRPr="003C28CC">
        <w:rPr>
          <w:rFonts w:ascii="Times New Roman" w:eastAsia="Times New Roman" w:hAnsi="Times New Roman" w:cs="Times New Roman"/>
          <w:b/>
          <w:bCs/>
          <w:color w:val="000000"/>
        </w:rPr>
        <w:t xml:space="preserve">Continue to Grow </w:t>
      </w:r>
      <w:r w:rsidRPr="003C28CC">
        <w:rPr>
          <w:rFonts w:ascii="Times New Roman" w:eastAsia="Times New Roman" w:hAnsi="Times New Roman" w:cs="Times New Roman"/>
          <w:b/>
          <w:bCs/>
          <w:color w:val="000000"/>
        </w:rPr>
        <w:t xml:space="preserve">and Asset Quality </w:t>
      </w:r>
      <w:r w:rsidR="00D7400F" w:rsidRPr="003C28CC">
        <w:rPr>
          <w:rFonts w:ascii="Times New Roman" w:eastAsia="Times New Roman" w:hAnsi="Times New Roman" w:cs="Times New Roman"/>
          <w:b/>
          <w:bCs/>
          <w:color w:val="000000"/>
        </w:rPr>
        <w:t>Remains Stable</w:t>
      </w:r>
    </w:p>
    <w:p w:rsidR="00FA3D1B" w:rsidRDefault="00FA3D1B" w:rsidP="002C1D8A">
      <w:pPr>
        <w:jc w:val="center"/>
        <w:rPr>
          <w:rFonts w:ascii="Times New Roman" w:eastAsia="Times New Roman" w:hAnsi="Times New Roman" w:cs="Times New Roman"/>
          <w:b/>
          <w:bCs/>
          <w:color w:val="000000"/>
        </w:rPr>
      </w:pPr>
    </w:p>
    <w:p w:rsidR="00A55EC8" w:rsidRDefault="00235F72" w:rsidP="00A55EC8">
      <w:pPr>
        <w:jc w:val="both"/>
        <w:rPr>
          <w:rFonts w:ascii="Times New Roman" w:eastAsia="Times New Roman" w:hAnsi="Times New Roman" w:cs="Times New Roman"/>
        </w:rPr>
      </w:pPr>
      <w:r w:rsidRPr="00141A0C">
        <w:rPr>
          <w:rFonts w:ascii="Times New Roman" w:eastAsia="Times New Roman" w:hAnsi="Times New Roman" w:cs="Times New Roman"/>
        </w:rPr>
        <w:t>Hauppauge, NY</w:t>
      </w:r>
      <w:r w:rsidRPr="004F52D2">
        <w:rPr>
          <w:rFonts w:ascii="Times New Roman" w:eastAsia="Times New Roman" w:hAnsi="Times New Roman" w:cs="Times New Roman"/>
        </w:rPr>
        <w:t xml:space="preserve">, </w:t>
      </w:r>
      <w:r w:rsidR="004D4EDF" w:rsidRPr="004F52D2">
        <w:rPr>
          <w:rFonts w:ascii="Times New Roman" w:eastAsia="Times New Roman" w:hAnsi="Times New Roman" w:cs="Times New Roman"/>
        </w:rPr>
        <w:t xml:space="preserve">October </w:t>
      </w:r>
      <w:r w:rsidR="004F52D2">
        <w:rPr>
          <w:rFonts w:ascii="Times New Roman" w:eastAsia="Times New Roman" w:hAnsi="Times New Roman" w:cs="Times New Roman"/>
        </w:rPr>
        <w:t>19</w:t>
      </w:r>
      <w:r w:rsidR="00DD2269" w:rsidRPr="00141A0C">
        <w:rPr>
          <w:rFonts w:ascii="Times New Roman" w:eastAsia="Times New Roman" w:hAnsi="Times New Roman" w:cs="Times New Roman"/>
        </w:rPr>
        <w:t>,</w:t>
      </w:r>
      <w:r w:rsidRPr="00141A0C">
        <w:rPr>
          <w:rFonts w:ascii="Times New Roman" w:eastAsia="Times New Roman" w:hAnsi="Times New Roman" w:cs="Times New Roman"/>
        </w:rPr>
        <w:t xml:space="preserve"> 202</w:t>
      </w:r>
      <w:r w:rsidR="0092475C">
        <w:rPr>
          <w:rFonts w:ascii="Times New Roman" w:eastAsia="Times New Roman" w:hAnsi="Times New Roman" w:cs="Times New Roman"/>
        </w:rPr>
        <w:t>3</w:t>
      </w:r>
      <w:r w:rsidRPr="00141A0C">
        <w:rPr>
          <w:rFonts w:ascii="Times New Roman" w:eastAsia="Times New Roman" w:hAnsi="Times New Roman" w:cs="Times New Roman"/>
        </w:rPr>
        <w:t xml:space="preserve"> (GLOBE NEWSWIRE) -- Dime Community Bancshares, Inc. (NASDAQ: DCOM) (the “Company” or “Dime</w:t>
      </w:r>
      <w:r w:rsidRPr="00754CD0">
        <w:rPr>
          <w:rFonts w:ascii="Times New Roman" w:eastAsia="Times New Roman" w:hAnsi="Times New Roman" w:cs="Times New Roman"/>
        </w:rPr>
        <w:t xml:space="preserve">”), the parent company of Dime Community Bank (the “Bank”), today reported net income available to common stockholders of </w:t>
      </w:r>
      <w:r w:rsidR="0092475C" w:rsidRPr="00754CD0">
        <w:rPr>
          <w:rFonts w:ascii="Times New Roman" w:eastAsia="Times New Roman" w:hAnsi="Times New Roman" w:cs="Times New Roman"/>
        </w:rPr>
        <w:t>$</w:t>
      </w:r>
      <w:r w:rsidR="003C28CC">
        <w:rPr>
          <w:rFonts w:ascii="Times New Roman" w:eastAsia="Times New Roman" w:hAnsi="Times New Roman" w:cs="Times New Roman"/>
        </w:rPr>
        <w:t>13.2</w:t>
      </w:r>
      <w:r w:rsidRPr="00754CD0">
        <w:rPr>
          <w:rFonts w:ascii="Times New Roman" w:eastAsia="Times New Roman" w:hAnsi="Times New Roman" w:cs="Times New Roman"/>
        </w:rPr>
        <w:t xml:space="preserve"> million </w:t>
      </w:r>
      <w:r w:rsidR="00015778" w:rsidRPr="00754CD0">
        <w:rPr>
          <w:rFonts w:ascii="Times New Roman" w:eastAsia="Times New Roman" w:hAnsi="Times New Roman" w:cs="Times New Roman"/>
        </w:rPr>
        <w:t xml:space="preserve">for the </w:t>
      </w:r>
      <w:r w:rsidR="00E77350" w:rsidRPr="00754CD0">
        <w:rPr>
          <w:rFonts w:ascii="Times New Roman" w:eastAsia="Times New Roman" w:hAnsi="Times New Roman" w:cs="Times New Roman"/>
        </w:rPr>
        <w:t>quarter</w:t>
      </w:r>
      <w:r w:rsidR="00015778" w:rsidRPr="00754CD0">
        <w:rPr>
          <w:rFonts w:ascii="Times New Roman" w:eastAsia="Times New Roman" w:hAnsi="Times New Roman" w:cs="Times New Roman"/>
        </w:rPr>
        <w:t xml:space="preserve"> ended </w:t>
      </w:r>
      <w:r w:rsidR="004D4EDF">
        <w:rPr>
          <w:rFonts w:ascii="Times New Roman" w:eastAsia="Times New Roman" w:hAnsi="Times New Roman" w:cs="Times New Roman"/>
        </w:rPr>
        <w:t>September</w:t>
      </w:r>
      <w:r w:rsidR="00466859">
        <w:rPr>
          <w:rFonts w:ascii="Times New Roman" w:eastAsia="Times New Roman" w:hAnsi="Times New Roman" w:cs="Times New Roman"/>
        </w:rPr>
        <w:t xml:space="preserve"> 30</w:t>
      </w:r>
      <w:r w:rsidR="00015778" w:rsidRPr="00754CD0">
        <w:rPr>
          <w:rFonts w:ascii="Times New Roman" w:eastAsia="Times New Roman" w:hAnsi="Times New Roman" w:cs="Times New Roman"/>
        </w:rPr>
        <w:t>, 202</w:t>
      </w:r>
      <w:r w:rsidR="00E77350" w:rsidRPr="00754CD0">
        <w:rPr>
          <w:rFonts w:ascii="Times New Roman" w:eastAsia="Times New Roman" w:hAnsi="Times New Roman" w:cs="Times New Roman"/>
        </w:rPr>
        <w:t>3</w:t>
      </w:r>
      <w:r w:rsidR="00015778" w:rsidRPr="00754CD0">
        <w:rPr>
          <w:rFonts w:ascii="Times New Roman" w:eastAsia="Times New Roman" w:hAnsi="Times New Roman" w:cs="Times New Roman"/>
        </w:rPr>
        <w:t>, or $</w:t>
      </w:r>
      <w:r w:rsidR="004522B6" w:rsidRPr="003C28CC">
        <w:rPr>
          <w:rFonts w:ascii="Times New Roman" w:eastAsia="Times New Roman" w:hAnsi="Times New Roman" w:cs="Times New Roman"/>
        </w:rPr>
        <w:t>0.</w:t>
      </w:r>
      <w:r w:rsidR="003C28CC" w:rsidRPr="003C28CC">
        <w:rPr>
          <w:rFonts w:ascii="Times New Roman" w:eastAsia="Times New Roman" w:hAnsi="Times New Roman" w:cs="Times New Roman"/>
        </w:rPr>
        <w:t>34</w:t>
      </w:r>
      <w:r w:rsidR="00015778" w:rsidRPr="00754CD0">
        <w:rPr>
          <w:rFonts w:ascii="Times New Roman" w:eastAsia="Times New Roman" w:hAnsi="Times New Roman" w:cs="Times New Roman"/>
        </w:rPr>
        <w:t xml:space="preserve"> per</w:t>
      </w:r>
      <w:r w:rsidR="00015778">
        <w:rPr>
          <w:rFonts w:ascii="Times New Roman" w:eastAsia="Times New Roman" w:hAnsi="Times New Roman" w:cs="Times New Roman"/>
        </w:rPr>
        <w:t xml:space="preserve"> diluted common share</w:t>
      </w:r>
      <w:r w:rsidR="00A55EC8">
        <w:rPr>
          <w:rFonts w:ascii="Times New Roman" w:eastAsia="Times New Roman" w:hAnsi="Times New Roman" w:cs="Times New Roman"/>
        </w:rPr>
        <w:t xml:space="preserve">, </w:t>
      </w:r>
      <w:r w:rsidR="00A55EC8" w:rsidRPr="00A55EC8">
        <w:rPr>
          <w:rFonts w:ascii="Times New Roman" w:eastAsia="Times New Roman" w:hAnsi="Times New Roman" w:cs="Times New Roman"/>
        </w:rPr>
        <w:t xml:space="preserve">compared to </w:t>
      </w:r>
      <w:r w:rsidR="00466859">
        <w:rPr>
          <w:rFonts w:ascii="Times New Roman" w:eastAsia="Times New Roman" w:hAnsi="Times New Roman" w:cs="Times New Roman"/>
        </w:rPr>
        <w:t xml:space="preserve">net income available to common stockholders of </w:t>
      </w:r>
      <w:r w:rsidR="004D4EDF">
        <w:rPr>
          <w:rFonts w:ascii="Times New Roman" w:eastAsia="Times New Roman" w:hAnsi="Times New Roman" w:cs="Times New Roman"/>
        </w:rPr>
        <w:t>$25.7</w:t>
      </w:r>
      <w:r w:rsidR="00A55EC8" w:rsidRPr="00A55EC8">
        <w:rPr>
          <w:rFonts w:ascii="Times New Roman" w:eastAsia="Times New Roman" w:hAnsi="Times New Roman" w:cs="Times New Roman"/>
        </w:rPr>
        <w:t xml:space="preserve"> million for the </w:t>
      </w:r>
      <w:r w:rsidR="00840C54">
        <w:rPr>
          <w:rFonts w:ascii="Times New Roman" w:eastAsia="Times New Roman" w:hAnsi="Times New Roman" w:cs="Times New Roman"/>
        </w:rPr>
        <w:t>quarter</w:t>
      </w:r>
      <w:r w:rsidR="00A55EC8" w:rsidRPr="00A55EC8">
        <w:rPr>
          <w:rFonts w:ascii="Times New Roman" w:eastAsia="Times New Roman" w:hAnsi="Times New Roman" w:cs="Times New Roman"/>
        </w:rPr>
        <w:t xml:space="preserve"> ended </w:t>
      </w:r>
      <w:r w:rsidR="004D4EDF">
        <w:rPr>
          <w:rFonts w:ascii="Times New Roman" w:eastAsia="Times New Roman" w:hAnsi="Times New Roman" w:cs="Times New Roman"/>
        </w:rPr>
        <w:t>June</w:t>
      </w:r>
      <w:r w:rsidR="00A55EC8" w:rsidRPr="00A55EC8">
        <w:rPr>
          <w:rFonts w:ascii="Times New Roman" w:eastAsia="Times New Roman" w:hAnsi="Times New Roman" w:cs="Times New Roman"/>
        </w:rPr>
        <w:t xml:space="preserve"> 3</w:t>
      </w:r>
      <w:r w:rsidR="00C15277">
        <w:rPr>
          <w:rFonts w:ascii="Times New Roman" w:eastAsia="Times New Roman" w:hAnsi="Times New Roman" w:cs="Times New Roman"/>
        </w:rPr>
        <w:t>0</w:t>
      </w:r>
      <w:r w:rsidR="00A55EC8" w:rsidRPr="00A55EC8">
        <w:rPr>
          <w:rFonts w:ascii="Times New Roman" w:eastAsia="Times New Roman" w:hAnsi="Times New Roman" w:cs="Times New Roman"/>
        </w:rPr>
        <w:t>, 202</w:t>
      </w:r>
      <w:r w:rsidR="00466859">
        <w:rPr>
          <w:rFonts w:ascii="Times New Roman" w:eastAsia="Times New Roman" w:hAnsi="Times New Roman" w:cs="Times New Roman"/>
        </w:rPr>
        <w:t>3</w:t>
      </w:r>
      <w:r w:rsidR="00064A87">
        <w:rPr>
          <w:rFonts w:ascii="Times New Roman" w:eastAsia="Times New Roman" w:hAnsi="Times New Roman" w:cs="Times New Roman"/>
        </w:rPr>
        <w:t>,</w:t>
      </w:r>
      <w:r w:rsidR="00A55EC8" w:rsidRPr="00A55EC8">
        <w:rPr>
          <w:rFonts w:ascii="Times New Roman" w:eastAsia="Times New Roman" w:hAnsi="Times New Roman" w:cs="Times New Roman"/>
        </w:rPr>
        <w:t xml:space="preserve"> or $</w:t>
      </w:r>
      <w:r w:rsidR="00840C54">
        <w:rPr>
          <w:rFonts w:ascii="Times New Roman" w:eastAsia="Times New Roman" w:hAnsi="Times New Roman" w:cs="Times New Roman"/>
        </w:rPr>
        <w:t>0.</w:t>
      </w:r>
      <w:r w:rsidR="004D4EDF">
        <w:rPr>
          <w:rFonts w:ascii="Times New Roman" w:eastAsia="Times New Roman" w:hAnsi="Times New Roman" w:cs="Times New Roman"/>
        </w:rPr>
        <w:t>66</w:t>
      </w:r>
      <w:r w:rsidR="00A55EC8" w:rsidRPr="00A55EC8">
        <w:rPr>
          <w:rFonts w:ascii="Times New Roman" w:eastAsia="Times New Roman" w:hAnsi="Times New Roman" w:cs="Times New Roman"/>
        </w:rPr>
        <w:t xml:space="preserve"> per diluted common share</w:t>
      </w:r>
      <w:r w:rsidR="00466859">
        <w:rPr>
          <w:rFonts w:ascii="Times New Roman" w:eastAsia="Times New Roman" w:hAnsi="Times New Roman" w:cs="Times New Roman"/>
        </w:rPr>
        <w:t>, and net income available to common stockholders of $3</w:t>
      </w:r>
      <w:r w:rsidR="004D4EDF">
        <w:rPr>
          <w:rFonts w:ascii="Times New Roman" w:eastAsia="Times New Roman" w:hAnsi="Times New Roman" w:cs="Times New Roman"/>
        </w:rPr>
        <w:t>7</w:t>
      </w:r>
      <w:r w:rsidR="00466859">
        <w:rPr>
          <w:rFonts w:ascii="Times New Roman" w:eastAsia="Times New Roman" w:hAnsi="Times New Roman" w:cs="Times New Roman"/>
        </w:rPr>
        <w:t xml:space="preserve">.7 million for the quarter ended </w:t>
      </w:r>
      <w:r w:rsidR="004D4EDF">
        <w:rPr>
          <w:rFonts w:ascii="Times New Roman" w:eastAsia="Times New Roman" w:hAnsi="Times New Roman" w:cs="Times New Roman"/>
        </w:rPr>
        <w:t>September</w:t>
      </w:r>
      <w:r w:rsidR="00466859">
        <w:rPr>
          <w:rFonts w:ascii="Times New Roman" w:eastAsia="Times New Roman" w:hAnsi="Times New Roman" w:cs="Times New Roman"/>
        </w:rPr>
        <w:t xml:space="preserve"> 30, 2022, or $0.9</w:t>
      </w:r>
      <w:r w:rsidR="004D4EDF">
        <w:rPr>
          <w:rFonts w:ascii="Times New Roman" w:eastAsia="Times New Roman" w:hAnsi="Times New Roman" w:cs="Times New Roman"/>
        </w:rPr>
        <w:t>8</w:t>
      </w:r>
      <w:r w:rsidR="00466859">
        <w:rPr>
          <w:rFonts w:ascii="Times New Roman" w:eastAsia="Times New Roman" w:hAnsi="Times New Roman" w:cs="Times New Roman"/>
        </w:rPr>
        <w:t xml:space="preserve"> per diluted common share.</w:t>
      </w:r>
    </w:p>
    <w:p w:rsidR="007136FE" w:rsidRDefault="007136FE" w:rsidP="00A55EC8">
      <w:pPr>
        <w:jc w:val="both"/>
        <w:rPr>
          <w:rFonts w:ascii="Times New Roman" w:eastAsia="Times New Roman" w:hAnsi="Times New Roman" w:cs="Times New Roman"/>
        </w:rPr>
      </w:pPr>
    </w:p>
    <w:p w:rsidR="00C203EF" w:rsidRDefault="00C203EF" w:rsidP="00C203EF">
      <w:pPr>
        <w:rPr>
          <w:rFonts w:ascii="Times New Roman" w:eastAsia="Times New Roman" w:hAnsi="Times New Roman" w:cs="Times New Roman"/>
        </w:rPr>
      </w:pPr>
      <w:r>
        <w:rPr>
          <w:rFonts w:ascii="Times New Roman" w:eastAsia="Times New Roman" w:hAnsi="Times New Roman" w:cs="Times New Roman"/>
        </w:rPr>
        <w:t>Third quarter 2023 results include $8.9 million of aggregate pre-tax adjustments related to severance from the previously disclosed Chief Executive Officer succession and loss on equity securities. Excluding these items, adjusted net income available to common stockholders (non-GAAP) totaled $21.9 million for the quarter ended September 30, 2023, or $0.56 per diluted share (see “Non-GAAP Reconciliation” tables at the end of this news release).</w:t>
      </w:r>
    </w:p>
    <w:p w:rsidR="008262DF" w:rsidRDefault="008262DF" w:rsidP="008262DF">
      <w:pPr>
        <w:jc w:val="both"/>
        <w:rPr>
          <w:rFonts w:ascii="Times New Roman" w:eastAsia="Times New Roman" w:hAnsi="Times New Roman" w:cs="Times New Roman"/>
        </w:rPr>
      </w:pPr>
    </w:p>
    <w:p w:rsidR="00235F72" w:rsidRPr="00D7400F" w:rsidRDefault="008262DF" w:rsidP="008262DF">
      <w:pPr>
        <w:jc w:val="both"/>
        <w:rPr>
          <w:rFonts w:ascii="Times New Roman" w:eastAsia="Times New Roman" w:hAnsi="Times New Roman" w:cs="Times New Roman"/>
        </w:rPr>
      </w:pPr>
      <w:r>
        <w:rPr>
          <w:rFonts w:ascii="Times New Roman" w:eastAsia="Times New Roman" w:hAnsi="Times New Roman" w:cs="Times New Roman"/>
        </w:rPr>
        <w:t xml:space="preserve">Stuart H. Lubow, </w:t>
      </w:r>
      <w:r w:rsidR="00C15277">
        <w:rPr>
          <w:rFonts w:ascii="Times New Roman" w:eastAsia="Times New Roman" w:hAnsi="Times New Roman" w:cs="Times New Roman"/>
        </w:rPr>
        <w:t xml:space="preserve">President and </w:t>
      </w:r>
      <w:r w:rsidR="001D2E15">
        <w:rPr>
          <w:rFonts w:ascii="Times New Roman" w:eastAsia="Times New Roman" w:hAnsi="Times New Roman" w:cs="Times New Roman"/>
        </w:rPr>
        <w:t>Chief Executive Officer (“CEO”)</w:t>
      </w:r>
      <w:r w:rsidR="00C15277">
        <w:rPr>
          <w:rFonts w:ascii="Times New Roman" w:eastAsia="Times New Roman" w:hAnsi="Times New Roman" w:cs="Times New Roman"/>
        </w:rPr>
        <w:t xml:space="preserve"> </w:t>
      </w:r>
      <w:r>
        <w:rPr>
          <w:rFonts w:ascii="Times New Roman" w:eastAsia="Times New Roman" w:hAnsi="Times New Roman" w:cs="Times New Roman"/>
        </w:rPr>
        <w:t>of the Company, stated, “</w:t>
      </w:r>
      <w:r w:rsidR="00D7400F" w:rsidRPr="00D7400F">
        <w:rPr>
          <w:rFonts w:ascii="Times New Roman" w:eastAsia="Times New Roman" w:hAnsi="Times New Roman" w:cs="Times New Roman"/>
        </w:rPr>
        <w:t>Our third quarter results were characterized by good overall deposit growth, a stabilization in</w:t>
      </w:r>
      <w:r w:rsidR="00D7400F">
        <w:rPr>
          <w:rFonts w:ascii="Times New Roman" w:eastAsia="Times New Roman" w:hAnsi="Times New Roman" w:cs="Times New Roman"/>
        </w:rPr>
        <w:t xml:space="preserve"> our non-interest-bearing deposit base and a continued reduction in the pace of net interest margin compression. Give</w:t>
      </w:r>
      <w:r w:rsidR="00064A87">
        <w:rPr>
          <w:rFonts w:ascii="Times New Roman" w:eastAsia="Times New Roman" w:hAnsi="Times New Roman" w:cs="Times New Roman"/>
        </w:rPr>
        <w:t>n</w:t>
      </w:r>
      <w:r w:rsidR="00D7400F">
        <w:rPr>
          <w:rFonts w:ascii="Times New Roman" w:eastAsia="Times New Roman" w:hAnsi="Times New Roman" w:cs="Times New Roman"/>
        </w:rPr>
        <w:t xml:space="preserve"> our unique customer-focused platform,</w:t>
      </w:r>
      <w:r w:rsidR="00D7400F" w:rsidRPr="00D7400F">
        <w:rPr>
          <w:rFonts w:ascii="Times New Roman" w:eastAsia="Times New Roman" w:hAnsi="Times New Roman" w:cs="Times New Roman"/>
        </w:rPr>
        <w:t xml:space="preserve"> </w:t>
      </w:r>
      <w:r w:rsidR="00D7400F">
        <w:rPr>
          <w:rFonts w:ascii="Times New Roman" w:eastAsia="Times New Roman" w:hAnsi="Times New Roman" w:cs="Times New Roman"/>
        </w:rPr>
        <w:t>we continue to attract quality talent as evidenced by the addition of a senior healthcare banker in the third quarter. In light of the overall environment, we continue to manage expenses prudently and continue to fortify our balance sheet by building capital</w:t>
      </w:r>
      <w:r w:rsidR="00B05051">
        <w:rPr>
          <w:rFonts w:ascii="Times New Roman" w:eastAsia="Times New Roman" w:hAnsi="Times New Roman" w:cs="Times New Roman"/>
        </w:rPr>
        <w:t>. I am incredibly proud of our employees for their tremendous contributions toward</w:t>
      </w:r>
      <w:r w:rsidR="00AB51CB">
        <w:rPr>
          <w:rFonts w:ascii="Times New Roman" w:eastAsia="Times New Roman" w:hAnsi="Times New Roman" w:cs="Times New Roman"/>
        </w:rPr>
        <w:t>s</w:t>
      </w:r>
      <w:r w:rsidR="00B05051">
        <w:rPr>
          <w:rFonts w:ascii="Times New Roman" w:eastAsia="Times New Roman" w:hAnsi="Times New Roman" w:cs="Times New Roman"/>
        </w:rPr>
        <w:t xml:space="preserve"> serving our customers; as a result of their efforts</w:t>
      </w:r>
      <w:r w:rsidR="00AB51CB">
        <w:rPr>
          <w:rFonts w:ascii="Times New Roman" w:eastAsia="Times New Roman" w:hAnsi="Times New Roman" w:cs="Times New Roman"/>
        </w:rPr>
        <w:t>,</w:t>
      </w:r>
      <w:r w:rsidR="00B05051">
        <w:rPr>
          <w:rFonts w:ascii="Times New Roman" w:eastAsia="Times New Roman" w:hAnsi="Times New Roman" w:cs="Times New Roman"/>
        </w:rPr>
        <w:t xml:space="preserve"> we continue to be the premier community-based business bank on Greater Long Island.</w:t>
      </w:r>
      <w:r w:rsidRPr="00D7400F">
        <w:rPr>
          <w:rFonts w:ascii="Times New Roman" w:eastAsia="Times New Roman" w:hAnsi="Times New Roman" w:cs="Times New Roman"/>
        </w:rPr>
        <w:t>”</w:t>
      </w:r>
    </w:p>
    <w:p w:rsidR="008262DF" w:rsidRDefault="008262DF" w:rsidP="008262DF">
      <w:pPr>
        <w:jc w:val="both"/>
        <w:rPr>
          <w:rFonts w:ascii="Times New Roman" w:hAnsi="Times New Roman" w:cs="Times New Roman"/>
        </w:rPr>
      </w:pPr>
    </w:p>
    <w:p w:rsidR="004B352B" w:rsidRDefault="004B352B" w:rsidP="004B352B">
      <w:pPr>
        <w:jc w:val="both"/>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Highlights for the </w:t>
      </w:r>
      <w:r w:rsidR="00B03DF0">
        <w:rPr>
          <w:rFonts w:ascii="Times New Roman" w:eastAsia="Times New Roman" w:hAnsi="Times New Roman" w:cs="Times New Roman"/>
          <w:b/>
          <w:bCs/>
          <w:color w:val="000000"/>
          <w:u w:val="single"/>
        </w:rPr>
        <w:t>Thir</w:t>
      </w:r>
      <w:r w:rsidR="00466859">
        <w:rPr>
          <w:rFonts w:ascii="Times New Roman" w:eastAsia="Times New Roman" w:hAnsi="Times New Roman" w:cs="Times New Roman"/>
          <w:b/>
          <w:bCs/>
          <w:color w:val="000000"/>
          <w:u w:val="single"/>
        </w:rPr>
        <w:t>d</w:t>
      </w:r>
      <w:r>
        <w:rPr>
          <w:rFonts w:ascii="Times New Roman" w:eastAsia="Times New Roman" w:hAnsi="Times New Roman" w:cs="Times New Roman"/>
          <w:b/>
          <w:bCs/>
          <w:color w:val="000000"/>
          <w:u w:val="single"/>
        </w:rPr>
        <w:t xml:space="preserve"> Quarter of 202</w:t>
      </w:r>
      <w:r w:rsidR="00840C54">
        <w:rPr>
          <w:rFonts w:ascii="Times New Roman" w:eastAsia="Times New Roman" w:hAnsi="Times New Roman" w:cs="Times New Roman"/>
          <w:b/>
          <w:bCs/>
          <w:color w:val="000000"/>
          <w:u w:val="single"/>
        </w:rPr>
        <w:t>3</w:t>
      </w:r>
      <w:r>
        <w:rPr>
          <w:rFonts w:ascii="Times New Roman" w:eastAsia="Times New Roman" w:hAnsi="Times New Roman" w:cs="Times New Roman"/>
          <w:b/>
          <w:bCs/>
          <w:color w:val="000000"/>
          <w:u w:val="single"/>
        </w:rPr>
        <w:t xml:space="preserve"> Included:</w:t>
      </w:r>
    </w:p>
    <w:p w:rsidR="004B352B" w:rsidRDefault="004B352B" w:rsidP="004B352B">
      <w:pPr>
        <w:jc w:val="both"/>
        <w:rPr>
          <w:rFonts w:ascii="Times New Roman" w:eastAsia="Times New Roman" w:hAnsi="Times New Roman" w:cs="Times New Roman"/>
          <w:bCs/>
          <w:u w:val="single"/>
        </w:rPr>
      </w:pPr>
    </w:p>
    <w:p w:rsidR="008262DF" w:rsidRDefault="008262DF" w:rsidP="008262DF">
      <w:pPr>
        <w:pStyle w:val="ListParagraph"/>
        <w:numPr>
          <w:ilvl w:val="0"/>
          <w:numId w:val="30"/>
        </w:numPr>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Average total deposits were $</w:t>
      </w:r>
      <w:r w:rsidR="003C28CC">
        <w:rPr>
          <w:rFonts w:ascii="Times New Roman" w:eastAsia="Times New Roman" w:hAnsi="Times New Roman" w:cs="Times New Roman"/>
          <w:bCs/>
          <w:color w:val="000000"/>
        </w:rPr>
        <w:t>10.66</w:t>
      </w:r>
      <w:r>
        <w:rPr>
          <w:rFonts w:ascii="Times New Roman" w:eastAsia="Times New Roman" w:hAnsi="Times New Roman" w:cs="Times New Roman"/>
          <w:bCs/>
          <w:color w:val="000000"/>
        </w:rPr>
        <w:t xml:space="preserve"> billion for the </w:t>
      </w:r>
      <w:r w:rsidR="001D2E15">
        <w:rPr>
          <w:rFonts w:ascii="Times New Roman" w:eastAsia="Times New Roman" w:hAnsi="Times New Roman" w:cs="Times New Roman"/>
          <w:bCs/>
          <w:color w:val="000000"/>
        </w:rPr>
        <w:t>third</w:t>
      </w:r>
      <w:r>
        <w:rPr>
          <w:rFonts w:ascii="Times New Roman" w:eastAsia="Times New Roman" w:hAnsi="Times New Roman" w:cs="Times New Roman"/>
          <w:bCs/>
          <w:color w:val="000000"/>
        </w:rPr>
        <w:t xml:space="preserve"> quarter of 2023 compared to $10.</w:t>
      </w:r>
      <w:r w:rsidR="001D2E15">
        <w:rPr>
          <w:rFonts w:ascii="Times New Roman" w:eastAsia="Times New Roman" w:hAnsi="Times New Roman" w:cs="Times New Roman"/>
          <w:bCs/>
          <w:color w:val="000000"/>
        </w:rPr>
        <w:t>54</w:t>
      </w:r>
      <w:r>
        <w:rPr>
          <w:rFonts w:ascii="Times New Roman" w:eastAsia="Times New Roman" w:hAnsi="Times New Roman" w:cs="Times New Roman"/>
          <w:bCs/>
          <w:color w:val="000000"/>
        </w:rPr>
        <w:t xml:space="preserve"> billion for the </w:t>
      </w:r>
      <w:r w:rsidR="001D2E15">
        <w:rPr>
          <w:rFonts w:ascii="Times New Roman" w:eastAsia="Times New Roman" w:hAnsi="Times New Roman" w:cs="Times New Roman"/>
          <w:bCs/>
          <w:color w:val="000000"/>
        </w:rPr>
        <w:t>second</w:t>
      </w:r>
      <w:r>
        <w:rPr>
          <w:rFonts w:ascii="Times New Roman" w:eastAsia="Times New Roman" w:hAnsi="Times New Roman" w:cs="Times New Roman"/>
          <w:bCs/>
          <w:color w:val="000000"/>
        </w:rPr>
        <w:t xml:space="preserve"> quarter of 2023;</w:t>
      </w:r>
    </w:p>
    <w:p w:rsidR="008262DF" w:rsidRPr="00C25C21" w:rsidRDefault="008262DF" w:rsidP="008262DF">
      <w:pPr>
        <w:pStyle w:val="ListParagraph"/>
        <w:numPr>
          <w:ilvl w:val="0"/>
          <w:numId w:val="30"/>
        </w:numPr>
        <w:jc w:val="both"/>
        <w:rPr>
          <w:rFonts w:ascii="Times New Roman" w:eastAsia="Times New Roman" w:hAnsi="Times New Roman" w:cs="Times New Roman"/>
          <w:bCs/>
          <w:color w:val="000000"/>
        </w:rPr>
      </w:pPr>
      <w:r w:rsidRPr="00C25C21">
        <w:rPr>
          <w:rFonts w:ascii="Times New Roman" w:hAnsi="Times New Roman" w:cs="Times New Roman"/>
        </w:rPr>
        <w:t xml:space="preserve">Non-insured deposits (excluding deposits with pass through insurance and collateralized deposits) </w:t>
      </w:r>
      <w:r w:rsidRPr="00C25C21">
        <w:rPr>
          <w:rFonts w:ascii="Times New Roman" w:eastAsia="Times New Roman" w:hAnsi="Times New Roman" w:cs="Times New Roman"/>
          <w:bCs/>
          <w:color w:val="000000"/>
        </w:rPr>
        <w:t xml:space="preserve">represented only </w:t>
      </w:r>
      <w:r w:rsidR="003F0F31" w:rsidRPr="00C25C21">
        <w:rPr>
          <w:rFonts w:ascii="Times New Roman" w:eastAsia="Times New Roman" w:hAnsi="Times New Roman" w:cs="Times New Roman"/>
          <w:bCs/>
          <w:color w:val="000000"/>
        </w:rPr>
        <w:t>29</w:t>
      </w:r>
      <w:r w:rsidRPr="00C25C21">
        <w:rPr>
          <w:rFonts w:ascii="Times New Roman" w:eastAsia="Times New Roman" w:hAnsi="Times New Roman" w:cs="Times New Roman"/>
          <w:bCs/>
          <w:color w:val="000000"/>
        </w:rPr>
        <w:t>%</w:t>
      </w:r>
      <w:r w:rsidR="00F34D3A">
        <w:rPr>
          <w:rFonts w:ascii="Times New Roman" w:eastAsia="Times New Roman" w:hAnsi="Times New Roman" w:cs="Times New Roman"/>
          <w:bCs/>
          <w:color w:val="000000"/>
        </w:rPr>
        <w:t xml:space="preserve"> </w:t>
      </w:r>
      <w:r w:rsidRPr="00C25C21">
        <w:rPr>
          <w:rFonts w:ascii="Times New Roman" w:eastAsia="Times New Roman" w:hAnsi="Times New Roman" w:cs="Times New Roman"/>
          <w:bCs/>
          <w:color w:val="000000"/>
        </w:rPr>
        <w:t xml:space="preserve">of total deposits at the end of the </w:t>
      </w:r>
      <w:r w:rsidR="00B03DF0" w:rsidRPr="00C25C21">
        <w:rPr>
          <w:rFonts w:ascii="Times New Roman" w:eastAsia="Times New Roman" w:hAnsi="Times New Roman" w:cs="Times New Roman"/>
          <w:bCs/>
          <w:color w:val="000000"/>
        </w:rPr>
        <w:t>third</w:t>
      </w:r>
      <w:r w:rsidRPr="00C25C21">
        <w:rPr>
          <w:rFonts w:ascii="Times New Roman" w:eastAsia="Times New Roman" w:hAnsi="Times New Roman" w:cs="Times New Roman"/>
          <w:bCs/>
          <w:color w:val="000000"/>
        </w:rPr>
        <w:t xml:space="preserve"> quarter;</w:t>
      </w:r>
    </w:p>
    <w:p w:rsidR="008C383D" w:rsidRPr="008262DF" w:rsidRDefault="008262DF" w:rsidP="008262DF">
      <w:pPr>
        <w:pStyle w:val="ListParagraph"/>
        <w:numPr>
          <w:ilvl w:val="0"/>
          <w:numId w:val="30"/>
        </w:numPr>
        <w:jc w:val="both"/>
        <w:rPr>
          <w:rFonts w:ascii="Times New Roman" w:eastAsia="Times New Roman" w:hAnsi="Times New Roman" w:cs="Times New Roman"/>
          <w:bCs/>
          <w:color w:val="000000"/>
        </w:rPr>
      </w:pPr>
      <w:r w:rsidRPr="008262DF">
        <w:rPr>
          <w:rFonts w:ascii="Times New Roman" w:eastAsia="Times New Roman" w:hAnsi="Times New Roman" w:cs="Times New Roman"/>
          <w:bCs/>
          <w:color w:val="000000"/>
        </w:rPr>
        <w:t>T</w:t>
      </w:r>
      <w:r w:rsidR="008C383D" w:rsidRPr="008262DF">
        <w:rPr>
          <w:rFonts w:ascii="Times New Roman" w:eastAsia="Times New Roman" w:hAnsi="Times New Roman" w:cs="Times New Roman"/>
          <w:bCs/>
          <w:color w:val="000000"/>
        </w:rPr>
        <w:t>he ratio of average non-interest</w:t>
      </w:r>
      <w:r w:rsidR="00B05051">
        <w:rPr>
          <w:rFonts w:ascii="Times New Roman" w:eastAsia="Times New Roman" w:hAnsi="Times New Roman" w:cs="Times New Roman"/>
          <w:bCs/>
          <w:color w:val="000000"/>
        </w:rPr>
        <w:t>-</w:t>
      </w:r>
      <w:r w:rsidR="008C383D" w:rsidRPr="008262DF">
        <w:rPr>
          <w:rFonts w:ascii="Times New Roman" w:eastAsia="Times New Roman" w:hAnsi="Times New Roman" w:cs="Times New Roman"/>
          <w:bCs/>
          <w:color w:val="000000"/>
        </w:rPr>
        <w:t xml:space="preserve">bearing deposits to average total deposits for the </w:t>
      </w:r>
      <w:r w:rsidR="001D2E15">
        <w:rPr>
          <w:rFonts w:ascii="Times New Roman" w:eastAsia="Times New Roman" w:hAnsi="Times New Roman" w:cs="Times New Roman"/>
          <w:bCs/>
          <w:color w:val="000000"/>
        </w:rPr>
        <w:t>third</w:t>
      </w:r>
      <w:r w:rsidR="008C383D" w:rsidRPr="008262DF">
        <w:rPr>
          <w:rFonts w:ascii="Times New Roman" w:eastAsia="Times New Roman" w:hAnsi="Times New Roman" w:cs="Times New Roman"/>
          <w:bCs/>
          <w:color w:val="000000"/>
        </w:rPr>
        <w:t xml:space="preserve"> quarter </w:t>
      </w:r>
      <w:r w:rsidR="00E706C9">
        <w:rPr>
          <w:rFonts w:ascii="Times New Roman" w:eastAsia="Times New Roman" w:hAnsi="Times New Roman" w:cs="Times New Roman"/>
          <w:bCs/>
          <w:color w:val="000000"/>
        </w:rPr>
        <w:t xml:space="preserve">and the second quarter </w:t>
      </w:r>
      <w:r w:rsidR="008C383D" w:rsidRPr="008262DF">
        <w:rPr>
          <w:rFonts w:ascii="Times New Roman" w:eastAsia="Times New Roman" w:hAnsi="Times New Roman" w:cs="Times New Roman"/>
          <w:bCs/>
          <w:color w:val="000000"/>
        </w:rPr>
        <w:t xml:space="preserve">of 2023 was </w:t>
      </w:r>
      <w:r w:rsidR="003C28CC">
        <w:rPr>
          <w:rFonts w:ascii="Times New Roman" w:eastAsia="Times New Roman" w:hAnsi="Times New Roman" w:cs="Times New Roman"/>
          <w:bCs/>
          <w:color w:val="000000"/>
        </w:rPr>
        <w:t>29</w:t>
      </w:r>
      <w:r w:rsidR="008C383D" w:rsidRPr="008262DF">
        <w:rPr>
          <w:rFonts w:ascii="Times New Roman" w:eastAsia="Times New Roman" w:hAnsi="Times New Roman" w:cs="Times New Roman"/>
          <w:bCs/>
          <w:color w:val="000000"/>
        </w:rPr>
        <w:t>%</w:t>
      </w:r>
      <w:r w:rsidR="000D1491">
        <w:rPr>
          <w:rFonts w:ascii="Times New Roman" w:eastAsia="Times New Roman" w:hAnsi="Times New Roman" w:cs="Times New Roman"/>
          <w:bCs/>
          <w:color w:val="000000"/>
        </w:rPr>
        <w:t>;</w:t>
      </w:r>
    </w:p>
    <w:p w:rsidR="00B05051" w:rsidRPr="00B05051" w:rsidRDefault="00CF4CDC" w:rsidP="00D950AE">
      <w:pPr>
        <w:pStyle w:val="ListParagraph"/>
        <w:numPr>
          <w:ilvl w:val="0"/>
          <w:numId w:val="30"/>
        </w:numPr>
        <w:jc w:val="both"/>
        <w:rPr>
          <w:rFonts w:ascii="Times New Roman" w:eastAsia="Times New Roman" w:hAnsi="Times New Roman" w:cs="Times New Roman"/>
        </w:rPr>
      </w:pPr>
      <w:r w:rsidRPr="00B05051">
        <w:rPr>
          <w:rFonts w:ascii="Times New Roman" w:eastAsia="Times New Roman" w:hAnsi="Times New Roman" w:cs="Times New Roman"/>
          <w:bCs/>
          <w:color w:val="000000"/>
        </w:rPr>
        <w:t xml:space="preserve">Total </w:t>
      </w:r>
      <w:r w:rsidR="00B05051" w:rsidRPr="00B05051">
        <w:rPr>
          <w:rFonts w:ascii="Times New Roman" w:eastAsia="Times New Roman" w:hAnsi="Times New Roman" w:cs="Times New Roman"/>
          <w:bCs/>
          <w:color w:val="000000"/>
        </w:rPr>
        <w:t xml:space="preserve">net </w:t>
      </w:r>
      <w:r w:rsidRPr="00B05051">
        <w:rPr>
          <w:rFonts w:ascii="Times New Roman" w:eastAsia="Times New Roman" w:hAnsi="Times New Roman" w:cs="Times New Roman"/>
          <w:bCs/>
          <w:color w:val="000000"/>
        </w:rPr>
        <w:t>loans held for investment</w:t>
      </w:r>
      <w:r w:rsidR="00B05051" w:rsidRPr="00B05051">
        <w:rPr>
          <w:rFonts w:ascii="Times New Roman" w:eastAsia="Times New Roman" w:hAnsi="Times New Roman" w:cs="Times New Roman"/>
          <w:bCs/>
          <w:color w:val="000000"/>
        </w:rPr>
        <w:t xml:space="preserve"> </w:t>
      </w:r>
      <w:r w:rsidR="00B05051" w:rsidRPr="00332927">
        <w:rPr>
          <w:rFonts w:ascii="Times New Roman" w:eastAsia="Times New Roman" w:hAnsi="Times New Roman" w:cs="Times New Roman"/>
          <w:bCs/>
          <w:color w:val="000000"/>
        </w:rPr>
        <w:t>of $</w:t>
      </w:r>
      <w:r w:rsidR="00332927">
        <w:rPr>
          <w:rFonts w:ascii="Times New Roman" w:eastAsia="Times New Roman" w:hAnsi="Times New Roman" w:cs="Times New Roman"/>
          <w:bCs/>
          <w:color w:val="000000"/>
        </w:rPr>
        <w:t>10.78</w:t>
      </w:r>
      <w:r w:rsidR="00B05051" w:rsidRPr="00B05051">
        <w:rPr>
          <w:rFonts w:ascii="Times New Roman" w:eastAsia="Times New Roman" w:hAnsi="Times New Roman" w:cs="Times New Roman"/>
          <w:bCs/>
          <w:color w:val="000000"/>
        </w:rPr>
        <w:t xml:space="preserve"> billion, remained stable on a linked quarter basis</w:t>
      </w:r>
      <w:r w:rsidR="00B05051">
        <w:rPr>
          <w:rFonts w:ascii="Times New Roman" w:eastAsia="Times New Roman" w:hAnsi="Times New Roman" w:cs="Times New Roman"/>
          <w:bCs/>
          <w:color w:val="000000"/>
        </w:rPr>
        <w:t>;</w:t>
      </w:r>
    </w:p>
    <w:p w:rsidR="008262DF" w:rsidRPr="00B05051" w:rsidRDefault="008262DF" w:rsidP="00D950AE">
      <w:pPr>
        <w:pStyle w:val="ListParagraph"/>
        <w:numPr>
          <w:ilvl w:val="0"/>
          <w:numId w:val="30"/>
        </w:numPr>
        <w:jc w:val="both"/>
        <w:rPr>
          <w:rFonts w:ascii="Times New Roman" w:eastAsia="Times New Roman" w:hAnsi="Times New Roman" w:cs="Times New Roman"/>
        </w:rPr>
      </w:pPr>
      <w:r w:rsidRPr="00B05051">
        <w:rPr>
          <w:rFonts w:ascii="Times New Roman" w:eastAsia="Times New Roman" w:hAnsi="Times New Roman" w:cs="Times New Roman"/>
        </w:rPr>
        <w:t xml:space="preserve">The pace of Net Interest Margin (“NIM”) compression </w:t>
      </w:r>
      <w:r w:rsidR="00B05051">
        <w:rPr>
          <w:rFonts w:ascii="Times New Roman" w:eastAsia="Times New Roman" w:hAnsi="Times New Roman" w:cs="Times New Roman"/>
        </w:rPr>
        <w:t xml:space="preserve">continued to </w:t>
      </w:r>
      <w:r w:rsidRPr="00B05051">
        <w:rPr>
          <w:rFonts w:ascii="Times New Roman" w:eastAsia="Times New Roman" w:hAnsi="Times New Roman" w:cs="Times New Roman"/>
        </w:rPr>
        <w:t xml:space="preserve">slow in the </w:t>
      </w:r>
      <w:r w:rsidR="001D2E15" w:rsidRPr="00B05051">
        <w:rPr>
          <w:rFonts w:ascii="Times New Roman" w:eastAsia="Times New Roman" w:hAnsi="Times New Roman" w:cs="Times New Roman"/>
        </w:rPr>
        <w:t>third</w:t>
      </w:r>
      <w:r w:rsidRPr="00B05051">
        <w:rPr>
          <w:rFonts w:ascii="Times New Roman" w:eastAsia="Times New Roman" w:hAnsi="Times New Roman" w:cs="Times New Roman"/>
        </w:rPr>
        <w:t xml:space="preserve"> quarter; on a linked quarter basis, the NIM declined by </w:t>
      </w:r>
      <w:r w:rsidR="00B05051">
        <w:rPr>
          <w:rFonts w:ascii="Times New Roman" w:eastAsia="Times New Roman" w:hAnsi="Times New Roman" w:cs="Times New Roman"/>
        </w:rPr>
        <w:t>16</w:t>
      </w:r>
      <w:r w:rsidRPr="00B05051">
        <w:rPr>
          <w:rFonts w:ascii="Times New Roman" w:eastAsia="Times New Roman" w:hAnsi="Times New Roman" w:cs="Times New Roman"/>
        </w:rPr>
        <w:t xml:space="preserve"> basis points in the </w:t>
      </w:r>
      <w:r w:rsidR="001D2E15" w:rsidRPr="00B05051">
        <w:rPr>
          <w:rFonts w:ascii="Times New Roman" w:eastAsia="Times New Roman" w:hAnsi="Times New Roman" w:cs="Times New Roman"/>
        </w:rPr>
        <w:t>third</w:t>
      </w:r>
      <w:r w:rsidRPr="00B05051">
        <w:rPr>
          <w:rFonts w:ascii="Times New Roman" w:eastAsia="Times New Roman" w:hAnsi="Times New Roman" w:cs="Times New Roman"/>
        </w:rPr>
        <w:t xml:space="preserve"> quarter of 2023 compared to </w:t>
      </w:r>
      <w:r w:rsidR="001D2E15" w:rsidRPr="00B05051">
        <w:rPr>
          <w:rFonts w:ascii="Times New Roman" w:eastAsia="Times New Roman" w:hAnsi="Times New Roman" w:cs="Times New Roman"/>
        </w:rPr>
        <w:t>24</w:t>
      </w:r>
      <w:r w:rsidRPr="00B05051">
        <w:rPr>
          <w:rFonts w:ascii="Times New Roman" w:eastAsia="Times New Roman" w:hAnsi="Times New Roman" w:cs="Times New Roman"/>
        </w:rPr>
        <w:t xml:space="preserve"> basis points for the </w:t>
      </w:r>
      <w:r w:rsidR="001D2E15" w:rsidRPr="00B05051">
        <w:rPr>
          <w:rFonts w:ascii="Times New Roman" w:eastAsia="Times New Roman" w:hAnsi="Times New Roman" w:cs="Times New Roman"/>
        </w:rPr>
        <w:t>second</w:t>
      </w:r>
      <w:r w:rsidRPr="00B05051">
        <w:rPr>
          <w:rFonts w:ascii="Times New Roman" w:eastAsia="Times New Roman" w:hAnsi="Times New Roman" w:cs="Times New Roman"/>
        </w:rPr>
        <w:t xml:space="preserve"> quarter of 2023</w:t>
      </w:r>
      <w:r w:rsidR="00B05051">
        <w:rPr>
          <w:rFonts w:ascii="Times New Roman" w:eastAsia="Times New Roman" w:hAnsi="Times New Roman" w:cs="Times New Roman"/>
        </w:rPr>
        <w:t xml:space="preserve"> and 41 basis points for the first quarter of 2023</w:t>
      </w:r>
      <w:r w:rsidRPr="00B05051">
        <w:rPr>
          <w:rFonts w:ascii="Times New Roman" w:eastAsia="Times New Roman" w:hAnsi="Times New Roman" w:cs="Times New Roman"/>
        </w:rPr>
        <w:t>;</w:t>
      </w:r>
    </w:p>
    <w:p w:rsidR="008262DF" w:rsidRDefault="008262DF" w:rsidP="008262DF">
      <w:pPr>
        <w:pStyle w:val="ListParagraph"/>
        <w:numPr>
          <w:ilvl w:val="0"/>
          <w:numId w:val="30"/>
        </w:numPr>
        <w:jc w:val="both"/>
        <w:rPr>
          <w:rFonts w:ascii="Times New Roman" w:eastAsia="Times New Roman" w:hAnsi="Times New Roman" w:cs="Times New Roman"/>
        </w:rPr>
      </w:pPr>
      <w:r>
        <w:rPr>
          <w:rFonts w:ascii="Times New Roman" w:eastAsia="Times New Roman" w:hAnsi="Times New Roman" w:cs="Times New Roman"/>
          <w:bCs/>
          <w:color w:val="000000"/>
        </w:rPr>
        <w:t>Expenses remained well-controlled</w:t>
      </w:r>
      <w:r w:rsidR="00B05051">
        <w:rPr>
          <w:rFonts w:ascii="Times New Roman" w:eastAsia="Times New Roman" w:hAnsi="Times New Roman" w:cs="Times New Roman"/>
          <w:bCs/>
          <w:color w:val="000000"/>
        </w:rPr>
        <w:t>; excluding the impact of severance</w:t>
      </w:r>
      <w:r w:rsidR="00F34D3A">
        <w:rPr>
          <w:rFonts w:ascii="Times New Roman" w:eastAsia="Times New Roman" w:hAnsi="Times New Roman" w:cs="Times New Roman"/>
          <w:bCs/>
          <w:color w:val="000000"/>
        </w:rPr>
        <w:t>,</w:t>
      </w:r>
      <w:r w:rsidR="00B05051">
        <w:rPr>
          <w:rFonts w:ascii="Times New Roman" w:eastAsia="Times New Roman" w:hAnsi="Times New Roman" w:cs="Times New Roman"/>
          <w:bCs/>
          <w:color w:val="000000"/>
        </w:rPr>
        <w:t xml:space="preserve"> non-interest expenses </w:t>
      </w:r>
      <w:r w:rsidR="00F34D3A">
        <w:rPr>
          <w:rFonts w:ascii="Times New Roman" w:eastAsia="Times New Roman" w:hAnsi="Times New Roman" w:cs="Times New Roman"/>
          <w:bCs/>
          <w:color w:val="000000"/>
        </w:rPr>
        <w:t xml:space="preserve">was $51.0 million </w:t>
      </w:r>
      <w:r w:rsidR="00B05051">
        <w:rPr>
          <w:rFonts w:ascii="Times New Roman" w:eastAsia="Times New Roman" w:hAnsi="Times New Roman" w:cs="Times New Roman"/>
          <w:bCs/>
          <w:color w:val="000000"/>
        </w:rPr>
        <w:t>for the third quarter of 2023</w:t>
      </w:r>
      <w:r w:rsidR="00064A87">
        <w:rPr>
          <w:rFonts w:ascii="Times New Roman" w:eastAsia="Times New Roman" w:hAnsi="Times New Roman" w:cs="Times New Roman"/>
          <w:bCs/>
          <w:color w:val="000000"/>
        </w:rPr>
        <w:t xml:space="preserve">, </w:t>
      </w:r>
      <w:r w:rsidR="00B05051">
        <w:rPr>
          <w:rFonts w:ascii="Times New Roman" w:eastAsia="Times New Roman" w:hAnsi="Times New Roman" w:cs="Times New Roman"/>
          <w:bCs/>
          <w:color w:val="000000"/>
        </w:rPr>
        <w:t>compared to $</w:t>
      </w:r>
      <w:r w:rsidR="00332927">
        <w:rPr>
          <w:rFonts w:ascii="Times New Roman" w:eastAsia="Times New Roman" w:hAnsi="Times New Roman" w:cs="Times New Roman"/>
          <w:bCs/>
          <w:color w:val="000000"/>
        </w:rPr>
        <w:t>51.7</w:t>
      </w:r>
      <w:r w:rsidR="00B05051">
        <w:rPr>
          <w:rFonts w:ascii="Times New Roman" w:eastAsia="Times New Roman" w:hAnsi="Times New Roman" w:cs="Times New Roman"/>
          <w:bCs/>
          <w:color w:val="000000"/>
        </w:rPr>
        <w:t xml:space="preserve"> million for the second quarter of 2023;</w:t>
      </w:r>
    </w:p>
    <w:p w:rsidR="00CF4CDC" w:rsidRDefault="00CF4CDC" w:rsidP="00CF4CDC">
      <w:pPr>
        <w:pStyle w:val="ListParagraph"/>
        <w:numPr>
          <w:ilvl w:val="0"/>
          <w:numId w:val="29"/>
        </w:numPr>
        <w:jc w:val="both"/>
        <w:rPr>
          <w:rFonts w:ascii="Times New Roman" w:eastAsia="Times New Roman" w:hAnsi="Times New Roman" w:cs="Times New Roman"/>
        </w:rPr>
      </w:pPr>
      <w:r>
        <w:rPr>
          <w:rFonts w:ascii="Times New Roman" w:eastAsia="Times New Roman" w:hAnsi="Times New Roman" w:cs="Times New Roman"/>
          <w:bCs/>
          <w:color w:val="000000"/>
        </w:rPr>
        <w:t xml:space="preserve">Credit quality continues to be </w:t>
      </w:r>
      <w:r w:rsidR="00B05051">
        <w:rPr>
          <w:rFonts w:ascii="Times New Roman" w:eastAsia="Times New Roman" w:hAnsi="Times New Roman" w:cs="Times New Roman"/>
          <w:bCs/>
          <w:color w:val="000000"/>
        </w:rPr>
        <w:t>stable</w:t>
      </w:r>
      <w:r>
        <w:rPr>
          <w:rFonts w:ascii="Times New Roman" w:eastAsia="Times New Roman" w:hAnsi="Times New Roman" w:cs="Times New Roman"/>
          <w:bCs/>
          <w:color w:val="000000"/>
        </w:rPr>
        <w:t xml:space="preserve"> with non-performing assets and loans 90 days past due and accruing declining by </w:t>
      </w:r>
      <w:r w:rsidR="00376417">
        <w:rPr>
          <w:rFonts w:ascii="Times New Roman" w:eastAsia="Times New Roman" w:hAnsi="Times New Roman" w:cs="Times New Roman"/>
          <w:bCs/>
          <w:color w:val="000000"/>
        </w:rPr>
        <w:t>16</w:t>
      </w:r>
      <w:r>
        <w:rPr>
          <w:rFonts w:ascii="Times New Roman" w:eastAsia="Times New Roman" w:hAnsi="Times New Roman" w:cs="Times New Roman"/>
          <w:bCs/>
          <w:color w:val="000000"/>
        </w:rPr>
        <w:t xml:space="preserve">% versus the linked quarter and representing </w:t>
      </w:r>
      <w:r w:rsidRPr="00376417">
        <w:rPr>
          <w:rFonts w:ascii="Times New Roman" w:eastAsia="Times New Roman" w:hAnsi="Times New Roman" w:cs="Times New Roman"/>
          <w:bCs/>
          <w:color w:val="000000"/>
        </w:rPr>
        <w:t xml:space="preserve">only </w:t>
      </w:r>
      <w:r w:rsidR="0008451B" w:rsidRPr="00376417">
        <w:rPr>
          <w:rFonts w:ascii="Times New Roman" w:eastAsia="Times New Roman" w:hAnsi="Times New Roman" w:cs="Times New Roman"/>
          <w:bCs/>
          <w:color w:val="000000"/>
        </w:rPr>
        <w:t>0.</w:t>
      </w:r>
      <w:r w:rsidR="00376417" w:rsidRPr="00376417">
        <w:rPr>
          <w:rFonts w:ascii="Times New Roman" w:eastAsia="Times New Roman" w:hAnsi="Times New Roman" w:cs="Times New Roman"/>
          <w:bCs/>
          <w:color w:val="000000"/>
        </w:rPr>
        <w:t>17</w:t>
      </w:r>
      <w:r w:rsidRPr="00376417">
        <w:rPr>
          <w:rFonts w:ascii="Times New Roman" w:eastAsia="Times New Roman" w:hAnsi="Times New Roman" w:cs="Times New Roman"/>
          <w:bCs/>
          <w:color w:val="000000"/>
        </w:rPr>
        <w:t>%</w:t>
      </w:r>
      <w:r>
        <w:rPr>
          <w:rFonts w:ascii="Times New Roman" w:eastAsia="Times New Roman" w:hAnsi="Times New Roman" w:cs="Times New Roman"/>
          <w:bCs/>
          <w:color w:val="000000"/>
        </w:rPr>
        <w:t xml:space="preserve"> of total assets as of </w:t>
      </w:r>
      <w:r w:rsidR="001D2E15">
        <w:rPr>
          <w:rFonts w:ascii="Times New Roman" w:eastAsia="Times New Roman" w:hAnsi="Times New Roman" w:cs="Times New Roman"/>
          <w:bCs/>
          <w:color w:val="000000"/>
        </w:rPr>
        <w:t>September</w:t>
      </w:r>
      <w:r>
        <w:rPr>
          <w:rFonts w:ascii="Times New Roman" w:eastAsia="Times New Roman" w:hAnsi="Times New Roman" w:cs="Times New Roman"/>
          <w:bCs/>
          <w:color w:val="000000"/>
        </w:rPr>
        <w:t xml:space="preserve"> 3</w:t>
      </w:r>
      <w:r w:rsidR="003554DC">
        <w:rPr>
          <w:rFonts w:ascii="Times New Roman" w:eastAsia="Times New Roman" w:hAnsi="Times New Roman" w:cs="Times New Roman"/>
          <w:bCs/>
          <w:color w:val="000000"/>
        </w:rPr>
        <w:t>0</w:t>
      </w:r>
      <w:r>
        <w:rPr>
          <w:rFonts w:ascii="Times New Roman" w:eastAsia="Times New Roman" w:hAnsi="Times New Roman" w:cs="Times New Roman"/>
          <w:bCs/>
          <w:color w:val="000000"/>
        </w:rPr>
        <w:t>, 2023; and</w:t>
      </w:r>
    </w:p>
    <w:p w:rsidR="0096618A" w:rsidRPr="00CF4CDC" w:rsidRDefault="00CF4CDC" w:rsidP="00CF4CDC">
      <w:pPr>
        <w:pStyle w:val="ListParagraph"/>
        <w:numPr>
          <w:ilvl w:val="0"/>
          <w:numId w:val="29"/>
        </w:numPr>
        <w:jc w:val="both"/>
        <w:rPr>
          <w:rFonts w:ascii="Times New Roman" w:eastAsia="Times New Roman" w:hAnsi="Times New Roman" w:cs="Times New Roman"/>
        </w:rPr>
      </w:pPr>
      <w:r>
        <w:rPr>
          <w:rFonts w:ascii="Times New Roman" w:eastAsia="Times New Roman" w:hAnsi="Times New Roman" w:cs="Times New Roman"/>
        </w:rPr>
        <w:t xml:space="preserve">The Company’s Tier 1 Risk Based Capital Ratio </w:t>
      </w:r>
      <w:r w:rsidRPr="00A23656">
        <w:rPr>
          <w:rFonts w:ascii="Times New Roman" w:eastAsia="Times New Roman" w:hAnsi="Times New Roman" w:cs="Times New Roman"/>
        </w:rPr>
        <w:t xml:space="preserve">of </w:t>
      </w:r>
      <w:r w:rsidR="00D369C9">
        <w:rPr>
          <w:rFonts w:ascii="Times New Roman" w:eastAsia="Times New Roman" w:hAnsi="Times New Roman" w:cs="Times New Roman"/>
        </w:rPr>
        <w:t>10.76</w:t>
      </w:r>
      <w:r w:rsidRPr="000D023E">
        <w:rPr>
          <w:rFonts w:ascii="Times New Roman" w:eastAsia="Times New Roman" w:hAnsi="Times New Roman" w:cs="Times New Roman"/>
        </w:rPr>
        <w:t xml:space="preserve">% was </w:t>
      </w:r>
      <w:r w:rsidR="00D369C9">
        <w:rPr>
          <w:rFonts w:ascii="Times New Roman" w:eastAsia="Times New Roman" w:hAnsi="Times New Roman" w:cs="Times New Roman"/>
        </w:rPr>
        <w:t>26</w:t>
      </w:r>
      <w:r w:rsidRPr="000D023E">
        <w:rPr>
          <w:rFonts w:ascii="Times New Roman" w:eastAsia="Times New Roman" w:hAnsi="Times New Roman" w:cs="Times New Roman"/>
        </w:rPr>
        <w:t xml:space="preserve"> basis points higher </w:t>
      </w:r>
      <w:r w:rsidR="00DB5957">
        <w:rPr>
          <w:rFonts w:ascii="Times New Roman" w:eastAsia="Times New Roman" w:hAnsi="Times New Roman" w:cs="Times New Roman"/>
        </w:rPr>
        <w:t xml:space="preserve">than </w:t>
      </w:r>
      <w:r w:rsidR="00CB1FC0">
        <w:rPr>
          <w:rFonts w:ascii="Times New Roman" w:eastAsia="Times New Roman" w:hAnsi="Times New Roman" w:cs="Times New Roman"/>
        </w:rPr>
        <w:t>the prior quarter</w:t>
      </w:r>
      <w:r w:rsidR="00CD7CCA">
        <w:rPr>
          <w:rFonts w:ascii="Times New Roman" w:eastAsia="Times New Roman" w:hAnsi="Times New Roman" w:cs="Times New Roman"/>
        </w:rPr>
        <w:t>.</w:t>
      </w:r>
    </w:p>
    <w:p w:rsidR="00BF2D7F" w:rsidRDefault="00BF2D7F" w:rsidP="00AB3F43">
      <w:pPr>
        <w:rPr>
          <w:rFonts w:ascii="Times New Roman" w:hAnsi="Times New Roman" w:cs="Times New Roman"/>
          <w:b/>
          <w:u w:val="single"/>
        </w:rPr>
      </w:pPr>
    </w:p>
    <w:p w:rsidR="007D795D" w:rsidRDefault="007D795D" w:rsidP="00AB3F43">
      <w:pPr>
        <w:rPr>
          <w:rFonts w:ascii="Times New Roman" w:hAnsi="Times New Roman" w:cs="Times New Roman"/>
          <w:b/>
          <w:u w:val="single"/>
        </w:rPr>
      </w:pPr>
    </w:p>
    <w:p w:rsidR="007D795D" w:rsidRDefault="007D795D" w:rsidP="00AB3F43">
      <w:pPr>
        <w:rPr>
          <w:rFonts w:ascii="Times New Roman" w:hAnsi="Times New Roman" w:cs="Times New Roman"/>
          <w:b/>
          <w:u w:val="single"/>
        </w:rPr>
      </w:pPr>
    </w:p>
    <w:p w:rsidR="00E80A0C" w:rsidRDefault="00A55EC8" w:rsidP="00912547">
      <w:pPr>
        <w:rPr>
          <w:rFonts w:ascii="Times New Roman" w:hAnsi="Times New Roman" w:cs="Times New Roman"/>
          <w:b/>
          <w:u w:val="single"/>
        </w:rPr>
      </w:pPr>
      <w:r>
        <w:rPr>
          <w:rFonts w:ascii="Times New Roman" w:hAnsi="Times New Roman" w:cs="Times New Roman"/>
          <w:b/>
          <w:u w:val="single"/>
        </w:rPr>
        <w:br w:type="page"/>
      </w:r>
      <w:r w:rsidR="00EB54F0">
        <w:rPr>
          <w:rFonts w:ascii="Times New Roman" w:hAnsi="Times New Roman" w:cs="Times New Roman"/>
          <w:b/>
          <w:u w:val="single"/>
        </w:rPr>
        <w:t>Management’s Discussion of Quarterly Operating Results</w:t>
      </w:r>
    </w:p>
    <w:p w:rsidR="00AB3F43" w:rsidRDefault="00AB3F43" w:rsidP="00DB3928">
      <w:pPr>
        <w:keepNext/>
        <w:keepLines/>
        <w:rPr>
          <w:rFonts w:ascii="Times New Roman" w:hAnsi="Times New Roman" w:cs="Times New Roman"/>
          <w:bCs/>
        </w:rPr>
      </w:pPr>
    </w:p>
    <w:p w:rsidR="00EB54F0" w:rsidRDefault="00EB54F0" w:rsidP="00DB3928">
      <w:pPr>
        <w:keepNext/>
        <w:keepLines/>
        <w:spacing w:after="200"/>
        <w:jc w:val="both"/>
        <w:rPr>
          <w:rFonts w:ascii="Times New Roman" w:hAnsi="Times New Roman" w:cs="Times New Roman"/>
          <w:u w:val="single"/>
        </w:rPr>
      </w:pPr>
      <w:r>
        <w:rPr>
          <w:rFonts w:ascii="Times New Roman" w:hAnsi="Times New Roman" w:cs="Times New Roman"/>
          <w:b/>
          <w:u w:val="single"/>
        </w:rPr>
        <w:t>Net Interest Income</w:t>
      </w:r>
    </w:p>
    <w:p w:rsidR="00EB54F0" w:rsidRDefault="00EB54F0" w:rsidP="00EB54F0">
      <w:pPr>
        <w:jc w:val="both"/>
        <w:rPr>
          <w:rFonts w:ascii="Times New Roman" w:hAnsi="Times New Roman" w:cs="Times New Roman"/>
        </w:rPr>
      </w:pPr>
      <w:r>
        <w:rPr>
          <w:rFonts w:ascii="Times New Roman" w:hAnsi="Times New Roman" w:cs="Times New Roman"/>
        </w:rPr>
        <w:t xml:space="preserve">Net interest income for the </w:t>
      </w:r>
      <w:r w:rsidR="00B03DF0">
        <w:rPr>
          <w:rFonts w:ascii="Times New Roman" w:hAnsi="Times New Roman" w:cs="Times New Roman"/>
        </w:rPr>
        <w:t>third</w:t>
      </w:r>
      <w:r w:rsidR="00AC2D91">
        <w:rPr>
          <w:rFonts w:ascii="Times New Roman" w:hAnsi="Times New Roman" w:cs="Times New Roman"/>
        </w:rPr>
        <w:t xml:space="preserve"> quarter</w:t>
      </w:r>
      <w:r>
        <w:rPr>
          <w:rFonts w:ascii="Times New Roman" w:hAnsi="Times New Roman" w:cs="Times New Roman"/>
        </w:rPr>
        <w:t xml:space="preserve"> of 202</w:t>
      </w:r>
      <w:r w:rsidR="00064861">
        <w:rPr>
          <w:rFonts w:ascii="Times New Roman" w:hAnsi="Times New Roman" w:cs="Times New Roman"/>
        </w:rPr>
        <w:t>3</w:t>
      </w:r>
      <w:r>
        <w:rPr>
          <w:rFonts w:ascii="Times New Roman" w:hAnsi="Times New Roman" w:cs="Times New Roman"/>
        </w:rPr>
        <w:t xml:space="preserve"> was $</w:t>
      </w:r>
      <w:r w:rsidR="00D34D29">
        <w:rPr>
          <w:rFonts w:ascii="Times New Roman" w:hAnsi="Times New Roman" w:cs="Times New Roman"/>
        </w:rPr>
        <w:t>7</w:t>
      </w:r>
      <w:r w:rsidR="000F5C0A">
        <w:rPr>
          <w:rFonts w:ascii="Times New Roman" w:hAnsi="Times New Roman" w:cs="Times New Roman"/>
        </w:rPr>
        <w:t>6</w:t>
      </w:r>
      <w:r w:rsidR="00D34D29">
        <w:rPr>
          <w:rFonts w:ascii="Times New Roman" w:hAnsi="Times New Roman" w:cs="Times New Roman"/>
        </w:rPr>
        <w:t>.</w:t>
      </w:r>
      <w:r w:rsidR="000F5C0A">
        <w:rPr>
          <w:rFonts w:ascii="Times New Roman" w:hAnsi="Times New Roman" w:cs="Times New Roman"/>
        </w:rPr>
        <w:t>5</w:t>
      </w:r>
      <w:r>
        <w:rPr>
          <w:rFonts w:ascii="Times New Roman" w:hAnsi="Times New Roman" w:cs="Times New Roman"/>
        </w:rPr>
        <w:t xml:space="preserve"> million </w:t>
      </w:r>
      <w:r w:rsidR="00CB1FC0">
        <w:rPr>
          <w:rFonts w:ascii="Times New Roman" w:hAnsi="Times New Roman" w:cs="Times New Roman"/>
        </w:rPr>
        <w:t>compared to $8</w:t>
      </w:r>
      <w:r w:rsidR="00B03DF0">
        <w:rPr>
          <w:rFonts w:ascii="Times New Roman" w:hAnsi="Times New Roman" w:cs="Times New Roman"/>
        </w:rPr>
        <w:t>0.2</w:t>
      </w:r>
      <w:r w:rsidR="00CB1FC0">
        <w:rPr>
          <w:rFonts w:ascii="Times New Roman" w:hAnsi="Times New Roman" w:cs="Times New Roman"/>
        </w:rPr>
        <w:t xml:space="preserve"> million for the </w:t>
      </w:r>
      <w:r w:rsidR="00B03DF0">
        <w:rPr>
          <w:rFonts w:ascii="Times New Roman" w:hAnsi="Times New Roman" w:cs="Times New Roman"/>
        </w:rPr>
        <w:t>second</w:t>
      </w:r>
      <w:r w:rsidR="00CB1FC0">
        <w:rPr>
          <w:rFonts w:ascii="Times New Roman" w:hAnsi="Times New Roman" w:cs="Times New Roman"/>
        </w:rPr>
        <w:t xml:space="preserve"> quarter of 202</w:t>
      </w:r>
      <w:r w:rsidR="00BA59F9">
        <w:rPr>
          <w:rFonts w:ascii="Times New Roman" w:hAnsi="Times New Roman" w:cs="Times New Roman"/>
        </w:rPr>
        <w:t>3</w:t>
      </w:r>
      <w:r w:rsidR="00CB1FC0">
        <w:rPr>
          <w:rFonts w:ascii="Times New Roman" w:hAnsi="Times New Roman" w:cs="Times New Roman"/>
        </w:rPr>
        <w:t xml:space="preserve"> and </w:t>
      </w:r>
      <w:r>
        <w:rPr>
          <w:rFonts w:ascii="Times New Roman" w:hAnsi="Times New Roman" w:cs="Times New Roman"/>
        </w:rPr>
        <w:t>$</w:t>
      </w:r>
      <w:r w:rsidR="00B03DF0">
        <w:rPr>
          <w:rFonts w:ascii="Times New Roman" w:hAnsi="Times New Roman" w:cs="Times New Roman"/>
        </w:rPr>
        <w:t>100.4</w:t>
      </w:r>
      <w:r>
        <w:rPr>
          <w:rFonts w:ascii="Times New Roman" w:hAnsi="Times New Roman" w:cs="Times New Roman"/>
        </w:rPr>
        <w:t xml:space="preserve"> million for the </w:t>
      </w:r>
      <w:r w:rsidR="00B03DF0">
        <w:rPr>
          <w:rFonts w:ascii="Times New Roman" w:hAnsi="Times New Roman" w:cs="Times New Roman"/>
        </w:rPr>
        <w:t>third</w:t>
      </w:r>
      <w:r>
        <w:rPr>
          <w:rFonts w:ascii="Times New Roman" w:hAnsi="Times New Roman" w:cs="Times New Roman"/>
        </w:rPr>
        <w:t xml:space="preserve"> quarter of 202</w:t>
      </w:r>
      <w:r w:rsidR="00064861">
        <w:rPr>
          <w:rFonts w:ascii="Times New Roman" w:hAnsi="Times New Roman" w:cs="Times New Roman"/>
        </w:rPr>
        <w:t>2</w:t>
      </w:r>
      <w:r>
        <w:rPr>
          <w:rFonts w:ascii="Times New Roman" w:hAnsi="Times New Roman" w:cs="Times New Roman"/>
        </w:rPr>
        <w:t xml:space="preserve">. </w:t>
      </w:r>
    </w:p>
    <w:p w:rsidR="00F907E5" w:rsidRDefault="00F907E5" w:rsidP="008056CD">
      <w:pPr>
        <w:jc w:val="both"/>
        <w:rPr>
          <w:rFonts w:ascii="Times New Roman" w:eastAsia="Times New Roman" w:hAnsi="Times New Roman" w:cs="Times New Roman"/>
          <w:color w:val="000000"/>
        </w:rPr>
      </w:pPr>
    </w:p>
    <w:p w:rsidR="001F26D7" w:rsidRDefault="00EB54F0" w:rsidP="001F26D7">
      <w:pPr>
        <w:jc w:val="both"/>
        <w:rPr>
          <w:rFonts w:ascii="Times New Roman" w:hAnsi="Times New Roman" w:cs="Times New Roman"/>
        </w:rPr>
      </w:pPr>
      <w:r>
        <w:rPr>
          <w:rFonts w:ascii="Times New Roman" w:eastAsia="Times New Roman" w:hAnsi="Times New Roman" w:cs="Times New Roman"/>
          <w:color w:val="000000"/>
        </w:rPr>
        <w:t xml:space="preserve">The table below provides a reconciliation of the reported </w:t>
      </w:r>
      <w:r w:rsidR="00933A25">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et </w:t>
      </w:r>
      <w:r w:rsidR="00933A25">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nterest </w:t>
      </w:r>
      <w:r w:rsidR="00933A25">
        <w:rPr>
          <w:rFonts w:ascii="Times New Roman" w:eastAsia="Times New Roman" w:hAnsi="Times New Roman" w:cs="Times New Roman"/>
          <w:color w:val="000000"/>
        </w:rPr>
        <w:t>m</w:t>
      </w:r>
      <w:r>
        <w:rPr>
          <w:rFonts w:ascii="Times New Roman" w:eastAsia="Times New Roman" w:hAnsi="Times New Roman" w:cs="Times New Roman"/>
          <w:color w:val="000000"/>
        </w:rPr>
        <w:t xml:space="preserve">argin (“NIM”) and </w:t>
      </w:r>
      <w:r w:rsidR="000F2C03">
        <w:rPr>
          <w:rFonts w:ascii="Times New Roman" w:eastAsia="Times New Roman" w:hAnsi="Times New Roman" w:cs="Times New Roman"/>
          <w:color w:val="000000"/>
        </w:rPr>
        <w:t xml:space="preserve">adjusted </w:t>
      </w:r>
      <w:r>
        <w:rPr>
          <w:rFonts w:ascii="Times New Roman" w:eastAsia="Times New Roman" w:hAnsi="Times New Roman" w:cs="Times New Roman"/>
          <w:color w:val="000000"/>
        </w:rPr>
        <w:t xml:space="preserve">NIM excluding </w:t>
      </w:r>
      <w:r w:rsidR="000F2C03">
        <w:rPr>
          <w:rFonts w:ascii="Times New Roman" w:eastAsia="Times New Roman" w:hAnsi="Times New Roman" w:cs="Times New Roman"/>
          <w:color w:val="000000"/>
        </w:rPr>
        <w:t xml:space="preserve">the impact of </w:t>
      </w:r>
      <w:r>
        <w:rPr>
          <w:rFonts w:ascii="Times New Roman" w:eastAsia="Times New Roman" w:hAnsi="Times New Roman" w:cs="Times New Roman"/>
          <w:color w:val="000000"/>
        </w:rPr>
        <w:t>purchas</w:t>
      </w:r>
      <w:r w:rsidR="009E1F49">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accounting accretion on the loan portfolio.  </w:t>
      </w:r>
    </w:p>
    <w:p w:rsidR="008017D4" w:rsidRPr="002C5194" w:rsidRDefault="008017D4" w:rsidP="00912B17">
      <w:pPr>
        <w:rPr>
          <w:rFonts w:asci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9"/>
        <w:gridCol w:w="244"/>
        <w:gridCol w:w="149"/>
        <w:gridCol w:w="1045"/>
        <w:gridCol w:w="244"/>
        <w:gridCol w:w="149"/>
        <w:gridCol w:w="1086"/>
        <w:gridCol w:w="244"/>
        <w:gridCol w:w="149"/>
        <w:gridCol w:w="1007"/>
        <w:gridCol w:w="244"/>
      </w:tblGrid>
      <w:tr w:rsidR="008F58A3" w:rsidTr="008F58A3">
        <w:trPr>
          <w:trHeight w:hRule="exact" w:val="20"/>
        </w:trPr>
        <w:tc>
          <w:tcPr>
            <w:tcW w:w="2887" w:type="pct"/>
            <w:tcBorders>
              <w:top w:val="nil"/>
              <w:left w:val="nil"/>
              <w:bottom w:val="nil"/>
              <w:right w:val="nil"/>
            </w:tcBorders>
          </w:tcPr>
          <w:p w:rsidR="008F58A3" w:rsidRDefault="008F58A3" w:rsidP="008F58A3">
            <w:pPr>
              <w:keepNext/>
              <w:keepLines/>
              <w:rPr>
                <w:sz w:val="2"/>
              </w:rPr>
            </w:pPr>
          </w:p>
        </w:tc>
        <w:tc>
          <w:tcPr>
            <w:tcW w:w="113" w:type="pct"/>
            <w:tcBorders>
              <w:top w:val="nil"/>
              <w:left w:val="nil"/>
              <w:bottom w:val="nil"/>
              <w:right w:val="nil"/>
            </w:tcBorders>
            <w:noWrap/>
            <w:vAlign w:val="bottom"/>
          </w:tcPr>
          <w:p w:rsidR="008F58A3" w:rsidRDefault="008F58A3" w:rsidP="008F58A3">
            <w:pPr>
              <w:keepNext/>
              <w:keepLines/>
              <w:rPr>
                <w:sz w:val="2"/>
              </w:rPr>
            </w:pPr>
          </w:p>
        </w:tc>
        <w:tc>
          <w:tcPr>
            <w:tcW w:w="69" w:type="pct"/>
            <w:tcBorders>
              <w:top w:val="nil"/>
              <w:left w:val="nil"/>
              <w:bottom w:val="nil"/>
              <w:right w:val="nil"/>
            </w:tcBorders>
            <w:noWrap/>
            <w:vAlign w:val="bottom"/>
          </w:tcPr>
          <w:p w:rsidR="008F58A3" w:rsidRDefault="008F58A3" w:rsidP="008F58A3">
            <w:pPr>
              <w:keepNext/>
              <w:keepLines/>
              <w:rPr>
                <w:sz w:val="2"/>
              </w:rPr>
            </w:pPr>
          </w:p>
        </w:tc>
        <w:tc>
          <w:tcPr>
            <w:tcW w:w="484" w:type="pct"/>
            <w:tcBorders>
              <w:top w:val="nil"/>
              <w:left w:val="nil"/>
              <w:bottom w:val="nil"/>
              <w:right w:val="nil"/>
            </w:tcBorders>
            <w:noWrap/>
            <w:vAlign w:val="bottom"/>
          </w:tcPr>
          <w:p w:rsidR="008F58A3" w:rsidRDefault="008F58A3" w:rsidP="008F58A3">
            <w:pPr>
              <w:keepNext/>
              <w:keepLines/>
              <w:rPr>
                <w:sz w:val="2"/>
              </w:rPr>
            </w:pPr>
          </w:p>
        </w:tc>
        <w:tc>
          <w:tcPr>
            <w:tcW w:w="113" w:type="pct"/>
            <w:tcBorders>
              <w:top w:val="nil"/>
              <w:left w:val="nil"/>
              <w:bottom w:val="nil"/>
              <w:right w:val="nil"/>
            </w:tcBorders>
            <w:noWrap/>
            <w:vAlign w:val="bottom"/>
          </w:tcPr>
          <w:p w:rsidR="008F58A3" w:rsidRDefault="008F58A3" w:rsidP="008F58A3">
            <w:pPr>
              <w:keepNext/>
              <w:keepLines/>
              <w:rPr>
                <w:sz w:val="2"/>
              </w:rPr>
            </w:pPr>
          </w:p>
        </w:tc>
        <w:tc>
          <w:tcPr>
            <w:tcW w:w="69" w:type="pct"/>
            <w:tcBorders>
              <w:top w:val="nil"/>
              <w:left w:val="nil"/>
              <w:bottom w:val="nil"/>
              <w:right w:val="nil"/>
            </w:tcBorders>
            <w:noWrap/>
            <w:vAlign w:val="bottom"/>
          </w:tcPr>
          <w:p w:rsidR="008F58A3" w:rsidRDefault="008F58A3" w:rsidP="008F58A3">
            <w:pPr>
              <w:keepNext/>
              <w:keepLines/>
              <w:rPr>
                <w:sz w:val="2"/>
              </w:rPr>
            </w:pPr>
          </w:p>
        </w:tc>
        <w:tc>
          <w:tcPr>
            <w:tcW w:w="503" w:type="pct"/>
            <w:tcBorders>
              <w:top w:val="nil"/>
              <w:left w:val="nil"/>
              <w:bottom w:val="nil"/>
              <w:right w:val="nil"/>
            </w:tcBorders>
            <w:noWrap/>
            <w:vAlign w:val="bottom"/>
          </w:tcPr>
          <w:p w:rsidR="008F58A3" w:rsidRDefault="008F58A3" w:rsidP="008F58A3">
            <w:pPr>
              <w:keepNext/>
              <w:keepLines/>
              <w:rPr>
                <w:sz w:val="2"/>
              </w:rPr>
            </w:pPr>
          </w:p>
        </w:tc>
        <w:tc>
          <w:tcPr>
            <w:tcW w:w="113" w:type="pct"/>
            <w:tcBorders>
              <w:top w:val="nil"/>
              <w:left w:val="nil"/>
              <w:bottom w:val="nil"/>
              <w:right w:val="nil"/>
            </w:tcBorders>
            <w:noWrap/>
            <w:vAlign w:val="bottom"/>
          </w:tcPr>
          <w:p w:rsidR="008F58A3" w:rsidRDefault="008F58A3" w:rsidP="008F58A3">
            <w:pPr>
              <w:keepNext/>
              <w:keepLines/>
              <w:rPr>
                <w:sz w:val="2"/>
              </w:rPr>
            </w:pPr>
          </w:p>
        </w:tc>
        <w:tc>
          <w:tcPr>
            <w:tcW w:w="69" w:type="pct"/>
            <w:tcBorders>
              <w:top w:val="nil"/>
              <w:left w:val="nil"/>
              <w:bottom w:val="nil"/>
              <w:right w:val="nil"/>
            </w:tcBorders>
            <w:noWrap/>
            <w:vAlign w:val="bottom"/>
          </w:tcPr>
          <w:p w:rsidR="008F58A3" w:rsidRDefault="008F58A3" w:rsidP="008F58A3">
            <w:pPr>
              <w:keepNext/>
              <w:keepLines/>
              <w:rPr>
                <w:sz w:val="2"/>
              </w:rPr>
            </w:pPr>
          </w:p>
        </w:tc>
        <w:tc>
          <w:tcPr>
            <w:tcW w:w="465" w:type="pct"/>
            <w:tcBorders>
              <w:top w:val="nil"/>
              <w:left w:val="nil"/>
              <w:bottom w:val="nil"/>
              <w:right w:val="nil"/>
            </w:tcBorders>
            <w:noWrap/>
            <w:vAlign w:val="bottom"/>
          </w:tcPr>
          <w:p w:rsidR="008F58A3" w:rsidRDefault="008F58A3" w:rsidP="008F58A3">
            <w:pPr>
              <w:keepNext/>
              <w:keepLines/>
              <w:rPr>
                <w:sz w:val="2"/>
              </w:rPr>
            </w:pPr>
          </w:p>
        </w:tc>
        <w:tc>
          <w:tcPr>
            <w:tcW w:w="113" w:type="pct"/>
            <w:tcBorders>
              <w:top w:val="nil"/>
              <w:left w:val="nil"/>
              <w:bottom w:val="nil"/>
              <w:right w:val="nil"/>
            </w:tcBorders>
            <w:noWrap/>
            <w:vAlign w:val="bottom"/>
          </w:tcPr>
          <w:p w:rsidR="008F58A3" w:rsidRDefault="008F58A3" w:rsidP="008F58A3">
            <w:pPr>
              <w:keepNext/>
              <w:keepLines/>
              <w:rPr>
                <w:sz w:val="2"/>
              </w:rPr>
            </w:pPr>
          </w:p>
        </w:tc>
      </w:tr>
      <w:tr w:rsidR="008F58A3" w:rsidTr="008F58A3">
        <w:tc>
          <w:tcPr>
            <w:tcW w:w="2887" w:type="pct"/>
            <w:tcBorders>
              <w:top w:val="nil"/>
              <w:left w:val="nil"/>
              <w:bottom w:val="nil"/>
              <w:right w:val="nil"/>
              <w:tl2br w:val="nil"/>
              <w:tr2bl w:val="nil"/>
            </w:tcBorders>
            <w:shd w:val="clear" w:color="auto" w:fill="auto"/>
          </w:tcPr>
          <w:p w:rsidR="008F58A3" w:rsidRDefault="008F58A3" w:rsidP="008F58A3">
            <w:pPr>
              <w:keepNext/>
              <w:keepLines/>
              <w:rPr>
                <w:color w:val="000000"/>
                <w:sz w:val="16"/>
              </w:rPr>
            </w:pPr>
            <w:r>
              <w:rPr>
                <w:rFonts w:ascii="Times New Roman" w:eastAsia="Times New Roman" w:hAnsi="Times New Roman" w:cs="Times New Roman"/>
                <w:color w:val="000000"/>
                <w:sz w:val="16"/>
              </w:rPr>
              <w:t>(Dollars in thousands)</w:t>
            </w:r>
          </w:p>
        </w:tc>
        <w:tc>
          <w:tcPr>
            <w:tcW w:w="113"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6"/>
              </w:rPr>
            </w:pPr>
            <w:r>
              <w:rPr>
                <w:rFonts w:ascii="Times New Roman" w:eastAsia="Times New Roman" w:hAnsi="Times New Roman" w:cs="Times New Roman"/>
                <w:color w:val="000000"/>
                <w:sz w:val="16"/>
              </w:rPr>
              <w:t>    </w:t>
            </w:r>
          </w:p>
        </w:tc>
        <w:tc>
          <w:tcPr>
            <w:tcW w:w="55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Q3 2023</w:t>
            </w:r>
          </w:p>
        </w:tc>
        <w:tc>
          <w:tcPr>
            <w:tcW w:w="113"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7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Q2 2023</w:t>
            </w:r>
          </w:p>
        </w:tc>
        <w:tc>
          <w:tcPr>
            <w:tcW w:w="113"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35"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Q3 2022</w:t>
            </w:r>
          </w:p>
        </w:tc>
        <w:tc>
          <w:tcPr>
            <w:tcW w:w="113"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6"/>
              </w:rPr>
            </w:pPr>
            <w:r>
              <w:rPr>
                <w:rFonts w:ascii="Times New Roman" w:eastAsia="Times New Roman" w:hAnsi="Times New Roman" w:cs="Times New Roman"/>
                <w:color w:val="000000"/>
                <w:sz w:val="16"/>
              </w:rPr>
              <w:t> </w:t>
            </w:r>
          </w:p>
        </w:tc>
      </w:tr>
      <w:tr w:rsidR="008F58A3" w:rsidTr="008F58A3">
        <w:tc>
          <w:tcPr>
            <w:tcW w:w="2887" w:type="pct"/>
            <w:tcBorders>
              <w:top w:val="nil"/>
              <w:left w:val="nil"/>
              <w:bottom w:val="nil"/>
              <w:right w:val="nil"/>
              <w:tl2br w:val="nil"/>
              <w:tr2bl w:val="nil"/>
            </w:tcBorders>
            <w:shd w:val="clear" w:color="auto" w:fill="CCEEFF"/>
          </w:tcPr>
          <w:p w:rsidR="008F58A3" w:rsidRDefault="008F58A3" w:rsidP="008F58A3">
            <w:pPr>
              <w:keepNext/>
              <w:keepLines/>
              <w:jc w:val="both"/>
              <w:rPr>
                <w:color w:val="000000"/>
                <w:sz w:val="16"/>
              </w:rPr>
            </w:pPr>
            <w:r>
              <w:rPr>
                <w:rFonts w:ascii="Times New Roman" w:eastAsia="Times New Roman" w:hAnsi="Times New Roman" w:cs="Times New Roman"/>
                <w:color w:val="000000"/>
                <w:sz w:val="16"/>
              </w:rPr>
              <w:t>Net interest income</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484"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76,479</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3"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80,219</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5"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100,438</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Purchase accounting amortization (accretion) on loans ("PAA")</w:t>
            </w: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p>
        </w:tc>
        <w:tc>
          <w:tcPr>
            <w:tcW w:w="484"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186</w:t>
            </w:r>
          </w:p>
        </w:tc>
        <w:tc>
          <w:tcPr>
            <w:tcW w:w="113"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69"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503"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58</w:t>
            </w: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465"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(57)</w:t>
            </w: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net interest income excluding PAA on loans (non-GAAP)</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484"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76,665</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69"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3"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80,277</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100,381</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tcPr>
          <w:p w:rsidR="008F58A3" w:rsidRDefault="008F58A3" w:rsidP="008F58A3">
            <w:pPr>
              <w:keepNext/>
              <w:keepLines/>
              <w:jc w:val="both"/>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484"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3"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5"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Average interest-earning assets</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484"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12,984,061</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3"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12,888,522</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5"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11,782,361</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tcPr>
          <w:p w:rsidR="008F58A3" w:rsidRDefault="008F58A3" w:rsidP="008F58A3">
            <w:pPr>
              <w:keepNext/>
              <w:keepLines/>
              <w:jc w:val="both"/>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484"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3"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5"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887"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NIM</w:t>
            </w:r>
            <w:r>
              <w:rPr>
                <w:rFonts w:ascii="Times New Roman" w:eastAsia="Times New Roman" w:hAnsi="Times New Roman" w:cs="Times New Roman"/>
                <w:color w:val="000000"/>
                <w:sz w:val="16"/>
                <w:vertAlign w:val="superscript"/>
              </w:rPr>
              <w:t xml:space="preserve"> (1)</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84"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2.34</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3"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2.50</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5"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3.38</w:t>
            </w:r>
          </w:p>
        </w:tc>
        <w:tc>
          <w:tcPr>
            <w:tcW w:w="113"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r>
      <w:tr w:rsidR="008F58A3" w:rsidTr="008F58A3">
        <w:tc>
          <w:tcPr>
            <w:tcW w:w="2887"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NIM excluding PAA on loans (non-GAAP)</w:t>
            </w:r>
            <w:r>
              <w:rPr>
                <w:rFonts w:ascii="Times New Roman" w:eastAsia="Times New Roman" w:hAnsi="Times New Roman" w:cs="Times New Roman"/>
                <w:color w:val="000000"/>
                <w:sz w:val="16"/>
                <w:vertAlign w:val="superscript"/>
              </w:rPr>
              <w:t xml:space="preserve"> (2)</w:t>
            </w:r>
          </w:p>
        </w:tc>
        <w:tc>
          <w:tcPr>
            <w:tcW w:w="113"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84"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2.34</w:t>
            </w:r>
          </w:p>
        </w:tc>
        <w:tc>
          <w:tcPr>
            <w:tcW w:w="113"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3"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2.50</w:t>
            </w: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5"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3.38</w:t>
            </w:r>
          </w:p>
        </w:tc>
        <w:tc>
          <w:tcPr>
            <w:tcW w:w="113"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r>
    </w:tbl>
    <w:p w:rsidR="00CE587E" w:rsidRDefault="007D008B" w:rsidP="00B03DF0">
      <w:pPr>
        <w:jc w:val="both"/>
        <w:rPr>
          <w:rFonts w:ascii="Times New Roman" w:eastAsia="Times New Roman" w:hAnsi="Times New Roman" w:cs="Times New Roman"/>
          <w:szCs w:val="24"/>
        </w:rPr>
      </w:pPr>
      <w:r>
        <w:rPr>
          <w:rFonts w:ascii="Times New Roman" w:hAnsi="Times New Roman" w:cs="Times New Roman"/>
          <w:szCs w:val="24"/>
        </w:rPr>
        <w:pict w14:anchorId="3F56E1CC">
          <v:rect id="_x0000_i1025" style="width:135pt;height:.6pt" o:hrpct="250" o:hrstd="t" o:hrnoshade="t" o:hr="t" fillcolor="black [3213]" stroked="f"/>
        </w:pict>
      </w:r>
    </w:p>
    <w:p w:rsidR="00132614" w:rsidRPr="00132614" w:rsidRDefault="00132614" w:rsidP="00132614">
      <w:pPr>
        <w:numPr>
          <w:ilvl w:val="0"/>
          <w:numId w:val="20"/>
        </w:numPr>
        <w:ind w:left="360"/>
        <w:jc w:val="both"/>
        <w:rPr>
          <w:rFonts w:ascii="Times New Roman" w:eastAsia="Times New Roman" w:hAnsi="Times New Roman" w:cs="Times New Roman"/>
          <w:szCs w:val="24"/>
        </w:rPr>
      </w:pPr>
      <w:r>
        <w:rPr>
          <w:rFonts w:ascii="Times New Roman" w:eastAsia="Times New Roman" w:hAnsi="Times New Roman" w:cs="Times New Roman"/>
          <w:szCs w:val="24"/>
        </w:rPr>
        <w:t xml:space="preserve">NIM </w:t>
      </w:r>
      <w:r w:rsidRPr="00132614">
        <w:rPr>
          <w:rFonts w:ascii="Times New Roman" w:eastAsia="Times New Roman" w:hAnsi="Times New Roman" w:cs="Times New Roman"/>
          <w:szCs w:val="24"/>
        </w:rPr>
        <w:t>represents net interest income divided by average interest-earning assets.</w:t>
      </w:r>
    </w:p>
    <w:p w:rsidR="00132614" w:rsidRPr="00132614" w:rsidRDefault="00132614" w:rsidP="00132614">
      <w:pPr>
        <w:numPr>
          <w:ilvl w:val="0"/>
          <w:numId w:val="20"/>
        </w:numPr>
        <w:ind w:left="360"/>
        <w:jc w:val="both"/>
        <w:rPr>
          <w:rFonts w:ascii="Times New Roman" w:eastAsia="Times New Roman" w:hAnsi="Times New Roman" w:cs="Times New Roman"/>
          <w:szCs w:val="24"/>
        </w:rPr>
      </w:pPr>
      <w:r>
        <w:rPr>
          <w:rFonts w:ascii="Times New Roman" w:eastAsia="Times New Roman" w:hAnsi="Times New Roman" w:cs="Times New Roman"/>
          <w:szCs w:val="24"/>
        </w:rPr>
        <w:t>Adjusted NIM excluding P</w:t>
      </w:r>
      <w:r w:rsidR="00AD3914">
        <w:rPr>
          <w:rFonts w:ascii="Times New Roman" w:eastAsia="Times New Roman" w:hAnsi="Times New Roman" w:cs="Times New Roman"/>
          <w:szCs w:val="24"/>
        </w:rPr>
        <w:t>AA</w:t>
      </w:r>
      <w:r>
        <w:rPr>
          <w:rFonts w:ascii="Times New Roman" w:eastAsia="Times New Roman" w:hAnsi="Times New Roman" w:cs="Times New Roman"/>
          <w:szCs w:val="24"/>
        </w:rPr>
        <w:t xml:space="preserve"> </w:t>
      </w:r>
      <w:r w:rsidR="00A361F3">
        <w:rPr>
          <w:rFonts w:ascii="Times New Roman" w:eastAsia="Times New Roman" w:hAnsi="Times New Roman" w:cs="Times New Roman"/>
          <w:szCs w:val="24"/>
        </w:rPr>
        <w:t xml:space="preserve">on </w:t>
      </w:r>
      <w:r w:rsidR="00933A25">
        <w:rPr>
          <w:rFonts w:ascii="Times New Roman" w:eastAsia="Times New Roman" w:hAnsi="Times New Roman" w:cs="Times New Roman"/>
          <w:szCs w:val="24"/>
        </w:rPr>
        <w:t xml:space="preserve">loans </w:t>
      </w:r>
      <w:r>
        <w:rPr>
          <w:rFonts w:ascii="Times New Roman" w:eastAsia="Times New Roman" w:hAnsi="Times New Roman" w:cs="Times New Roman"/>
          <w:szCs w:val="24"/>
        </w:rPr>
        <w:t>represents adjusted net interest income</w:t>
      </w:r>
      <w:r w:rsidR="000B07DD">
        <w:rPr>
          <w:rFonts w:ascii="Times New Roman" w:eastAsia="Times New Roman" w:hAnsi="Times New Roman" w:cs="Times New Roman"/>
          <w:szCs w:val="24"/>
        </w:rPr>
        <w:t>, which</w:t>
      </w:r>
      <w:r>
        <w:rPr>
          <w:rFonts w:ascii="Times New Roman" w:eastAsia="Times New Roman" w:hAnsi="Times New Roman" w:cs="Times New Roman"/>
          <w:szCs w:val="24"/>
        </w:rPr>
        <w:t xml:space="preserve"> exclud</w:t>
      </w:r>
      <w:r w:rsidR="000B07DD">
        <w:rPr>
          <w:rFonts w:ascii="Times New Roman" w:eastAsia="Times New Roman" w:hAnsi="Times New Roman" w:cs="Times New Roman"/>
          <w:szCs w:val="24"/>
        </w:rPr>
        <w:t>es net</w:t>
      </w:r>
      <w:r>
        <w:rPr>
          <w:rFonts w:ascii="Times New Roman" w:eastAsia="Times New Roman" w:hAnsi="Times New Roman" w:cs="Times New Roman"/>
          <w:szCs w:val="24"/>
        </w:rPr>
        <w:t xml:space="preserve"> interest income on P</w:t>
      </w:r>
      <w:r w:rsidR="00AD3914">
        <w:rPr>
          <w:rFonts w:ascii="Times New Roman" w:eastAsia="Times New Roman" w:hAnsi="Times New Roman" w:cs="Times New Roman"/>
          <w:szCs w:val="24"/>
        </w:rPr>
        <w:t>AA</w:t>
      </w:r>
      <w:r>
        <w:rPr>
          <w:rFonts w:ascii="Times New Roman" w:eastAsia="Times New Roman" w:hAnsi="Times New Roman" w:cs="Times New Roman"/>
          <w:szCs w:val="24"/>
        </w:rPr>
        <w:t xml:space="preserve"> loans </w:t>
      </w:r>
      <w:r w:rsidR="000B07DD">
        <w:rPr>
          <w:rFonts w:ascii="Times New Roman" w:eastAsia="Times New Roman" w:hAnsi="Times New Roman" w:cs="Times New Roman"/>
          <w:szCs w:val="24"/>
        </w:rPr>
        <w:t>divided by average interest-</w:t>
      </w:r>
      <w:r w:rsidR="00504B77">
        <w:rPr>
          <w:rFonts w:ascii="Times New Roman" w:eastAsia="Times New Roman" w:hAnsi="Times New Roman" w:cs="Times New Roman"/>
          <w:szCs w:val="24"/>
        </w:rPr>
        <w:t>earning assets</w:t>
      </w:r>
      <w:r w:rsidR="000B07DD">
        <w:rPr>
          <w:rFonts w:ascii="Times New Roman" w:eastAsia="Times New Roman" w:hAnsi="Times New Roman" w:cs="Times New Roman"/>
          <w:szCs w:val="24"/>
        </w:rPr>
        <w:t>.</w:t>
      </w:r>
    </w:p>
    <w:p w:rsidR="009313EB" w:rsidRDefault="009313EB" w:rsidP="00912B17">
      <w:pPr>
        <w:rPr>
          <w:rFonts w:asciiTheme="minorHAnsi"/>
        </w:rPr>
      </w:pPr>
    </w:p>
    <w:p w:rsidR="001F26D7" w:rsidRPr="00933A25" w:rsidRDefault="001F26D7" w:rsidP="001F26D7">
      <w:pPr>
        <w:spacing w:after="200"/>
        <w:jc w:val="both"/>
        <w:rPr>
          <w:rFonts w:ascii="Times New Roman" w:hAnsi="Times New Roman" w:cs="Times New Roman"/>
          <w:b/>
          <w:bCs/>
          <w:u w:val="single"/>
        </w:rPr>
      </w:pPr>
      <w:r w:rsidRPr="00933A25">
        <w:rPr>
          <w:rFonts w:ascii="Times New Roman" w:hAnsi="Times New Roman" w:cs="Times New Roman"/>
          <w:b/>
          <w:bCs/>
          <w:u w:val="single"/>
        </w:rPr>
        <w:t>Loan Portfolio</w:t>
      </w:r>
    </w:p>
    <w:p w:rsidR="00596074" w:rsidRDefault="00596074" w:rsidP="00EB54F0">
      <w:pPr>
        <w:spacing w:after="200"/>
        <w:jc w:val="both"/>
        <w:rPr>
          <w:rFonts w:ascii="Times New Roman" w:hAnsi="Times New Roman" w:cs="Times New Roman"/>
        </w:rPr>
      </w:pPr>
      <w:r w:rsidRPr="00596074">
        <w:rPr>
          <w:rFonts w:ascii="Times New Roman" w:hAnsi="Times New Roman" w:cs="Times New Roman"/>
        </w:rPr>
        <w:t>The ending weighted average rate (“WAR”)</w:t>
      </w:r>
      <w:r w:rsidR="00AB51CB">
        <w:rPr>
          <w:rFonts w:ascii="Times New Roman" w:hAnsi="Times New Roman" w:cs="Times New Roman"/>
        </w:rPr>
        <w:t xml:space="preserve"> </w:t>
      </w:r>
      <w:r w:rsidR="00556F23">
        <w:rPr>
          <w:rFonts w:ascii="Times New Roman" w:hAnsi="Times New Roman" w:cs="Times New Roman"/>
          <w:vertAlign w:val="superscript"/>
        </w:rPr>
        <w:t>(1)</w:t>
      </w:r>
      <w:r w:rsidRPr="00596074">
        <w:rPr>
          <w:rFonts w:ascii="Times New Roman" w:hAnsi="Times New Roman" w:cs="Times New Roman"/>
        </w:rPr>
        <w:t xml:space="preserve"> on the total loan portfolio was </w:t>
      </w:r>
      <w:r w:rsidR="00D34D29">
        <w:rPr>
          <w:rFonts w:ascii="Times New Roman" w:hAnsi="Times New Roman" w:cs="Times New Roman"/>
        </w:rPr>
        <w:t>5.20</w:t>
      </w:r>
      <w:r w:rsidRPr="00596074">
        <w:rPr>
          <w:rFonts w:ascii="Times New Roman" w:hAnsi="Times New Roman" w:cs="Times New Roman"/>
        </w:rPr>
        <w:t xml:space="preserve">% at </w:t>
      </w:r>
      <w:r w:rsidR="004D4EDF">
        <w:rPr>
          <w:rFonts w:ascii="Times New Roman" w:hAnsi="Times New Roman" w:cs="Times New Roman"/>
        </w:rPr>
        <w:t>September</w:t>
      </w:r>
      <w:r w:rsidR="00BA59F9">
        <w:rPr>
          <w:rFonts w:ascii="Times New Roman" w:hAnsi="Times New Roman" w:cs="Times New Roman"/>
        </w:rPr>
        <w:t xml:space="preserve"> 30</w:t>
      </w:r>
      <w:r w:rsidRPr="00596074">
        <w:rPr>
          <w:rFonts w:ascii="Times New Roman" w:hAnsi="Times New Roman" w:cs="Times New Roman"/>
        </w:rPr>
        <w:t>, 202</w:t>
      </w:r>
      <w:r w:rsidR="00430E02">
        <w:rPr>
          <w:rFonts w:ascii="Times New Roman" w:hAnsi="Times New Roman" w:cs="Times New Roman"/>
        </w:rPr>
        <w:t>3</w:t>
      </w:r>
      <w:r w:rsidRPr="00596074">
        <w:rPr>
          <w:rFonts w:ascii="Times New Roman" w:hAnsi="Times New Roman" w:cs="Times New Roman"/>
        </w:rPr>
        <w:t>, a</w:t>
      </w:r>
      <w:r w:rsidR="00064A87">
        <w:rPr>
          <w:rFonts w:ascii="Times New Roman" w:hAnsi="Times New Roman" w:cs="Times New Roman"/>
        </w:rPr>
        <w:t>n</w:t>
      </w:r>
      <w:r w:rsidRPr="00596074">
        <w:rPr>
          <w:rFonts w:ascii="Times New Roman" w:hAnsi="Times New Roman" w:cs="Times New Roman"/>
        </w:rPr>
        <w:t xml:space="preserve"> </w:t>
      </w:r>
      <w:r w:rsidR="00D34D29">
        <w:rPr>
          <w:rFonts w:ascii="Times New Roman" w:hAnsi="Times New Roman" w:cs="Times New Roman"/>
        </w:rPr>
        <w:t>8</w:t>
      </w:r>
      <w:r w:rsidRPr="00596074">
        <w:rPr>
          <w:rFonts w:ascii="Times New Roman" w:hAnsi="Times New Roman" w:cs="Times New Roman"/>
        </w:rPr>
        <w:t xml:space="preserve"> basis po</w:t>
      </w:r>
      <w:r w:rsidRPr="008262DF">
        <w:rPr>
          <w:rFonts w:ascii="Times New Roman" w:hAnsi="Times New Roman" w:cs="Times New Roman"/>
        </w:rPr>
        <w:t>int increase</w:t>
      </w:r>
      <w:r w:rsidRPr="00596074">
        <w:rPr>
          <w:rFonts w:ascii="Times New Roman" w:hAnsi="Times New Roman" w:cs="Times New Roman"/>
        </w:rPr>
        <w:t xml:space="preserve"> compared to the ending WAR </w:t>
      </w:r>
      <w:r w:rsidR="00D369C9">
        <w:rPr>
          <w:rFonts w:ascii="Times New Roman" w:hAnsi="Times New Roman" w:cs="Times New Roman"/>
        </w:rPr>
        <w:t xml:space="preserve">of 5.12% </w:t>
      </w:r>
      <w:r w:rsidRPr="00596074">
        <w:rPr>
          <w:rFonts w:ascii="Times New Roman" w:hAnsi="Times New Roman" w:cs="Times New Roman"/>
        </w:rPr>
        <w:t xml:space="preserve">on the total loan portfolio at </w:t>
      </w:r>
      <w:r w:rsidR="004D4EDF">
        <w:rPr>
          <w:rFonts w:ascii="Times New Roman" w:hAnsi="Times New Roman" w:cs="Times New Roman"/>
        </w:rPr>
        <w:t>June</w:t>
      </w:r>
      <w:r w:rsidR="00430E02">
        <w:rPr>
          <w:rFonts w:ascii="Times New Roman" w:hAnsi="Times New Roman" w:cs="Times New Roman"/>
        </w:rPr>
        <w:t xml:space="preserve"> </w:t>
      </w:r>
      <w:r w:rsidRPr="00596074">
        <w:rPr>
          <w:rFonts w:ascii="Times New Roman" w:hAnsi="Times New Roman" w:cs="Times New Roman"/>
        </w:rPr>
        <w:t>3</w:t>
      </w:r>
      <w:r w:rsidR="00C15277">
        <w:rPr>
          <w:rFonts w:ascii="Times New Roman" w:hAnsi="Times New Roman" w:cs="Times New Roman"/>
        </w:rPr>
        <w:t>0</w:t>
      </w:r>
      <w:r w:rsidRPr="00596074">
        <w:rPr>
          <w:rFonts w:ascii="Times New Roman" w:hAnsi="Times New Roman" w:cs="Times New Roman"/>
        </w:rPr>
        <w:t>, 202</w:t>
      </w:r>
      <w:r w:rsidR="00CB1FC0">
        <w:rPr>
          <w:rFonts w:ascii="Times New Roman" w:hAnsi="Times New Roman" w:cs="Times New Roman"/>
        </w:rPr>
        <w:t>3</w:t>
      </w:r>
      <w:r w:rsidRPr="00596074">
        <w:rPr>
          <w:rFonts w:ascii="Times New Roman" w:hAnsi="Times New Roman" w:cs="Times New Roman"/>
        </w:rPr>
        <w:t xml:space="preserve">. </w:t>
      </w:r>
    </w:p>
    <w:p w:rsidR="00EB54F0" w:rsidRDefault="00EB54F0" w:rsidP="00EB54F0">
      <w:pPr>
        <w:spacing w:after="200"/>
        <w:jc w:val="both"/>
        <w:rPr>
          <w:rFonts w:ascii="Times New Roman" w:hAnsi="Times New Roman" w:cs="Times New Roman"/>
        </w:rPr>
      </w:pPr>
      <w:r>
        <w:rPr>
          <w:rFonts w:ascii="Times New Roman" w:hAnsi="Times New Roman" w:cs="Times New Roman"/>
        </w:rPr>
        <w:t xml:space="preserve">Outlined below are loan balances and WARs for the </w:t>
      </w:r>
      <w:r w:rsidR="00556F26">
        <w:rPr>
          <w:rFonts w:ascii="Times New Roman" w:hAnsi="Times New Roman" w:cs="Times New Roman"/>
        </w:rPr>
        <w:t>period ended as indicated</w:t>
      </w:r>
      <w:r>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8"/>
        <w:gridCol w:w="160"/>
        <w:gridCol w:w="86"/>
        <w:gridCol w:w="820"/>
        <w:gridCol w:w="160"/>
        <w:gridCol w:w="730"/>
        <w:gridCol w:w="240"/>
        <w:gridCol w:w="87"/>
        <w:gridCol w:w="820"/>
        <w:gridCol w:w="160"/>
        <w:gridCol w:w="731"/>
        <w:gridCol w:w="214"/>
        <w:gridCol w:w="88"/>
        <w:gridCol w:w="820"/>
        <w:gridCol w:w="160"/>
        <w:gridCol w:w="732"/>
        <w:gridCol w:w="134"/>
      </w:tblGrid>
      <w:tr w:rsidR="008F58A3" w:rsidTr="008F58A3">
        <w:trPr>
          <w:trHeight w:hRule="exact" w:val="20"/>
        </w:trPr>
        <w:tc>
          <w:tcPr>
            <w:tcW w:w="2169" w:type="pct"/>
            <w:tcBorders>
              <w:top w:val="nil"/>
              <w:left w:val="nil"/>
              <w:bottom w:val="nil"/>
              <w:right w:val="nil"/>
            </w:tcBorders>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52"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52"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52"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85" w:type="pct"/>
            <w:tcBorders>
              <w:top w:val="nil"/>
              <w:left w:val="nil"/>
              <w:bottom w:val="nil"/>
              <w:right w:val="nil"/>
            </w:tcBorders>
            <w:noWrap/>
            <w:vAlign w:val="bottom"/>
          </w:tcPr>
          <w:p w:rsidR="008F58A3" w:rsidRDefault="008F58A3" w:rsidP="008F58A3">
            <w:pPr>
              <w:keepNext/>
              <w:rPr>
                <w:sz w:val="2"/>
              </w:rPr>
            </w:pPr>
          </w:p>
        </w:tc>
        <w:tc>
          <w:tcPr>
            <w:tcW w:w="350" w:type="pct"/>
            <w:tcBorders>
              <w:top w:val="nil"/>
              <w:left w:val="nil"/>
              <w:bottom w:val="nil"/>
              <w:right w:val="nil"/>
            </w:tcBorders>
            <w:noWrap/>
            <w:vAlign w:val="bottom"/>
          </w:tcPr>
          <w:p w:rsidR="008F58A3" w:rsidRDefault="008F58A3" w:rsidP="008F58A3">
            <w:pPr>
              <w:keepNext/>
              <w:rPr>
                <w:sz w:val="2"/>
              </w:rPr>
            </w:pPr>
          </w:p>
        </w:tc>
        <w:tc>
          <w:tcPr>
            <w:tcW w:w="66"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2169" w:type="pct"/>
            <w:tcBorders>
              <w:top w:val="nil"/>
              <w:left w:val="nil"/>
              <w:bottom w:val="nil"/>
              <w:right w:val="nil"/>
              <w:tl2br w:val="nil"/>
              <w:tr2bl w:val="nil"/>
            </w:tcBorders>
            <w:shd w:val="clear" w:color="auto" w:fill="auto"/>
            <w:vAlign w:val="bottom"/>
          </w:tcPr>
          <w:p w:rsidR="008F58A3" w:rsidRDefault="008F58A3" w:rsidP="008F58A3">
            <w:pPr>
              <w:rPr>
                <w:b/>
                <w:color w:val="000000"/>
                <w:sz w:val="16"/>
              </w:rPr>
            </w:pPr>
          </w:p>
        </w:tc>
        <w:tc>
          <w:tcPr>
            <w:tcW w:w="85"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836" w:type="pct"/>
            <w:gridSpan w:val="4"/>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2023</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836" w:type="pct"/>
            <w:gridSpan w:val="4"/>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June 30, 2023</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836" w:type="pct"/>
            <w:gridSpan w:val="4"/>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2022</w:t>
            </w:r>
          </w:p>
        </w:tc>
        <w:tc>
          <w:tcPr>
            <w:tcW w:w="66"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r>
      <w:tr w:rsidR="008F58A3" w:rsidTr="008F58A3">
        <w:tc>
          <w:tcPr>
            <w:tcW w:w="2169" w:type="pct"/>
            <w:tcBorders>
              <w:top w:val="nil"/>
              <w:left w:val="nil"/>
              <w:bottom w:val="nil"/>
              <w:right w:val="nil"/>
              <w:tl2br w:val="nil"/>
              <w:tr2bl w:val="nil"/>
            </w:tcBorders>
            <w:shd w:val="clear" w:color="auto" w:fill="auto"/>
          </w:tcPr>
          <w:p w:rsidR="008F58A3" w:rsidRDefault="008F58A3" w:rsidP="008F58A3">
            <w:pPr>
              <w:rPr>
                <w:color w:val="000000"/>
                <w:sz w:val="16"/>
              </w:rPr>
            </w:pPr>
            <w:r>
              <w:rPr>
                <w:rFonts w:ascii="Times New Roman" w:eastAsia="Times New Roman" w:hAnsi="Times New Roman" w:cs="Times New Roman"/>
                <w:color w:val="000000"/>
                <w:sz w:val="16"/>
              </w:rPr>
              <w:t>(Dollars in thousands)</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0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WAR</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0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WAR</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0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85"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WAR</w:t>
            </w:r>
          </w:p>
        </w:tc>
        <w:tc>
          <w:tcPr>
            <w:tcW w:w="66"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r>
      <w:tr w:rsidR="008F58A3" w:rsidTr="008F58A3">
        <w:tc>
          <w:tcPr>
            <w:tcW w:w="2169"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Loans held for investment balances at period end:</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66" w:type="pct"/>
            <w:tcBorders>
              <w:top w:val="nil"/>
              <w:left w:val="nil"/>
              <w:bottom w:val="nil"/>
              <w:right w:val="nil"/>
              <w:tl2br w:val="nil"/>
              <w:tr2bl w:val="nil"/>
            </w:tcBorders>
            <w:shd w:val="clear" w:color="auto" w:fill="CCEEFF"/>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r>
      <w:tr w:rsidR="008F58A3" w:rsidTr="008F58A3">
        <w:tc>
          <w:tcPr>
            <w:tcW w:w="2169"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 xml:space="preserve">Business loans </w:t>
            </w:r>
            <w:r>
              <w:rPr>
                <w:rFonts w:ascii="Times New Roman" w:eastAsia="Times New Roman" w:hAnsi="Times New Roman" w:cs="Times New Roman"/>
                <w:color w:val="000000"/>
                <w:sz w:val="16"/>
                <w:vertAlign w:val="superscript"/>
              </w:rPr>
              <w:t>(2)</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2,271,768</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6.72</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2,250,108</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6.56</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2,002,568</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5.24</w:t>
            </w:r>
          </w:p>
        </w:tc>
        <w:tc>
          <w:tcPr>
            <w:tcW w:w="6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2169"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One-to-four family residential, including condominium and cooperative apartment</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892,869</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4.39</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855,980</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4.17</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722,081</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3.77</w:t>
            </w:r>
          </w:p>
        </w:tc>
        <w:tc>
          <w:tcPr>
            <w:tcW w:w="6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169"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 xml:space="preserve">Multifamily residential and residential mixed-use </w:t>
            </w:r>
            <w:r>
              <w:rPr>
                <w:rFonts w:ascii="Times New Roman" w:eastAsia="Times New Roman" w:hAnsi="Times New Roman" w:cs="Times New Roman"/>
                <w:color w:val="000000"/>
                <w:sz w:val="16"/>
                <w:vertAlign w:val="superscript"/>
              </w:rPr>
              <w:t>(3)(4)</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4,102,024</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4.45</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4,132,358</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4.38</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3,968,244</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3.83</w:t>
            </w:r>
          </w:p>
        </w:tc>
        <w:tc>
          <w:tcPr>
            <w:tcW w:w="66"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169"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Non-owner-occupied commercial real estate</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3,374,281</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5.09</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3,406,232</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5.04</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3,174,102</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4.33</w:t>
            </w:r>
          </w:p>
        </w:tc>
        <w:tc>
          <w:tcPr>
            <w:tcW w:w="6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169"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Acquisition, development, and construction</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203,402</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8.92</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225,580</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8.99</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241,019</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5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6.75</w:t>
            </w:r>
          </w:p>
        </w:tc>
        <w:tc>
          <w:tcPr>
            <w:tcW w:w="66"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169"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Other loans</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p>
        </w:tc>
        <w:tc>
          <w:tcPr>
            <w:tcW w:w="35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6,267</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6.28</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5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6,157</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6.74</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5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8,927</w:t>
            </w:r>
          </w:p>
        </w:tc>
        <w:tc>
          <w:tcPr>
            <w:tcW w:w="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5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7.29</w:t>
            </w:r>
          </w:p>
        </w:tc>
        <w:tc>
          <w:tcPr>
            <w:tcW w:w="6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169"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Loans held for investment</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10,850,611</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5.20</w:t>
            </w:r>
          </w:p>
        </w:tc>
        <w:tc>
          <w:tcPr>
            <w:tcW w:w="85"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10,876,415</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5.12</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10,116,941</w:t>
            </w:r>
          </w:p>
        </w:tc>
        <w:tc>
          <w:tcPr>
            <w:tcW w:w="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5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4.33</w:t>
            </w:r>
          </w:p>
        </w:tc>
        <w:tc>
          <w:tcPr>
            <w:tcW w:w="6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bl>
    <w:p w:rsidR="00402A49" w:rsidRDefault="007D008B" w:rsidP="00596074">
      <w:pPr>
        <w:ind w:left="360" w:hanging="360"/>
        <w:jc w:val="both"/>
        <w:rPr>
          <w:rFonts w:ascii="Times New Roman" w:eastAsia="Times New Roman" w:hAnsi="Times New Roman" w:cs="Times New Roman"/>
          <w:vertAlign w:val="superscript"/>
        </w:rPr>
      </w:pPr>
      <w:r>
        <w:rPr>
          <w:rFonts w:ascii="Times New Roman" w:hAnsi="Times New Roman" w:cs="Times New Roman"/>
          <w:szCs w:val="24"/>
        </w:rPr>
        <w:pict w14:anchorId="0321152C">
          <v:rect id="_x0000_i1026" style="width:135pt;height:.6pt" o:hrpct="250" o:hrstd="t" o:hrnoshade="t" o:hr="t" fillcolor="black [3213]" stroked="f"/>
        </w:pict>
      </w:r>
    </w:p>
    <w:p w:rsidR="00596074" w:rsidRDefault="00596074" w:rsidP="00596074">
      <w:pPr>
        <w:ind w:left="360" w:hanging="360"/>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Weighted average rate is calculated by aggregating interest based on the current loan rate from each loan in the category, adjusted for non-accrual loans, divided by the total </w:t>
      </w:r>
      <w:r w:rsidR="00A23656">
        <w:rPr>
          <w:rFonts w:ascii="Times New Roman" w:eastAsia="Times New Roman" w:hAnsi="Times New Roman" w:cs="Times New Roman"/>
        </w:rPr>
        <w:t xml:space="preserve">balance </w:t>
      </w:r>
      <w:r>
        <w:rPr>
          <w:rFonts w:ascii="Times New Roman" w:eastAsia="Times New Roman" w:hAnsi="Times New Roman" w:cs="Times New Roman"/>
        </w:rPr>
        <w:t>of loans in the category.</w:t>
      </w:r>
    </w:p>
    <w:p w:rsidR="002C1D8A" w:rsidRDefault="002C1D8A" w:rsidP="002C1D8A">
      <w:pPr>
        <w:ind w:left="360" w:hanging="360"/>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Business loans include commercial and industrial loans</w:t>
      </w:r>
      <w:r w:rsidR="00367633">
        <w:rPr>
          <w:rFonts w:ascii="Times New Roman" w:eastAsia="Times New Roman" w:hAnsi="Times New Roman" w:cs="Times New Roman"/>
        </w:rPr>
        <w:t xml:space="preserve">, </w:t>
      </w:r>
      <w:r w:rsidR="001D6D97">
        <w:rPr>
          <w:rFonts w:ascii="Times New Roman" w:eastAsia="Times New Roman" w:hAnsi="Times New Roman" w:cs="Times New Roman"/>
        </w:rPr>
        <w:t>o</w:t>
      </w:r>
      <w:r w:rsidR="00367633">
        <w:rPr>
          <w:rFonts w:ascii="Times New Roman" w:eastAsia="Times New Roman" w:hAnsi="Times New Roman" w:cs="Times New Roman"/>
        </w:rPr>
        <w:t xml:space="preserve">wner-occupied commercial real estate loans and </w:t>
      </w:r>
      <w:r w:rsidR="00B33768">
        <w:rPr>
          <w:rFonts w:ascii="Times New Roman" w:eastAsia="Times New Roman" w:hAnsi="Times New Roman" w:cs="Times New Roman"/>
        </w:rPr>
        <w:t>Small Business Administration Paycheck Protection Program (“</w:t>
      </w:r>
      <w:r w:rsidR="00367633">
        <w:rPr>
          <w:rFonts w:ascii="Times New Roman" w:eastAsia="Times New Roman" w:hAnsi="Times New Roman" w:cs="Times New Roman"/>
        </w:rPr>
        <w:t>PP</w:t>
      </w:r>
      <w:r w:rsidR="00B33768">
        <w:rPr>
          <w:rFonts w:ascii="Times New Roman" w:eastAsia="Times New Roman" w:hAnsi="Times New Roman" w:cs="Times New Roman"/>
        </w:rPr>
        <w:t>P”)</w:t>
      </w:r>
      <w:r>
        <w:rPr>
          <w:rFonts w:ascii="Times New Roman" w:eastAsia="Times New Roman" w:hAnsi="Times New Roman" w:cs="Times New Roman"/>
        </w:rPr>
        <w:t xml:space="preserve"> loans. </w:t>
      </w:r>
    </w:p>
    <w:p w:rsidR="00596074" w:rsidRDefault="00596074" w:rsidP="00596074">
      <w:pPr>
        <w:ind w:left="360" w:hanging="360"/>
        <w:jc w:val="both"/>
        <w:rPr>
          <w:rFonts w:ascii="Times New Roman" w:eastAsia="Times New Roman" w:hAnsi="Times New Roman" w:cs="Times New Roman"/>
        </w:rPr>
      </w:pPr>
      <w:r>
        <w:rPr>
          <w:rFonts w:ascii="Times New Roman" w:eastAsia="Times New Roman" w:hAnsi="Times New Roman" w:cs="Times New Roman"/>
          <w:vertAlign w:val="superscript"/>
        </w:rPr>
        <w:t>(</w:t>
      </w:r>
      <w:r w:rsidR="002C1D8A">
        <w:rPr>
          <w:rFonts w:ascii="Times New Roman" w:eastAsia="Times New Roman" w:hAnsi="Times New Roman" w:cs="Times New Roman"/>
          <w:vertAlign w:val="superscript"/>
        </w:rPr>
        <w:t>3</w:t>
      </w:r>
      <w:r>
        <w:rPr>
          <w:rFonts w:ascii="Times New Roman" w:eastAsia="Times New Roman" w:hAnsi="Times New Roman" w:cs="Times New Roman"/>
          <w:vertAlign w:val="superscript"/>
        </w:rPr>
        <w:t>)</w:t>
      </w:r>
      <w:r>
        <w:rPr>
          <w:rFonts w:ascii="Times New Roman" w:eastAsia="Times New Roman" w:hAnsi="Times New Roman" w:cs="Times New Roman"/>
        </w:rPr>
        <w:t xml:space="preserve">    Includes </w:t>
      </w:r>
      <w:r w:rsidR="005308E2">
        <w:rPr>
          <w:rFonts w:ascii="Times New Roman" w:eastAsia="Times New Roman" w:hAnsi="Times New Roman" w:cs="Times New Roman"/>
        </w:rPr>
        <w:t xml:space="preserve">loans </w:t>
      </w:r>
      <w:r>
        <w:rPr>
          <w:rFonts w:ascii="Times New Roman" w:eastAsia="Times New Roman" w:hAnsi="Times New Roman" w:cs="Times New Roman"/>
        </w:rPr>
        <w:t xml:space="preserve">underlying </w:t>
      </w:r>
      <w:r w:rsidR="005308E2">
        <w:rPr>
          <w:rFonts w:ascii="Times New Roman" w:eastAsia="Times New Roman" w:hAnsi="Times New Roman" w:cs="Times New Roman"/>
        </w:rPr>
        <w:t xml:space="preserve">multifamily </w:t>
      </w:r>
      <w:r>
        <w:rPr>
          <w:rFonts w:ascii="Times New Roman" w:eastAsia="Times New Roman" w:hAnsi="Times New Roman" w:cs="Times New Roman"/>
        </w:rPr>
        <w:t xml:space="preserve">cooperatives. </w:t>
      </w:r>
    </w:p>
    <w:p w:rsidR="00ED1705" w:rsidRDefault="00596074" w:rsidP="00A42E89">
      <w:pPr>
        <w:ind w:left="360" w:hanging="360"/>
        <w:jc w:val="both"/>
        <w:rPr>
          <w:rFonts w:ascii="Times New Roman" w:eastAsia="Times New Roman" w:hAnsi="Times New Roman" w:cs="Times New Roman"/>
        </w:rPr>
      </w:pPr>
      <w:r>
        <w:rPr>
          <w:rFonts w:ascii="Times New Roman" w:eastAsia="Times New Roman" w:hAnsi="Times New Roman" w:cs="Times New Roman"/>
          <w:vertAlign w:val="superscript"/>
        </w:rPr>
        <w:t>(</w:t>
      </w:r>
      <w:r w:rsidR="002C1D8A">
        <w:rPr>
          <w:rFonts w:ascii="Times New Roman" w:eastAsia="Times New Roman" w:hAnsi="Times New Roman" w:cs="Times New Roman"/>
          <w:vertAlign w:val="superscript"/>
        </w:rPr>
        <w:t>4</w:t>
      </w:r>
      <w:r>
        <w:rPr>
          <w:rFonts w:ascii="Times New Roman" w:eastAsia="Times New Roman" w:hAnsi="Times New Roman" w:cs="Times New Roman"/>
          <w:vertAlign w:val="superscript"/>
        </w:rPr>
        <w:t>)</w:t>
      </w:r>
      <w:r>
        <w:rPr>
          <w:rFonts w:ascii="Times New Roman" w:eastAsia="Times New Roman" w:hAnsi="Times New Roman" w:cs="Times New Roman"/>
        </w:rPr>
        <w:t>    While the loans within this category are often considered "commercial real estate" in nature, multifamily and loans underlying cooperatives are here reported separately from commercial real estate loans in order to emphasize the residential nature of the collateral underlying this significant component of the total loan portfolio.</w:t>
      </w:r>
    </w:p>
    <w:p w:rsidR="00A42E89" w:rsidRPr="00A42E89" w:rsidRDefault="00A42E89" w:rsidP="00A42E89">
      <w:pPr>
        <w:ind w:left="360" w:hanging="360"/>
        <w:jc w:val="both"/>
        <w:rPr>
          <w:rFonts w:ascii="Times New Roman" w:eastAsia="Times New Roman" w:hAnsi="Times New Roman" w:cs="Times New Roman"/>
        </w:rPr>
      </w:pPr>
    </w:p>
    <w:p w:rsidR="001F26D7" w:rsidRDefault="001F26D7" w:rsidP="001F26D7">
      <w:pPr>
        <w:spacing w:after="200"/>
        <w:jc w:val="both"/>
        <w:rPr>
          <w:rFonts w:ascii="Times New Roman" w:hAnsi="Times New Roman" w:cs="Times New Roman"/>
          <w:color w:val="FF0000"/>
        </w:rPr>
      </w:pPr>
      <w:r>
        <w:rPr>
          <w:rFonts w:ascii="Times New Roman" w:hAnsi="Times New Roman" w:cs="Times New Roman"/>
        </w:rPr>
        <w:t>Outlined below are the loan originations</w:t>
      </w:r>
      <w:r w:rsidR="00993FC5">
        <w:rPr>
          <w:rFonts w:ascii="Times New Roman" w:hAnsi="Times New Roman" w:cs="Times New Roman"/>
        </w:rPr>
        <w:t xml:space="preserve">, </w:t>
      </w:r>
      <w:r>
        <w:rPr>
          <w:rFonts w:ascii="Times New Roman" w:hAnsi="Times New Roman" w:cs="Times New Roman"/>
        </w:rPr>
        <w:t>for the quarter</w:t>
      </w:r>
      <w:r w:rsidR="00BD3B30">
        <w:rPr>
          <w:rFonts w:ascii="Times New Roman" w:hAnsi="Times New Roman" w:cs="Times New Roman"/>
        </w:rPr>
        <w:t xml:space="preserve"> ended as indicated</w:t>
      </w:r>
      <w:r w:rsidR="00836F0A">
        <w:rPr>
          <w:rFonts w:ascii="Times New Roman" w:hAnsi="Times New Roman" w:cs="Times New Roman"/>
        </w:rPr>
        <w:t>.</w:t>
      </w:r>
      <w:r>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8"/>
        <w:gridCol w:w="249"/>
        <w:gridCol w:w="152"/>
        <w:gridCol w:w="1017"/>
        <w:gridCol w:w="248"/>
        <w:gridCol w:w="151"/>
        <w:gridCol w:w="1017"/>
        <w:gridCol w:w="248"/>
        <w:gridCol w:w="151"/>
        <w:gridCol w:w="1017"/>
        <w:gridCol w:w="242"/>
      </w:tblGrid>
      <w:tr w:rsidR="008F58A3" w:rsidTr="008F58A3">
        <w:trPr>
          <w:trHeight w:hRule="exact" w:val="20"/>
        </w:trPr>
        <w:tc>
          <w:tcPr>
            <w:tcW w:w="2920" w:type="pct"/>
            <w:tcBorders>
              <w:top w:val="nil"/>
              <w:left w:val="nil"/>
              <w:bottom w:val="nil"/>
              <w:right w:val="nil"/>
            </w:tcBorders>
            <w:vAlign w:val="bottom"/>
          </w:tcPr>
          <w:p w:rsidR="008F58A3" w:rsidRDefault="008F58A3" w:rsidP="008F58A3">
            <w:pPr>
              <w:keepNext/>
              <w:rPr>
                <w:sz w:val="2"/>
              </w:rPr>
            </w:pPr>
          </w:p>
        </w:tc>
        <w:tc>
          <w:tcPr>
            <w:tcW w:w="115" w:type="pct"/>
            <w:tcBorders>
              <w:top w:val="nil"/>
              <w:left w:val="nil"/>
              <w:bottom w:val="nil"/>
              <w:right w:val="nil"/>
            </w:tcBorders>
            <w:noWrap/>
            <w:vAlign w:val="bottom"/>
          </w:tcPr>
          <w:p w:rsidR="008F58A3" w:rsidRDefault="008F58A3" w:rsidP="008F58A3">
            <w:pPr>
              <w:keepNext/>
              <w:rPr>
                <w:sz w:val="2"/>
              </w:rPr>
            </w:pPr>
          </w:p>
        </w:tc>
        <w:tc>
          <w:tcPr>
            <w:tcW w:w="70" w:type="pct"/>
            <w:tcBorders>
              <w:top w:val="nil"/>
              <w:left w:val="nil"/>
              <w:bottom w:val="nil"/>
              <w:right w:val="nil"/>
            </w:tcBorders>
            <w:noWrap/>
            <w:vAlign w:val="bottom"/>
          </w:tcPr>
          <w:p w:rsidR="008F58A3" w:rsidRDefault="008F58A3" w:rsidP="008F58A3">
            <w:pPr>
              <w:keepNext/>
              <w:rPr>
                <w:sz w:val="2"/>
              </w:rPr>
            </w:pPr>
          </w:p>
        </w:tc>
        <w:tc>
          <w:tcPr>
            <w:tcW w:w="471" w:type="pct"/>
            <w:tcBorders>
              <w:top w:val="nil"/>
              <w:left w:val="nil"/>
              <w:bottom w:val="nil"/>
              <w:right w:val="nil"/>
            </w:tcBorders>
            <w:noWrap/>
            <w:vAlign w:val="bottom"/>
          </w:tcPr>
          <w:p w:rsidR="008F58A3" w:rsidRDefault="008F58A3" w:rsidP="008F58A3">
            <w:pPr>
              <w:keepNext/>
              <w:rPr>
                <w:sz w:val="2"/>
              </w:rPr>
            </w:pPr>
          </w:p>
        </w:tc>
        <w:tc>
          <w:tcPr>
            <w:tcW w:w="115" w:type="pct"/>
            <w:tcBorders>
              <w:top w:val="nil"/>
              <w:left w:val="nil"/>
              <w:bottom w:val="nil"/>
              <w:right w:val="nil"/>
            </w:tcBorders>
            <w:noWrap/>
            <w:vAlign w:val="bottom"/>
          </w:tcPr>
          <w:p w:rsidR="008F58A3" w:rsidRDefault="008F58A3" w:rsidP="008F58A3">
            <w:pPr>
              <w:keepNext/>
              <w:rPr>
                <w:sz w:val="2"/>
              </w:rPr>
            </w:pPr>
          </w:p>
        </w:tc>
        <w:tc>
          <w:tcPr>
            <w:tcW w:w="70" w:type="pct"/>
            <w:tcBorders>
              <w:top w:val="nil"/>
              <w:left w:val="nil"/>
              <w:bottom w:val="nil"/>
              <w:right w:val="nil"/>
            </w:tcBorders>
            <w:noWrap/>
            <w:vAlign w:val="bottom"/>
          </w:tcPr>
          <w:p w:rsidR="008F58A3" w:rsidRDefault="008F58A3" w:rsidP="008F58A3">
            <w:pPr>
              <w:keepNext/>
              <w:rPr>
                <w:sz w:val="2"/>
              </w:rPr>
            </w:pPr>
          </w:p>
        </w:tc>
        <w:tc>
          <w:tcPr>
            <w:tcW w:w="471" w:type="pct"/>
            <w:tcBorders>
              <w:top w:val="nil"/>
              <w:left w:val="nil"/>
              <w:bottom w:val="nil"/>
              <w:right w:val="nil"/>
            </w:tcBorders>
            <w:noWrap/>
            <w:vAlign w:val="bottom"/>
          </w:tcPr>
          <w:p w:rsidR="008F58A3" w:rsidRDefault="008F58A3" w:rsidP="008F58A3">
            <w:pPr>
              <w:keepNext/>
              <w:rPr>
                <w:sz w:val="2"/>
              </w:rPr>
            </w:pPr>
          </w:p>
        </w:tc>
        <w:tc>
          <w:tcPr>
            <w:tcW w:w="115" w:type="pct"/>
            <w:tcBorders>
              <w:top w:val="nil"/>
              <w:left w:val="nil"/>
              <w:bottom w:val="nil"/>
              <w:right w:val="nil"/>
            </w:tcBorders>
            <w:noWrap/>
            <w:vAlign w:val="bottom"/>
          </w:tcPr>
          <w:p w:rsidR="008F58A3" w:rsidRDefault="008F58A3" w:rsidP="008F58A3">
            <w:pPr>
              <w:keepNext/>
              <w:rPr>
                <w:sz w:val="2"/>
              </w:rPr>
            </w:pPr>
          </w:p>
        </w:tc>
        <w:tc>
          <w:tcPr>
            <w:tcW w:w="70" w:type="pct"/>
            <w:tcBorders>
              <w:top w:val="nil"/>
              <w:left w:val="nil"/>
              <w:bottom w:val="nil"/>
              <w:right w:val="nil"/>
            </w:tcBorders>
            <w:noWrap/>
            <w:vAlign w:val="bottom"/>
          </w:tcPr>
          <w:p w:rsidR="008F58A3" w:rsidRDefault="008F58A3" w:rsidP="008F58A3">
            <w:pPr>
              <w:keepNext/>
              <w:rPr>
                <w:sz w:val="2"/>
              </w:rPr>
            </w:pPr>
          </w:p>
        </w:tc>
        <w:tc>
          <w:tcPr>
            <w:tcW w:w="471" w:type="pct"/>
            <w:tcBorders>
              <w:top w:val="nil"/>
              <w:left w:val="nil"/>
              <w:bottom w:val="nil"/>
              <w:right w:val="nil"/>
            </w:tcBorders>
            <w:noWrap/>
            <w:vAlign w:val="bottom"/>
          </w:tcPr>
          <w:p w:rsidR="008F58A3" w:rsidRDefault="008F58A3" w:rsidP="008F58A3">
            <w:pPr>
              <w:keepNext/>
              <w:rPr>
                <w:sz w:val="2"/>
              </w:rPr>
            </w:pPr>
          </w:p>
        </w:tc>
        <w:tc>
          <w:tcPr>
            <w:tcW w:w="115"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2920"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8"/>
              </w:rPr>
            </w:pP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8"/>
              </w:rPr>
            </w:pPr>
          </w:p>
        </w:tc>
        <w:tc>
          <w:tcPr>
            <w:tcW w:w="1851" w:type="pct"/>
            <w:gridSpan w:val="8"/>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8"/>
              </w:rPr>
            </w:pP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rPr>
            </w:pPr>
            <w:r>
              <w:rPr>
                <w:rFonts w:ascii="Times New Roman" w:eastAsia="Times New Roman" w:hAnsi="Times New Roman" w:cs="Times New Roman"/>
                <w:color w:val="000000"/>
              </w:rPr>
              <w:t> </w:t>
            </w:r>
          </w:p>
        </w:tc>
      </w:tr>
      <w:tr w:rsidR="008F58A3" w:rsidTr="008F58A3">
        <w:tc>
          <w:tcPr>
            <w:tcW w:w="2920" w:type="pct"/>
            <w:tcBorders>
              <w:top w:val="nil"/>
              <w:left w:val="nil"/>
              <w:bottom w:val="nil"/>
              <w:right w:val="nil"/>
              <w:tl2br w:val="nil"/>
              <w:tr2bl w:val="nil"/>
            </w:tcBorders>
            <w:shd w:val="clear" w:color="auto" w:fill="auto"/>
          </w:tcPr>
          <w:p w:rsidR="008F58A3" w:rsidRDefault="008F58A3" w:rsidP="008F58A3">
            <w:pPr>
              <w:keepNext/>
              <w:keepLines/>
              <w:rPr>
                <w:color w:val="000000"/>
                <w:sz w:val="18"/>
              </w:rPr>
            </w:pPr>
            <w:r>
              <w:rPr>
                <w:rFonts w:ascii="Times New Roman" w:eastAsia="Times New Roman" w:hAnsi="Times New Roman" w:cs="Times New Roman"/>
                <w:color w:val="000000"/>
                <w:sz w:val="18"/>
              </w:rPr>
              <w:t>(Dollars in millions)</w:t>
            </w: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8"/>
              </w:rPr>
            </w:pPr>
            <w:r>
              <w:rPr>
                <w:rFonts w:ascii="Times New Roman" w:eastAsia="Times New Roman" w:hAnsi="Times New Roman" w:cs="Times New Roman"/>
                <w:color w:val="000000"/>
                <w:sz w:val="18"/>
              </w:rPr>
              <w:t>    </w:t>
            </w:r>
          </w:p>
        </w:tc>
        <w:tc>
          <w:tcPr>
            <w:tcW w:w="54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8"/>
              </w:rPr>
            </w:pPr>
            <w:r>
              <w:rPr>
                <w:rFonts w:ascii="Times New Roman" w:eastAsia="Times New Roman" w:hAnsi="Times New Roman" w:cs="Times New Roman"/>
                <w:b/>
                <w:color w:val="000000"/>
                <w:sz w:val="18"/>
              </w:rPr>
              <w:t>Q3 2023</w:t>
            </w: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8"/>
              </w:rPr>
            </w:pPr>
            <w:r>
              <w:rPr>
                <w:rFonts w:ascii="Times New Roman" w:eastAsia="Times New Roman" w:hAnsi="Times New Roman" w:cs="Times New Roman"/>
                <w:color w:val="000000"/>
                <w:sz w:val="18"/>
              </w:rPr>
              <w:t>    </w:t>
            </w:r>
          </w:p>
        </w:tc>
        <w:tc>
          <w:tcPr>
            <w:tcW w:w="54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8"/>
              </w:rPr>
            </w:pPr>
            <w:r>
              <w:rPr>
                <w:rFonts w:ascii="Times New Roman" w:eastAsia="Times New Roman" w:hAnsi="Times New Roman" w:cs="Times New Roman"/>
                <w:b/>
                <w:color w:val="000000"/>
                <w:sz w:val="18"/>
              </w:rPr>
              <w:t>Q2 2023</w:t>
            </w: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8"/>
              </w:rPr>
            </w:pPr>
            <w:r>
              <w:rPr>
                <w:rFonts w:ascii="Times New Roman" w:eastAsia="Times New Roman" w:hAnsi="Times New Roman" w:cs="Times New Roman"/>
                <w:b/>
                <w:color w:val="000000"/>
                <w:sz w:val="18"/>
              </w:rPr>
              <w:t>    </w:t>
            </w:r>
          </w:p>
        </w:tc>
        <w:tc>
          <w:tcPr>
            <w:tcW w:w="54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8"/>
              </w:rPr>
            </w:pPr>
            <w:r>
              <w:rPr>
                <w:rFonts w:ascii="Times New Roman" w:eastAsia="Times New Roman" w:hAnsi="Times New Roman" w:cs="Times New Roman"/>
                <w:b/>
                <w:color w:val="000000"/>
                <w:sz w:val="18"/>
              </w:rPr>
              <w:t>Q3 2022</w:t>
            </w:r>
          </w:p>
        </w:tc>
        <w:tc>
          <w:tcPr>
            <w:tcW w:w="115"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rPr>
            </w:pPr>
          </w:p>
        </w:tc>
      </w:tr>
      <w:tr w:rsidR="008F58A3" w:rsidTr="008F58A3">
        <w:tc>
          <w:tcPr>
            <w:tcW w:w="2920"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8"/>
              </w:rPr>
            </w:pPr>
            <w:r>
              <w:rPr>
                <w:rFonts w:ascii="Times New Roman" w:eastAsia="Times New Roman" w:hAnsi="Times New Roman" w:cs="Times New Roman"/>
                <w:color w:val="000000"/>
                <w:sz w:val="18"/>
              </w:rPr>
              <w:t>Loan originations</w:t>
            </w:r>
          </w:p>
        </w:tc>
        <w:tc>
          <w:tcPr>
            <w:tcW w:w="115"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8"/>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8"/>
              </w:rPr>
            </w:pPr>
            <w:r>
              <w:rPr>
                <w:rFonts w:ascii="Times New Roman" w:eastAsia="Times New Roman" w:hAnsi="Times New Roman" w:cs="Times New Roman"/>
                <w:b/>
                <w:color w:val="000000"/>
                <w:sz w:val="18"/>
              </w:rPr>
              <w:t>$</w:t>
            </w:r>
          </w:p>
        </w:tc>
        <w:tc>
          <w:tcPr>
            <w:tcW w:w="471"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8"/>
              </w:rPr>
            </w:pPr>
            <w:r>
              <w:rPr>
                <w:rFonts w:ascii="Times New Roman" w:eastAsia="Times New Roman" w:hAnsi="Times New Roman" w:cs="Times New Roman"/>
                <w:b/>
                <w:color w:val="000000"/>
                <w:sz w:val="18"/>
              </w:rPr>
              <w:t xml:space="preserve"> 153.4</w:t>
            </w:r>
          </w:p>
        </w:tc>
        <w:tc>
          <w:tcPr>
            <w:tcW w:w="115"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8"/>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8"/>
              </w:rPr>
            </w:pPr>
            <w:r>
              <w:rPr>
                <w:rFonts w:ascii="Times New Roman" w:eastAsia="Times New Roman" w:hAnsi="Times New Roman" w:cs="Times New Roman"/>
                <w:color w:val="000000"/>
                <w:sz w:val="18"/>
              </w:rPr>
              <w:t>$</w:t>
            </w:r>
          </w:p>
        </w:tc>
        <w:tc>
          <w:tcPr>
            <w:tcW w:w="471"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8"/>
              </w:rPr>
            </w:pPr>
            <w:r>
              <w:rPr>
                <w:rFonts w:ascii="Times New Roman" w:eastAsia="Times New Roman" w:hAnsi="Times New Roman" w:cs="Times New Roman"/>
                <w:color w:val="000000"/>
                <w:sz w:val="18"/>
              </w:rPr>
              <w:t xml:space="preserve"> 296.6</w:t>
            </w:r>
          </w:p>
        </w:tc>
        <w:tc>
          <w:tcPr>
            <w:tcW w:w="115"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8"/>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8"/>
              </w:rPr>
            </w:pPr>
            <w:r>
              <w:rPr>
                <w:rFonts w:ascii="Times New Roman" w:eastAsia="Times New Roman" w:hAnsi="Times New Roman" w:cs="Times New Roman"/>
                <w:color w:val="000000"/>
                <w:sz w:val="18"/>
              </w:rPr>
              <w:t>$</w:t>
            </w:r>
          </w:p>
        </w:tc>
        <w:tc>
          <w:tcPr>
            <w:tcW w:w="471"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8"/>
              </w:rPr>
            </w:pPr>
            <w:r>
              <w:rPr>
                <w:rFonts w:ascii="Times New Roman" w:eastAsia="Times New Roman" w:hAnsi="Times New Roman" w:cs="Times New Roman"/>
                <w:color w:val="000000"/>
                <w:sz w:val="18"/>
              </w:rPr>
              <w:t xml:space="preserve"> 800.9</w:t>
            </w:r>
          </w:p>
        </w:tc>
        <w:tc>
          <w:tcPr>
            <w:tcW w:w="115"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bl>
    <w:p w:rsidR="00A42E89" w:rsidRDefault="00A42E89">
      <w:pPr>
        <w:rPr>
          <w:rFonts w:ascii="Times New Roman" w:hAnsi="Times New Roman" w:cs="Times New Roman"/>
          <w:b/>
          <w:u w:val="single"/>
        </w:rPr>
      </w:pPr>
    </w:p>
    <w:p w:rsidR="005C0B5C" w:rsidRDefault="005C0B5C" w:rsidP="003A0C18">
      <w:pPr>
        <w:keepNext/>
        <w:keepLines/>
        <w:pageBreakBefore/>
        <w:spacing w:after="200"/>
        <w:jc w:val="both"/>
        <w:rPr>
          <w:rFonts w:ascii="Times New Roman" w:hAnsi="Times New Roman" w:cs="Times New Roman"/>
          <w:u w:val="single"/>
        </w:rPr>
      </w:pPr>
      <w:r>
        <w:rPr>
          <w:rFonts w:ascii="Times New Roman" w:hAnsi="Times New Roman" w:cs="Times New Roman"/>
          <w:b/>
          <w:u w:val="single"/>
        </w:rPr>
        <w:t>Deposits</w:t>
      </w:r>
      <w:r w:rsidR="000F5C0A">
        <w:rPr>
          <w:rFonts w:ascii="Times New Roman" w:hAnsi="Times New Roman" w:cs="Times New Roman"/>
          <w:b/>
          <w:u w:val="single"/>
        </w:rPr>
        <w:t xml:space="preserve"> and Borrowed Funds</w:t>
      </w:r>
    </w:p>
    <w:p w:rsidR="00CF4CDC" w:rsidRDefault="00CF4CDC" w:rsidP="00BF2D7F">
      <w:pPr>
        <w:spacing w:after="200"/>
        <w:jc w:val="both"/>
        <w:rPr>
          <w:rFonts w:ascii="Times New Roman" w:hAnsi="Times New Roman" w:cs="Times New Roman"/>
        </w:rPr>
      </w:pPr>
      <w:r w:rsidRPr="003C4A40">
        <w:rPr>
          <w:rFonts w:ascii="Times New Roman" w:hAnsi="Times New Roman" w:cs="Times New Roman"/>
        </w:rPr>
        <w:t xml:space="preserve">Period end total deposits </w:t>
      </w:r>
      <w:r w:rsidR="00367633" w:rsidRPr="00D34D29">
        <w:rPr>
          <w:rFonts w:ascii="Times New Roman" w:hAnsi="Times New Roman" w:cs="Times New Roman"/>
          <w:color w:val="000000" w:themeColor="text1"/>
        </w:rPr>
        <w:t>(</w:t>
      </w:r>
      <w:r w:rsidR="00B05051" w:rsidRPr="00D34D29">
        <w:rPr>
          <w:rFonts w:ascii="Times New Roman" w:hAnsi="Times New Roman" w:cs="Times New Roman"/>
          <w:color w:val="000000" w:themeColor="text1"/>
        </w:rPr>
        <w:t>in</w:t>
      </w:r>
      <w:r w:rsidR="00367633" w:rsidRPr="00D34D29">
        <w:rPr>
          <w:rFonts w:ascii="Times New Roman" w:hAnsi="Times New Roman" w:cs="Times New Roman"/>
          <w:color w:val="000000" w:themeColor="text1"/>
        </w:rPr>
        <w:t xml:space="preserve">cluding </w:t>
      </w:r>
      <w:r w:rsidR="00367633" w:rsidRPr="003C4A40">
        <w:rPr>
          <w:rFonts w:ascii="Times New Roman" w:hAnsi="Times New Roman" w:cs="Times New Roman"/>
        </w:rPr>
        <w:t xml:space="preserve">mortgage escrow deposits) </w:t>
      </w:r>
      <w:r w:rsidRPr="003C4A40">
        <w:rPr>
          <w:rFonts w:ascii="Times New Roman" w:hAnsi="Times New Roman" w:cs="Times New Roman"/>
        </w:rPr>
        <w:t xml:space="preserve">at </w:t>
      </w:r>
      <w:r w:rsidR="004D4EDF">
        <w:rPr>
          <w:rFonts w:ascii="Times New Roman" w:hAnsi="Times New Roman" w:cs="Times New Roman"/>
        </w:rPr>
        <w:t>September</w:t>
      </w:r>
      <w:r w:rsidR="00BA59F9" w:rsidRPr="003C4A40">
        <w:rPr>
          <w:rFonts w:ascii="Times New Roman" w:hAnsi="Times New Roman" w:cs="Times New Roman"/>
        </w:rPr>
        <w:t xml:space="preserve"> 30</w:t>
      </w:r>
      <w:r w:rsidRPr="003C4A40">
        <w:rPr>
          <w:rFonts w:ascii="Times New Roman" w:hAnsi="Times New Roman" w:cs="Times New Roman"/>
        </w:rPr>
        <w:t xml:space="preserve">, 2023 </w:t>
      </w:r>
      <w:r w:rsidRPr="00D34D29">
        <w:rPr>
          <w:rFonts w:ascii="Times New Roman" w:hAnsi="Times New Roman" w:cs="Times New Roman"/>
          <w:color w:val="000000" w:themeColor="text1"/>
        </w:rPr>
        <w:t>were $</w:t>
      </w:r>
      <w:r w:rsidR="00D34D29" w:rsidRPr="00D34D29">
        <w:rPr>
          <w:rFonts w:ascii="Times New Roman" w:hAnsi="Times New Roman" w:cs="Times New Roman"/>
          <w:color w:val="000000" w:themeColor="text1"/>
        </w:rPr>
        <w:t>10.64</w:t>
      </w:r>
      <w:r w:rsidRPr="00D34D29">
        <w:rPr>
          <w:rFonts w:ascii="Times New Roman" w:hAnsi="Times New Roman" w:cs="Times New Roman"/>
          <w:color w:val="000000" w:themeColor="text1"/>
        </w:rPr>
        <w:t xml:space="preserve"> billion</w:t>
      </w:r>
      <w:r w:rsidRPr="003C4A40">
        <w:rPr>
          <w:rFonts w:ascii="Times New Roman" w:hAnsi="Times New Roman" w:cs="Times New Roman"/>
        </w:rPr>
        <w:t>, compared to $</w:t>
      </w:r>
      <w:r w:rsidR="00D34D29">
        <w:rPr>
          <w:rFonts w:ascii="Times New Roman" w:hAnsi="Times New Roman" w:cs="Times New Roman"/>
        </w:rPr>
        <w:t>10.</w:t>
      </w:r>
      <w:r w:rsidR="00AB51CB">
        <w:rPr>
          <w:rFonts w:ascii="Times New Roman" w:hAnsi="Times New Roman" w:cs="Times New Roman"/>
        </w:rPr>
        <w:t>53</w:t>
      </w:r>
      <w:r w:rsidRPr="003C4A40">
        <w:rPr>
          <w:rFonts w:ascii="Times New Roman" w:hAnsi="Times New Roman" w:cs="Times New Roman"/>
        </w:rPr>
        <w:t xml:space="preserve"> billion at </w:t>
      </w:r>
      <w:r w:rsidR="004D4EDF">
        <w:rPr>
          <w:rFonts w:ascii="Times New Roman" w:hAnsi="Times New Roman" w:cs="Times New Roman"/>
        </w:rPr>
        <w:t>June</w:t>
      </w:r>
      <w:r w:rsidRPr="003C4A40">
        <w:rPr>
          <w:rFonts w:ascii="Times New Roman" w:hAnsi="Times New Roman" w:cs="Times New Roman"/>
        </w:rPr>
        <w:t xml:space="preserve"> 3</w:t>
      </w:r>
      <w:r w:rsidR="003F0F31">
        <w:rPr>
          <w:rFonts w:ascii="Times New Roman" w:hAnsi="Times New Roman" w:cs="Times New Roman"/>
        </w:rPr>
        <w:t>0</w:t>
      </w:r>
      <w:r w:rsidRPr="003C4A40">
        <w:rPr>
          <w:rFonts w:ascii="Times New Roman" w:hAnsi="Times New Roman" w:cs="Times New Roman"/>
        </w:rPr>
        <w:t>, 202</w:t>
      </w:r>
      <w:r w:rsidR="00BA59F9" w:rsidRPr="003C4A40">
        <w:rPr>
          <w:rFonts w:ascii="Times New Roman" w:hAnsi="Times New Roman" w:cs="Times New Roman"/>
        </w:rPr>
        <w:t>3</w:t>
      </w:r>
      <w:r w:rsidR="008262DF">
        <w:rPr>
          <w:rFonts w:ascii="Times New Roman" w:hAnsi="Times New Roman" w:cs="Times New Roman"/>
        </w:rPr>
        <w:t xml:space="preserve"> and $</w:t>
      </w:r>
      <w:r w:rsidR="00D34D29">
        <w:rPr>
          <w:rFonts w:ascii="Times New Roman" w:hAnsi="Times New Roman" w:cs="Times New Roman"/>
        </w:rPr>
        <w:t>10.</w:t>
      </w:r>
      <w:r w:rsidR="00AB51CB">
        <w:rPr>
          <w:rFonts w:ascii="Times New Roman" w:hAnsi="Times New Roman" w:cs="Times New Roman"/>
        </w:rPr>
        <w:t>25</w:t>
      </w:r>
      <w:r w:rsidR="008262DF">
        <w:rPr>
          <w:rFonts w:ascii="Times New Roman" w:hAnsi="Times New Roman" w:cs="Times New Roman"/>
        </w:rPr>
        <w:t xml:space="preserve"> billion at December 31, 2022</w:t>
      </w:r>
      <w:r w:rsidRPr="003C4A40">
        <w:rPr>
          <w:rFonts w:ascii="Times New Roman" w:hAnsi="Times New Roman" w:cs="Times New Roman"/>
        </w:rPr>
        <w:t>.</w:t>
      </w:r>
      <w:r w:rsidR="00B05051">
        <w:rPr>
          <w:rFonts w:ascii="Times New Roman" w:hAnsi="Times New Roman" w:cs="Times New Roman"/>
        </w:rPr>
        <w:t xml:space="preserve"> CEO Lubow commented, “During the third quarter we had good growth in business deposits driven by the deposit group hires</w:t>
      </w:r>
      <w:r w:rsidR="00A1639B">
        <w:rPr>
          <w:rFonts w:ascii="Times New Roman" w:hAnsi="Times New Roman" w:cs="Times New Roman"/>
        </w:rPr>
        <w:t xml:space="preserve"> we made in the second quarter. Given the growth in business deposits, we were able to pay down approximately $80 million</w:t>
      </w:r>
      <w:r w:rsidR="00A901AD">
        <w:rPr>
          <w:rFonts w:ascii="Times New Roman" w:hAnsi="Times New Roman" w:cs="Times New Roman"/>
        </w:rPr>
        <w:t xml:space="preserve"> of retail</w:t>
      </w:r>
      <w:r w:rsidR="00E911BB">
        <w:rPr>
          <w:rFonts w:ascii="Times New Roman" w:hAnsi="Times New Roman" w:cs="Times New Roman"/>
        </w:rPr>
        <w:t xml:space="preserve"> brokered deposits in the third quarter. Excluding brokered deposits, deposits increased approximately $200 million on </w:t>
      </w:r>
      <w:r w:rsidR="00AB51CB">
        <w:rPr>
          <w:rFonts w:ascii="Times New Roman" w:hAnsi="Times New Roman" w:cs="Times New Roman"/>
        </w:rPr>
        <w:t>a</w:t>
      </w:r>
      <w:r w:rsidR="00E911BB">
        <w:rPr>
          <w:rFonts w:ascii="Times New Roman" w:hAnsi="Times New Roman" w:cs="Times New Roman"/>
        </w:rPr>
        <w:t xml:space="preserve"> linked quarter basis.”</w:t>
      </w:r>
    </w:p>
    <w:p w:rsidR="00E911BB" w:rsidRDefault="00E911BB" w:rsidP="00BF2D7F">
      <w:pPr>
        <w:spacing w:after="200"/>
        <w:jc w:val="both"/>
        <w:rPr>
          <w:rFonts w:ascii="Times New Roman" w:hAnsi="Times New Roman" w:cs="Times New Roman"/>
        </w:rPr>
      </w:pPr>
      <w:r>
        <w:rPr>
          <w:rFonts w:ascii="Times New Roman" w:hAnsi="Times New Roman" w:cs="Times New Roman"/>
        </w:rPr>
        <w:t xml:space="preserve">Total Federal Home Loan </w:t>
      </w:r>
      <w:r w:rsidR="008F58A3">
        <w:rPr>
          <w:rFonts w:ascii="Times New Roman" w:hAnsi="Times New Roman" w:cs="Times New Roman"/>
        </w:rPr>
        <w:t xml:space="preserve">Bank </w:t>
      </w:r>
      <w:r>
        <w:rPr>
          <w:rFonts w:ascii="Times New Roman" w:hAnsi="Times New Roman" w:cs="Times New Roman"/>
        </w:rPr>
        <w:t>advances were $</w:t>
      </w:r>
      <w:r w:rsidR="00D34D29">
        <w:rPr>
          <w:rFonts w:ascii="Times New Roman" w:hAnsi="Times New Roman" w:cs="Times New Roman"/>
        </w:rPr>
        <w:t>1.12</w:t>
      </w:r>
      <w:r>
        <w:rPr>
          <w:rFonts w:ascii="Times New Roman" w:hAnsi="Times New Roman" w:cs="Times New Roman"/>
        </w:rPr>
        <w:t xml:space="preserve"> billion at September 30, 2023 compared to $</w:t>
      </w:r>
      <w:r w:rsidR="00D34D29">
        <w:rPr>
          <w:rFonts w:ascii="Times New Roman" w:hAnsi="Times New Roman" w:cs="Times New Roman"/>
        </w:rPr>
        <w:t>1.45</w:t>
      </w:r>
      <w:r>
        <w:rPr>
          <w:rFonts w:ascii="Times New Roman" w:hAnsi="Times New Roman" w:cs="Times New Roman"/>
        </w:rPr>
        <w:t xml:space="preserve"> billion at June 30, 2023. Mr. Lubow stated</w:t>
      </w:r>
      <w:r w:rsidR="000B36F0">
        <w:rPr>
          <w:rFonts w:ascii="Times New Roman" w:hAnsi="Times New Roman" w:cs="Times New Roman"/>
        </w:rPr>
        <w:t>,</w:t>
      </w:r>
      <w:r>
        <w:rPr>
          <w:rFonts w:ascii="Times New Roman" w:hAnsi="Times New Roman" w:cs="Times New Roman"/>
        </w:rPr>
        <w:t xml:space="preserve"> “During the third quarter we proactively paid down our Federal </w:t>
      </w:r>
      <w:r w:rsidR="00F34D3A">
        <w:rPr>
          <w:rFonts w:ascii="Times New Roman" w:hAnsi="Times New Roman" w:cs="Times New Roman"/>
        </w:rPr>
        <w:t xml:space="preserve">Home </w:t>
      </w:r>
      <w:r w:rsidR="004A6AEF">
        <w:rPr>
          <w:rFonts w:ascii="Times New Roman" w:hAnsi="Times New Roman" w:cs="Times New Roman"/>
        </w:rPr>
        <w:t xml:space="preserve">Loan </w:t>
      </w:r>
      <w:r>
        <w:rPr>
          <w:rFonts w:ascii="Times New Roman" w:hAnsi="Times New Roman" w:cs="Times New Roman"/>
        </w:rPr>
        <w:t>Bank advance portfolio and we remain focused on operating a core deposit-funded institution.”</w:t>
      </w:r>
    </w:p>
    <w:p w:rsidR="00BF2D7F" w:rsidRDefault="00BF2D7F" w:rsidP="008262DF">
      <w:pPr>
        <w:keepNext/>
        <w:keepLines/>
        <w:spacing w:after="200"/>
        <w:jc w:val="both"/>
        <w:rPr>
          <w:rFonts w:ascii="Times New Roman" w:hAnsi="Times New Roman" w:cs="Times New Roman"/>
          <w:u w:val="single"/>
        </w:rPr>
      </w:pPr>
      <w:r>
        <w:rPr>
          <w:rFonts w:ascii="Times New Roman" w:hAnsi="Times New Roman" w:cs="Times New Roman"/>
          <w:b/>
          <w:u w:val="single"/>
        </w:rPr>
        <w:t>Non-Interest Income</w:t>
      </w:r>
    </w:p>
    <w:p w:rsidR="00832B90" w:rsidRDefault="00CF4CDC" w:rsidP="008262DF">
      <w:pPr>
        <w:keepNext/>
        <w:keepLines/>
        <w:spacing w:after="200"/>
        <w:jc w:val="both"/>
        <w:rPr>
          <w:rFonts w:ascii="Times New Roman" w:hAnsi="Times New Roman" w:cs="Times New Roman"/>
        </w:rPr>
      </w:pPr>
      <w:r>
        <w:rPr>
          <w:rFonts w:ascii="Times New Roman" w:hAnsi="Times New Roman" w:cs="Times New Roman"/>
        </w:rPr>
        <w:t>Non-interest income was $</w:t>
      </w:r>
      <w:r w:rsidR="00D34D29">
        <w:rPr>
          <w:rFonts w:ascii="Times New Roman" w:hAnsi="Times New Roman" w:cs="Times New Roman"/>
        </w:rPr>
        <w:t>7.9</w:t>
      </w:r>
      <w:r>
        <w:rPr>
          <w:rFonts w:ascii="Times New Roman" w:hAnsi="Times New Roman" w:cs="Times New Roman"/>
        </w:rPr>
        <w:t xml:space="preserve"> million during the </w:t>
      </w:r>
      <w:r w:rsidR="00B03DF0">
        <w:rPr>
          <w:rFonts w:ascii="Times New Roman" w:hAnsi="Times New Roman" w:cs="Times New Roman"/>
        </w:rPr>
        <w:t>third</w:t>
      </w:r>
      <w:r>
        <w:rPr>
          <w:rFonts w:ascii="Times New Roman" w:hAnsi="Times New Roman" w:cs="Times New Roman"/>
        </w:rPr>
        <w:t xml:space="preserve"> quarter of 2023, </w:t>
      </w:r>
      <w:r w:rsidR="00CB1FC0">
        <w:rPr>
          <w:rFonts w:ascii="Times New Roman" w:hAnsi="Times New Roman" w:cs="Times New Roman"/>
        </w:rPr>
        <w:t>$</w:t>
      </w:r>
      <w:r w:rsidR="003A0C18">
        <w:rPr>
          <w:rFonts w:ascii="Times New Roman" w:hAnsi="Times New Roman" w:cs="Times New Roman"/>
        </w:rPr>
        <w:t>10.4</w:t>
      </w:r>
      <w:r w:rsidR="00CB1FC0">
        <w:rPr>
          <w:rFonts w:ascii="Times New Roman" w:hAnsi="Times New Roman" w:cs="Times New Roman"/>
        </w:rPr>
        <w:t xml:space="preserve"> million during the </w:t>
      </w:r>
      <w:r w:rsidR="00B03DF0">
        <w:rPr>
          <w:rFonts w:ascii="Times New Roman" w:hAnsi="Times New Roman" w:cs="Times New Roman"/>
        </w:rPr>
        <w:t>second</w:t>
      </w:r>
      <w:r w:rsidR="00CB1FC0">
        <w:rPr>
          <w:rFonts w:ascii="Times New Roman" w:hAnsi="Times New Roman" w:cs="Times New Roman"/>
        </w:rPr>
        <w:t xml:space="preserve"> quarter of 2023, and </w:t>
      </w:r>
      <w:r>
        <w:rPr>
          <w:rFonts w:ascii="Times New Roman" w:hAnsi="Times New Roman" w:cs="Times New Roman"/>
        </w:rPr>
        <w:t>$</w:t>
      </w:r>
      <w:r w:rsidR="003A0C18">
        <w:rPr>
          <w:rFonts w:ascii="Times New Roman" w:hAnsi="Times New Roman" w:cs="Times New Roman"/>
        </w:rPr>
        <w:t>9.4</w:t>
      </w:r>
      <w:r>
        <w:rPr>
          <w:rFonts w:ascii="Times New Roman" w:hAnsi="Times New Roman" w:cs="Times New Roman"/>
        </w:rPr>
        <w:t xml:space="preserve"> million during the </w:t>
      </w:r>
      <w:r w:rsidR="00B03DF0">
        <w:rPr>
          <w:rFonts w:ascii="Times New Roman" w:hAnsi="Times New Roman" w:cs="Times New Roman"/>
        </w:rPr>
        <w:t>third</w:t>
      </w:r>
      <w:r>
        <w:rPr>
          <w:rFonts w:ascii="Times New Roman" w:hAnsi="Times New Roman" w:cs="Times New Roman"/>
        </w:rPr>
        <w:t xml:space="preserve"> quarter of 2022</w:t>
      </w:r>
      <w:r w:rsidR="00A64E7F">
        <w:rPr>
          <w:rFonts w:ascii="Times New Roman" w:hAnsi="Times New Roman" w:cs="Times New Roman"/>
        </w:rPr>
        <w:t xml:space="preserve">. Included in non-interest income </w:t>
      </w:r>
      <w:r w:rsidR="000B36F0">
        <w:rPr>
          <w:rFonts w:ascii="Times New Roman" w:hAnsi="Times New Roman" w:cs="Times New Roman"/>
        </w:rPr>
        <w:t xml:space="preserve">for the second quarter of 2023 </w:t>
      </w:r>
      <w:r w:rsidR="0088455B">
        <w:rPr>
          <w:rFonts w:ascii="Times New Roman" w:hAnsi="Times New Roman" w:cs="Times New Roman"/>
        </w:rPr>
        <w:t>was income</w:t>
      </w:r>
      <w:r w:rsidR="000B36F0">
        <w:rPr>
          <w:rFonts w:ascii="Times New Roman" w:hAnsi="Times New Roman" w:cs="Times New Roman"/>
        </w:rPr>
        <w:t xml:space="preserve"> </w:t>
      </w:r>
      <w:r w:rsidR="0088455B">
        <w:rPr>
          <w:rFonts w:ascii="Times New Roman" w:hAnsi="Times New Roman" w:cs="Times New Roman"/>
        </w:rPr>
        <w:t>related to mortality proceeds from a death claim of $</w:t>
      </w:r>
      <w:r w:rsidR="00C97754">
        <w:rPr>
          <w:rFonts w:ascii="Times New Roman" w:hAnsi="Times New Roman" w:cs="Times New Roman"/>
        </w:rPr>
        <w:t>645 thousand</w:t>
      </w:r>
      <w:r w:rsidR="003A0C18">
        <w:rPr>
          <w:rFonts w:ascii="Times New Roman" w:hAnsi="Times New Roman" w:cs="Times New Roman"/>
        </w:rPr>
        <w:t>. Included in non-interest income during the third quarter of 2022 was a $1.4 million</w:t>
      </w:r>
      <w:r w:rsidR="00B076C5">
        <w:rPr>
          <w:rFonts w:ascii="Times New Roman" w:hAnsi="Times New Roman" w:cs="Times New Roman"/>
        </w:rPr>
        <w:t xml:space="preserve"> gain on the sale of a branch property.</w:t>
      </w:r>
    </w:p>
    <w:p w:rsidR="00BF2D7F" w:rsidRDefault="00BF2D7F" w:rsidP="00BF2D7F">
      <w:pPr>
        <w:spacing w:after="200"/>
        <w:jc w:val="both"/>
        <w:rPr>
          <w:rFonts w:ascii="Times New Roman" w:hAnsi="Times New Roman" w:cs="Times New Roman"/>
          <w:u w:val="single"/>
        </w:rPr>
      </w:pPr>
      <w:r>
        <w:rPr>
          <w:rFonts w:ascii="Times New Roman" w:hAnsi="Times New Roman" w:cs="Times New Roman"/>
          <w:b/>
          <w:u w:val="single"/>
        </w:rPr>
        <w:t>Non-Interest Expense</w:t>
      </w:r>
    </w:p>
    <w:p w:rsidR="00BF2D7F" w:rsidRDefault="00BF2D7F" w:rsidP="00BF2D7F">
      <w:pPr>
        <w:spacing w:after="200"/>
        <w:jc w:val="both"/>
        <w:rPr>
          <w:rFonts w:ascii="Times New Roman" w:hAnsi="Times New Roman" w:cs="Times New Roman"/>
        </w:rPr>
      </w:pPr>
      <w:r>
        <w:rPr>
          <w:rFonts w:ascii="Times New Roman" w:hAnsi="Times New Roman" w:cs="Times New Roman"/>
        </w:rPr>
        <w:t>Total non-interest expense was $</w:t>
      </w:r>
      <w:r w:rsidR="00D34D29">
        <w:rPr>
          <w:rFonts w:ascii="Times New Roman" w:hAnsi="Times New Roman" w:cs="Times New Roman"/>
        </w:rPr>
        <w:t>59.5</w:t>
      </w:r>
      <w:r>
        <w:rPr>
          <w:rFonts w:ascii="Times New Roman" w:hAnsi="Times New Roman" w:cs="Times New Roman"/>
        </w:rPr>
        <w:t xml:space="preserve"> million during the </w:t>
      </w:r>
      <w:r w:rsidR="00B03DF0">
        <w:rPr>
          <w:rFonts w:ascii="Times New Roman" w:hAnsi="Times New Roman" w:cs="Times New Roman"/>
        </w:rPr>
        <w:t>third</w:t>
      </w:r>
      <w:r>
        <w:rPr>
          <w:rFonts w:ascii="Times New Roman" w:hAnsi="Times New Roman" w:cs="Times New Roman"/>
        </w:rPr>
        <w:t xml:space="preserve"> quarter of 202</w:t>
      </w:r>
      <w:r w:rsidR="00865905">
        <w:rPr>
          <w:rFonts w:ascii="Times New Roman" w:hAnsi="Times New Roman" w:cs="Times New Roman"/>
        </w:rPr>
        <w:t>3</w:t>
      </w:r>
      <w:r>
        <w:rPr>
          <w:rFonts w:ascii="Times New Roman" w:hAnsi="Times New Roman" w:cs="Times New Roman"/>
        </w:rPr>
        <w:t>, $</w:t>
      </w:r>
      <w:r w:rsidR="00B076C5">
        <w:rPr>
          <w:rFonts w:ascii="Times New Roman" w:hAnsi="Times New Roman" w:cs="Times New Roman"/>
        </w:rPr>
        <w:t>52.2</w:t>
      </w:r>
      <w:r>
        <w:rPr>
          <w:rFonts w:ascii="Times New Roman" w:hAnsi="Times New Roman" w:cs="Times New Roman"/>
        </w:rPr>
        <w:t xml:space="preserve"> million during the</w:t>
      </w:r>
      <w:r w:rsidR="00D65644">
        <w:rPr>
          <w:rFonts w:ascii="Times New Roman" w:hAnsi="Times New Roman" w:cs="Times New Roman"/>
        </w:rPr>
        <w:t xml:space="preserve"> </w:t>
      </w:r>
      <w:r w:rsidR="00B03DF0">
        <w:rPr>
          <w:rFonts w:ascii="Times New Roman" w:hAnsi="Times New Roman" w:cs="Times New Roman"/>
        </w:rPr>
        <w:t>second</w:t>
      </w:r>
      <w:r>
        <w:rPr>
          <w:rFonts w:ascii="Times New Roman" w:hAnsi="Times New Roman" w:cs="Times New Roman"/>
        </w:rPr>
        <w:t xml:space="preserve"> quarter of 202</w:t>
      </w:r>
      <w:r w:rsidR="0026135D">
        <w:rPr>
          <w:rFonts w:ascii="Times New Roman" w:hAnsi="Times New Roman" w:cs="Times New Roman"/>
        </w:rPr>
        <w:t>3</w:t>
      </w:r>
      <w:r>
        <w:rPr>
          <w:rFonts w:ascii="Times New Roman" w:hAnsi="Times New Roman" w:cs="Times New Roman"/>
        </w:rPr>
        <w:t>, and $</w:t>
      </w:r>
      <w:r w:rsidR="00B076C5">
        <w:rPr>
          <w:rFonts w:ascii="Times New Roman" w:hAnsi="Times New Roman" w:cs="Times New Roman"/>
        </w:rPr>
        <w:t xml:space="preserve">48.3 </w:t>
      </w:r>
      <w:r>
        <w:rPr>
          <w:rFonts w:ascii="Times New Roman" w:hAnsi="Times New Roman" w:cs="Times New Roman"/>
        </w:rPr>
        <w:t xml:space="preserve">million during the </w:t>
      </w:r>
      <w:r w:rsidR="00B03DF0">
        <w:rPr>
          <w:rFonts w:ascii="Times New Roman" w:hAnsi="Times New Roman" w:cs="Times New Roman"/>
        </w:rPr>
        <w:t>third</w:t>
      </w:r>
      <w:r>
        <w:rPr>
          <w:rFonts w:ascii="Times New Roman" w:hAnsi="Times New Roman" w:cs="Times New Roman"/>
        </w:rPr>
        <w:t xml:space="preserve"> quarter of 202</w:t>
      </w:r>
      <w:r w:rsidR="00865905">
        <w:rPr>
          <w:rFonts w:ascii="Times New Roman" w:hAnsi="Times New Roman" w:cs="Times New Roman"/>
        </w:rPr>
        <w:t>2</w:t>
      </w:r>
      <w:r>
        <w:rPr>
          <w:rFonts w:ascii="Times New Roman" w:hAnsi="Times New Roman" w:cs="Times New Roman"/>
        </w:rPr>
        <w:t xml:space="preserve">. Excluding the impact of </w:t>
      </w:r>
      <w:r w:rsidR="00883E0A">
        <w:rPr>
          <w:rFonts w:ascii="Times New Roman" w:hAnsi="Times New Roman" w:cs="Times New Roman"/>
        </w:rPr>
        <w:t xml:space="preserve">severance expense, </w:t>
      </w:r>
      <w:r w:rsidR="00AF5381">
        <w:rPr>
          <w:rFonts w:ascii="Times New Roman" w:hAnsi="Times New Roman" w:cs="Times New Roman"/>
        </w:rPr>
        <w:t xml:space="preserve">loss on extinguishment of debt, </w:t>
      </w:r>
      <w:r w:rsidR="00883E0A">
        <w:rPr>
          <w:rFonts w:ascii="Times New Roman" w:hAnsi="Times New Roman" w:cs="Times New Roman"/>
        </w:rPr>
        <w:t xml:space="preserve">and amortization of other intangible assets, </w:t>
      </w:r>
      <w:r>
        <w:rPr>
          <w:rFonts w:ascii="Times New Roman" w:hAnsi="Times New Roman" w:cs="Times New Roman"/>
        </w:rPr>
        <w:t xml:space="preserve">adjusted non-interest </w:t>
      </w:r>
      <w:r w:rsidRPr="003C4A40">
        <w:rPr>
          <w:rFonts w:ascii="Times New Roman" w:hAnsi="Times New Roman" w:cs="Times New Roman"/>
        </w:rPr>
        <w:t xml:space="preserve">expense was </w:t>
      </w:r>
      <w:r w:rsidR="00883E0A" w:rsidRPr="003C4A40">
        <w:rPr>
          <w:rFonts w:ascii="Times New Roman" w:hAnsi="Times New Roman" w:cs="Times New Roman"/>
        </w:rPr>
        <w:t>$</w:t>
      </w:r>
      <w:r w:rsidR="00782624">
        <w:rPr>
          <w:rFonts w:ascii="Times New Roman" w:hAnsi="Times New Roman" w:cs="Times New Roman"/>
        </w:rPr>
        <w:t>50.6</w:t>
      </w:r>
      <w:r w:rsidR="000F4B1D" w:rsidRPr="003C4A40">
        <w:rPr>
          <w:rFonts w:ascii="Times New Roman" w:hAnsi="Times New Roman" w:cs="Times New Roman"/>
        </w:rPr>
        <w:t xml:space="preserve"> </w:t>
      </w:r>
      <w:r w:rsidR="00883E0A" w:rsidRPr="003C4A40">
        <w:rPr>
          <w:rFonts w:ascii="Times New Roman" w:hAnsi="Times New Roman" w:cs="Times New Roman"/>
        </w:rPr>
        <w:t>million</w:t>
      </w:r>
      <w:r w:rsidR="00883E0A">
        <w:rPr>
          <w:rFonts w:ascii="Times New Roman" w:hAnsi="Times New Roman" w:cs="Times New Roman"/>
        </w:rPr>
        <w:t xml:space="preserve"> during the </w:t>
      </w:r>
      <w:r w:rsidR="00B03DF0">
        <w:rPr>
          <w:rFonts w:ascii="Times New Roman" w:hAnsi="Times New Roman" w:cs="Times New Roman"/>
        </w:rPr>
        <w:t>third</w:t>
      </w:r>
      <w:r w:rsidR="00865905">
        <w:rPr>
          <w:rFonts w:ascii="Times New Roman" w:hAnsi="Times New Roman" w:cs="Times New Roman"/>
        </w:rPr>
        <w:t xml:space="preserve"> </w:t>
      </w:r>
      <w:r w:rsidR="00883E0A">
        <w:rPr>
          <w:rFonts w:ascii="Times New Roman" w:hAnsi="Times New Roman" w:cs="Times New Roman"/>
        </w:rPr>
        <w:t>quarter of 202</w:t>
      </w:r>
      <w:r w:rsidR="00865905">
        <w:rPr>
          <w:rFonts w:ascii="Times New Roman" w:hAnsi="Times New Roman" w:cs="Times New Roman"/>
        </w:rPr>
        <w:t>3</w:t>
      </w:r>
      <w:r w:rsidR="00883E0A">
        <w:rPr>
          <w:rFonts w:ascii="Times New Roman" w:hAnsi="Times New Roman" w:cs="Times New Roman"/>
        </w:rPr>
        <w:t xml:space="preserve">, </w:t>
      </w:r>
      <w:r>
        <w:rPr>
          <w:rFonts w:ascii="Times New Roman" w:hAnsi="Times New Roman" w:cs="Times New Roman"/>
        </w:rPr>
        <w:t>$</w:t>
      </w:r>
      <w:r w:rsidR="00C15277">
        <w:rPr>
          <w:rFonts w:ascii="Times New Roman" w:hAnsi="Times New Roman" w:cs="Times New Roman"/>
        </w:rPr>
        <w:t>51.4</w:t>
      </w:r>
      <w:r w:rsidR="008E0763">
        <w:rPr>
          <w:rFonts w:ascii="Times New Roman" w:hAnsi="Times New Roman" w:cs="Times New Roman"/>
        </w:rPr>
        <w:t xml:space="preserve"> million</w:t>
      </w:r>
      <w:r>
        <w:rPr>
          <w:rFonts w:ascii="Times New Roman" w:hAnsi="Times New Roman" w:cs="Times New Roman"/>
        </w:rPr>
        <w:t xml:space="preserve"> during the </w:t>
      </w:r>
      <w:r w:rsidR="00B03DF0">
        <w:rPr>
          <w:rFonts w:ascii="Times New Roman" w:hAnsi="Times New Roman" w:cs="Times New Roman"/>
        </w:rPr>
        <w:t>second</w:t>
      </w:r>
      <w:r>
        <w:rPr>
          <w:rFonts w:ascii="Times New Roman" w:hAnsi="Times New Roman" w:cs="Times New Roman"/>
        </w:rPr>
        <w:t xml:space="preserve"> quarter of 202</w:t>
      </w:r>
      <w:r w:rsidR="00AF5381">
        <w:rPr>
          <w:rFonts w:ascii="Times New Roman" w:hAnsi="Times New Roman" w:cs="Times New Roman"/>
        </w:rPr>
        <w:t>3</w:t>
      </w:r>
      <w:r w:rsidR="00883E0A">
        <w:rPr>
          <w:rFonts w:ascii="Times New Roman" w:hAnsi="Times New Roman" w:cs="Times New Roman"/>
        </w:rPr>
        <w:t>,</w:t>
      </w:r>
      <w:r>
        <w:rPr>
          <w:rFonts w:ascii="Times New Roman" w:hAnsi="Times New Roman" w:cs="Times New Roman"/>
        </w:rPr>
        <w:t xml:space="preserve"> </w:t>
      </w:r>
      <w:r w:rsidR="00883E0A">
        <w:rPr>
          <w:rFonts w:ascii="Times New Roman" w:hAnsi="Times New Roman" w:cs="Times New Roman"/>
        </w:rPr>
        <w:t xml:space="preserve">and </w:t>
      </w:r>
      <w:r>
        <w:rPr>
          <w:rFonts w:ascii="Times New Roman" w:hAnsi="Times New Roman" w:cs="Times New Roman"/>
        </w:rPr>
        <w:t>$</w:t>
      </w:r>
      <w:r w:rsidR="00AF5381">
        <w:rPr>
          <w:rFonts w:ascii="Times New Roman" w:hAnsi="Times New Roman" w:cs="Times New Roman"/>
        </w:rPr>
        <w:t>4</w:t>
      </w:r>
      <w:r w:rsidR="00B076C5">
        <w:rPr>
          <w:rFonts w:ascii="Times New Roman" w:hAnsi="Times New Roman" w:cs="Times New Roman"/>
        </w:rPr>
        <w:t>7.9</w:t>
      </w:r>
      <w:r>
        <w:rPr>
          <w:rFonts w:ascii="Times New Roman" w:hAnsi="Times New Roman" w:cs="Times New Roman"/>
        </w:rPr>
        <w:t xml:space="preserve"> million during the </w:t>
      </w:r>
      <w:r w:rsidR="00B03DF0">
        <w:rPr>
          <w:rFonts w:ascii="Times New Roman" w:hAnsi="Times New Roman" w:cs="Times New Roman"/>
        </w:rPr>
        <w:t>third</w:t>
      </w:r>
      <w:r>
        <w:rPr>
          <w:rFonts w:ascii="Times New Roman" w:hAnsi="Times New Roman" w:cs="Times New Roman"/>
        </w:rPr>
        <w:t xml:space="preserve"> quarter of 202</w:t>
      </w:r>
      <w:r w:rsidR="00865905">
        <w:rPr>
          <w:rFonts w:ascii="Times New Roman" w:hAnsi="Times New Roman" w:cs="Times New Roman"/>
        </w:rPr>
        <w:t>2</w:t>
      </w:r>
      <w:r>
        <w:rPr>
          <w:rFonts w:ascii="Times New Roman" w:hAnsi="Times New Roman" w:cs="Times New Roman"/>
        </w:rPr>
        <w:t xml:space="preserve"> (see “Non-GAAP Reconciliation” table</w:t>
      </w:r>
      <w:r w:rsidR="00832B90">
        <w:rPr>
          <w:rFonts w:ascii="Times New Roman" w:hAnsi="Times New Roman" w:cs="Times New Roman"/>
        </w:rPr>
        <w:t>s</w:t>
      </w:r>
      <w:r>
        <w:rPr>
          <w:rFonts w:ascii="Times New Roman" w:hAnsi="Times New Roman" w:cs="Times New Roman"/>
        </w:rPr>
        <w:t xml:space="preserve"> at the end of this news release).</w:t>
      </w:r>
    </w:p>
    <w:p w:rsidR="00BF2D7F" w:rsidRDefault="00BF2D7F" w:rsidP="00BF2D7F">
      <w:pPr>
        <w:spacing w:after="200"/>
        <w:jc w:val="both"/>
        <w:rPr>
          <w:rFonts w:ascii="Times New Roman" w:hAnsi="Times New Roman" w:cs="Times New Roman"/>
        </w:rPr>
      </w:pPr>
      <w:r>
        <w:rPr>
          <w:rFonts w:ascii="Times New Roman" w:hAnsi="Times New Roman" w:cs="Times New Roman"/>
        </w:rPr>
        <w:t xml:space="preserve">The ratio of non-interest expense to average assets was </w:t>
      </w:r>
      <w:r w:rsidR="00782624">
        <w:rPr>
          <w:rFonts w:ascii="Times New Roman" w:hAnsi="Times New Roman" w:cs="Times New Roman"/>
        </w:rPr>
        <w:t>1.73</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quarter of 202</w:t>
      </w:r>
      <w:r w:rsidR="00CF4CDC">
        <w:rPr>
          <w:rFonts w:ascii="Times New Roman" w:hAnsi="Times New Roman" w:cs="Times New Roman"/>
        </w:rPr>
        <w:t>3</w:t>
      </w:r>
      <w:r>
        <w:rPr>
          <w:rFonts w:ascii="Times New Roman" w:hAnsi="Times New Roman" w:cs="Times New Roman"/>
        </w:rPr>
        <w:t xml:space="preserve">, compared to </w:t>
      </w:r>
      <w:r w:rsidR="005018FC">
        <w:rPr>
          <w:rFonts w:ascii="Times New Roman" w:hAnsi="Times New Roman" w:cs="Times New Roman"/>
        </w:rPr>
        <w:t>1.</w:t>
      </w:r>
      <w:r w:rsidR="00315F4D">
        <w:rPr>
          <w:rFonts w:ascii="Times New Roman" w:hAnsi="Times New Roman" w:cs="Times New Roman"/>
        </w:rPr>
        <w:t>5</w:t>
      </w:r>
      <w:r w:rsidR="00C15277">
        <w:rPr>
          <w:rFonts w:ascii="Times New Roman" w:hAnsi="Times New Roman" w:cs="Times New Roman"/>
        </w:rPr>
        <w:t>3</w:t>
      </w:r>
      <w:r>
        <w:rPr>
          <w:rFonts w:ascii="Times New Roman" w:hAnsi="Times New Roman" w:cs="Times New Roman"/>
        </w:rPr>
        <w:t xml:space="preserve">% during the linked quarter and </w:t>
      </w:r>
      <w:r w:rsidR="00B94A6C">
        <w:rPr>
          <w:rFonts w:ascii="Times New Roman" w:hAnsi="Times New Roman" w:cs="Times New Roman"/>
        </w:rPr>
        <w:t>1.</w:t>
      </w:r>
      <w:r w:rsidR="00315F4D">
        <w:rPr>
          <w:rFonts w:ascii="Times New Roman" w:hAnsi="Times New Roman" w:cs="Times New Roman"/>
        </w:rPr>
        <w:t>54</w:t>
      </w:r>
      <w:r>
        <w:rPr>
          <w:rFonts w:ascii="Times New Roman" w:hAnsi="Times New Roman" w:cs="Times New Roman"/>
        </w:rPr>
        <w:t xml:space="preserve">% for the </w:t>
      </w:r>
      <w:r w:rsidR="00B03DF0">
        <w:rPr>
          <w:rFonts w:ascii="Times New Roman" w:hAnsi="Times New Roman" w:cs="Times New Roman"/>
        </w:rPr>
        <w:t>third</w:t>
      </w:r>
      <w:r>
        <w:rPr>
          <w:rFonts w:ascii="Times New Roman" w:hAnsi="Times New Roman" w:cs="Times New Roman"/>
        </w:rPr>
        <w:t xml:space="preserve"> quarter of 202</w:t>
      </w:r>
      <w:r w:rsidR="003638F6">
        <w:rPr>
          <w:rFonts w:ascii="Times New Roman" w:hAnsi="Times New Roman" w:cs="Times New Roman"/>
        </w:rPr>
        <w:t>2</w:t>
      </w:r>
      <w:r w:rsidR="000F0850">
        <w:rPr>
          <w:rFonts w:ascii="Times New Roman" w:hAnsi="Times New Roman" w:cs="Times New Roman"/>
        </w:rPr>
        <w:t>.</w:t>
      </w:r>
      <w:r>
        <w:rPr>
          <w:rFonts w:ascii="Times New Roman" w:hAnsi="Times New Roman" w:cs="Times New Roman"/>
        </w:rPr>
        <w:t xml:space="preserve"> Excluding the impact of severance expense, </w:t>
      </w:r>
      <w:r w:rsidR="008A1DE6">
        <w:rPr>
          <w:rFonts w:ascii="Times New Roman" w:hAnsi="Times New Roman" w:cs="Times New Roman"/>
        </w:rPr>
        <w:t xml:space="preserve">loss on extinguishment of debt, </w:t>
      </w:r>
      <w:r>
        <w:rPr>
          <w:rFonts w:ascii="Times New Roman" w:hAnsi="Times New Roman" w:cs="Times New Roman"/>
        </w:rPr>
        <w:t>and amortization of other intangible assets, the ratio of adjusted non-interest expense to average assets was</w:t>
      </w:r>
      <w:r w:rsidR="003638F6">
        <w:rPr>
          <w:rFonts w:ascii="Times New Roman" w:hAnsi="Times New Roman" w:cs="Times New Roman"/>
        </w:rPr>
        <w:t xml:space="preserve"> </w:t>
      </w:r>
      <w:r w:rsidR="00782624">
        <w:rPr>
          <w:rFonts w:ascii="Times New Roman" w:hAnsi="Times New Roman" w:cs="Times New Roman"/>
        </w:rPr>
        <w:t>1.4</w:t>
      </w:r>
      <w:r w:rsidR="008F58A3">
        <w:rPr>
          <w:rFonts w:ascii="Times New Roman" w:hAnsi="Times New Roman" w:cs="Times New Roman"/>
        </w:rPr>
        <w:t>8</w:t>
      </w:r>
      <w:r w:rsidR="003638F6">
        <w:rPr>
          <w:rFonts w:ascii="Times New Roman" w:hAnsi="Times New Roman" w:cs="Times New Roman"/>
        </w:rPr>
        <w:t>%</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quarter of 202</w:t>
      </w:r>
      <w:r w:rsidR="003638F6">
        <w:rPr>
          <w:rFonts w:ascii="Times New Roman" w:hAnsi="Times New Roman" w:cs="Times New Roman"/>
        </w:rPr>
        <w:t>3</w:t>
      </w:r>
      <w:r>
        <w:rPr>
          <w:rFonts w:ascii="Times New Roman" w:hAnsi="Times New Roman" w:cs="Times New Roman"/>
        </w:rPr>
        <w:t xml:space="preserve">, compared to </w:t>
      </w:r>
      <w:r w:rsidR="005018FC">
        <w:rPr>
          <w:rFonts w:ascii="Times New Roman" w:hAnsi="Times New Roman" w:cs="Times New Roman"/>
        </w:rPr>
        <w:t>1.</w:t>
      </w:r>
      <w:r w:rsidR="00045D19">
        <w:rPr>
          <w:rFonts w:ascii="Times New Roman" w:hAnsi="Times New Roman" w:cs="Times New Roman"/>
        </w:rPr>
        <w:t>51</w:t>
      </w:r>
      <w:r>
        <w:rPr>
          <w:rFonts w:ascii="Times New Roman" w:hAnsi="Times New Roman" w:cs="Times New Roman"/>
        </w:rPr>
        <w:t xml:space="preserve">% during the linked quarter and </w:t>
      </w:r>
      <w:r w:rsidR="00B94A6C">
        <w:rPr>
          <w:rFonts w:ascii="Times New Roman" w:hAnsi="Times New Roman" w:cs="Times New Roman"/>
        </w:rPr>
        <w:t>1.</w:t>
      </w:r>
      <w:r w:rsidR="00045D19">
        <w:rPr>
          <w:rFonts w:ascii="Times New Roman" w:hAnsi="Times New Roman" w:cs="Times New Roman"/>
        </w:rPr>
        <w:t>53</w:t>
      </w:r>
      <w:r>
        <w:rPr>
          <w:rFonts w:ascii="Times New Roman" w:hAnsi="Times New Roman" w:cs="Times New Roman"/>
        </w:rPr>
        <w:t xml:space="preserve">% for the </w:t>
      </w:r>
      <w:r w:rsidR="00B03DF0">
        <w:rPr>
          <w:rFonts w:ascii="Times New Roman" w:hAnsi="Times New Roman" w:cs="Times New Roman"/>
        </w:rPr>
        <w:t>third</w:t>
      </w:r>
      <w:r>
        <w:rPr>
          <w:rFonts w:ascii="Times New Roman" w:hAnsi="Times New Roman" w:cs="Times New Roman"/>
        </w:rPr>
        <w:t xml:space="preserve"> quarter of 202</w:t>
      </w:r>
      <w:r w:rsidR="003638F6">
        <w:rPr>
          <w:rFonts w:ascii="Times New Roman" w:hAnsi="Times New Roman" w:cs="Times New Roman"/>
        </w:rPr>
        <w:t>2</w:t>
      </w:r>
      <w:r>
        <w:rPr>
          <w:rFonts w:ascii="Times New Roman" w:hAnsi="Times New Roman" w:cs="Times New Roman"/>
        </w:rPr>
        <w:t xml:space="preserve"> (see “Non-GAAP Reconciliation” table</w:t>
      </w:r>
      <w:r w:rsidR="00832B90">
        <w:rPr>
          <w:rFonts w:ascii="Times New Roman" w:hAnsi="Times New Roman" w:cs="Times New Roman"/>
        </w:rPr>
        <w:t>s</w:t>
      </w:r>
      <w:r>
        <w:rPr>
          <w:rFonts w:ascii="Times New Roman" w:hAnsi="Times New Roman" w:cs="Times New Roman"/>
        </w:rPr>
        <w:t xml:space="preserve"> at the end of this news release). </w:t>
      </w:r>
    </w:p>
    <w:p w:rsidR="00BF2D7F" w:rsidRDefault="00BF2D7F" w:rsidP="00BF2D7F">
      <w:pPr>
        <w:spacing w:after="200"/>
        <w:jc w:val="both"/>
        <w:rPr>
          <w:rFonts w:ascii="Times New Roman" w:hAnsi="Times New Roman" w:cs="Times New Roman"/>
          <w:b/>
          <w:u w:val="single"/>
        </w:rPr>
      </w:pPr>
      <w:r>
        <w:rPr>
          <w:rFonts w:ascii="Times New Roman" w:hAnsi="Times New Roman" w:cs="Times New Roman"/>
        </w:rPr>
        <w:t xml:space="preserve">The efficiency ratio was </w:t>
      </w:r>
      <w:r w:rsidR="00782624">
        <w:rPr>
          <w:rFonts w:ascii="Times New Roman" w:hAnsi="Times New Roman" w:cs="Times New Roman"/>
        </w:rPr>
        <w:t>70.5</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quarter of 202</w:t>
      </w:r>
      <w:r w:rsidR="00CF4CDC">
        <w:rPr>
          <w:rFonts w:ascii="Times New Roman" w:hAnsi="Times New Roman" w:cs="Times New Roman"/>
        </w:rPr>
        <w:t>3</w:t>
      </w:r>
      <w:r>
        <w:rPr>
          <w:rFonts w:ascii="Times New Roman" w:hAnsi="Times New Roman" w:cs="Times New Roman"/>
        </w:rPr>
        <w:t xml:space="preserve">, compared to </w:t>
      </w:r>
      <w:r w:rsidR="00045D19">
        <w:rPr>
          <w:rFonts w:ascii="Times New Roman" w:hAnsi="Times New Roman" w:cs="Times New Roman"/>
        </w:rPr>
        <w:t>57.6</w:t>
      </w:r>
      <w:r>
        <w:rPr>
          <w:rFonts w:ascii="Times New Roman" w:hAnsi="Times New Roman" w:cs="Times New Roman"/>
        </w:rPr>
        <w:t xml:space="preserve">% during the linked quarter and </w:t>
      </w:r>
      <w:r w:rsidR="008A1DE6">
        <w:rPr>
          <w:rFonts w:ascii="Times New Roman" w:hAnsi="Times New Roman" w:cs="Times New Roman"/>
        </w:rPr>
        <w:t>4</w:t>
      </w:r>
      <w:r w:rsidR="00045D19">
        <w:rPr>
          <w:rFonts w:ascii="Times New Roman" w:hAnsi="Times New Roman" w:cs="Times New Roman"/>
        </w:rPr>
        <w:t>4.0</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quarter of 202</w:t>
      </w:r>
      <w:r w:rsidR="003638F6">
        <w:rPr>
          <w:rFonts w:ascii="Times New Roman" w:hAnsi="Times New Roman" w:cs="Times New Roman"/>
        </w:rPr>
        <w:t>2</w:t>
      </w:r>
      <w:r>
        <w:rPr>
          <w:rFonts w:ascii="Times New Roman" w:hAnsi="Times New Roman" w:cs="Times New Roman"/>
        </w:rPr>
        <w:t xml:space="preserve">. Excluding the impact of </w:t>
      </w:r>
      <w:r w:rsidR="007136FE">
        <w:rPr>
          <w:rFonts w:ascii="Times New Roman" w:eastAsia="Times New Roman" w:hAnsi="Times New Roman" w:cs="Times New Roman"/>
          <w:szCs w:val="24"/>
        </w:rPr>
        <w:t>loss on equity securities, net loss on sale of securities and other assets, severance expense, loss on extinguishment of debt</w:t>
      </w:r>
      <w:r w:rsidR="006B58FE">
        <w:rPr>
          <w:rFonts w:ascii="Times New Roman" w:hAnsi="Times New Roman" w:cs="Times New Roman"/>
        </w:rPr>
        <w:t xml:space="preserve"> </w:t>
      </w:r>
      <w:r w:rsidR="007136FE">
        <w:rPr>
          <w:rFonts w:ascii="Times New Roman" w:hAnsi="Times New Roman" w:cs="Times New Roman"/>
        </w:rPr>
        <w:t xml:space="preserve">and amortization of other intangible assets </w:t>
      </w:r>
      <w:r>
        <w:rPr>
          <w:rFonts w:ascii="Times New Roman" w:hAnsi="Times New Roman" w:cs="Times New Roman"/>
        </w:rPr>
        <w:t xml:space="preserve">the adjusted efficiency ratio </w:t>
      </w:r>
      <w:r w:rsidRPr="003C4A40">
        <w:rPr>
          <w:rFonts w:ascii="Times New Roman" w:hAnsi="Times New Roman" w:cs="Times New Roman"/>
        </w:rPr>
        <w:t xml:space="preserve">was </w:t>
      </w:r>
      <w:r w:rsidR="00782624">
        <w:rPr>
          <w:rFonts w:ascii="Times New Roman" w:hAnsi="Times New Roman" w:cs="Times New Roman"/>
        </w:rPr>
        <w:t>59.7</w:t>
      </w:r>
      <w:r w:rsidRPr="003C4A40">
        <w:rPr>
          <w:rFonts w:ascii="Times New Roman" w:hAnsi="Times New Roman" w:cs="Times New Roman"/>
        </w:rPr>
        <w:t>% during</w:t>
      </w:r>
      <w:r>
        <w:rPr>
          <w:rFonts w:ascii="Times New Roman" w:hAnsi="Times New Roman" w:cs="Times New Roman"/>
        </w:rPr>
        <w:t xml:space="preserve"> the </w:t>
      </w:r>
      <w:r w:rsidR="00B03DF0">
        <w:rPr>
          <w:rFonts w:ascii="Times New Roman" w:hAnsi="Times New Roman" w:cs="Times New Roman"/>
        </w:rPr>
        <w:t>third</w:t>
      </w:r>
      <w:r>
        <w:rPr>
          <w:rFonts w:ascii="Times New Roman" w:hAnsi="Times New Roman" w:cs="Times New Roman"/>
        </w:rPr>
        <w:t xml:space="preserve"> quarter of 202</w:t>
      </w:r>
      <w:r w:rsidR="003638F6">
        <w:rPr>
          <w:rFonts w:ascii="Times New Roman" w:hAnsi="Times New Roman" w:cs="Times New Roman"/>
        </w:rPr>
        <w:t>3</w:t>
      </w:r>
      <w:r>
        <w:rPr>
          <w:rFonts w:ascii="Times New Roman" w:hAnsi="Times New Roman" w:cs="Times New Roman"/>
        </w:rPr>
        <w:t xml:space="preserve">, compared to </w:t>
      </w:r>
      <w:r w:rsidR="00045D19">
        <w:rPr>
          <w:rFonts w:ascii="Times New Roman" w:hAnsi="Times New Roman" w:cs="Times New Roman"/>
        </w:rPr>
        <w:t>56.2</w:t>
      </w:r>
      <w:r>
        <w:rPr>
          <w:rFonts w:ascii="Times New Roman" w:hAnsi="Times New Roman" w:cs="Times New Roman"/>
        </w:rPr>
        <w:t xml:space="preserve">% during the linked quarter and </w:t>
      </w:r>
      <w:r w:rsidR="008A1DE6">
        <w:rPr>
          <w:rFonts w:ascii="Times New Roman" w:hAnsi="Times New Roman" w:cs="Times New Roman"/>
        </w:rPr>
        <w:t>4</w:t>
      </w:r>
      <w:r w:rsidR="00045D19">
        <w:rPr>
          <w:rFonts w:ascii="Times New Roman" w:hAnsi="Times New Roman" w:cs="Times New Roman"/>
        </w:rPr>
        <w:t>4.2</w:t>
      </w:r>
      <w:r>
        <w:rPr>
          <w:rFonts w:ascii="Times New Roman" w:hAnsi="Times New Roman" w:cs="Times New Roman"/>
        </w:rPr>
        <w:t xml:space="preserve">% during the </w:t>
      </w:r>
      <w:r w:rsidR="00B03DF0">
        <w:rPr>
          <w:rFonts w:ascii="Times New Roman" w:hAnsi="Times New Roman" w:cs="Times New Roman"/>
        </w:rPr>
        <w:t>second</w:t>
      </w:r>
      <w:r>
        <w:rPr>
          <w:rFonts w:ascii="Times New Roman" w:hAnsi="Times New Roman" w:cs="Times New Roman"/>
        </w:rPr>
        <w:t xml:space="preserve"> quarter of 202</w:t>
      </w:r>
      <w:r w:rsidR="003638F6">
        <w:rPr>
          <w:rFonts w:ascii="Times New Roman" w:hAnsi="Times New Roman" w:cs="Times New Roman"/>
        </w:rPr>
        <w:t>2</w:t>
      </w:r>
      <w:r>
        <w:rPr>
          <w:rFonts w:ascii="Times New Roman" w:hAnsi="Times New Roman" w:cs="Times New Roman"/>
        </w:rPr>
        <w:t xml:space="preserve"> (see “Non-GAAP Reconciliation” table</w:t>
      </w:r>
      <w:r w:rsidR="00832B90">
        <w:rPr>
          <w:rFonts w:ascii="Times New Roman" w:hAnsi="Times New Roman" w:cs="Times New Roman"/>
        </w:rPr>
        <w:t>s</w:t>
      </w:r>
      <w:r>
        <w:rPr>
          <w:rFonts w:ascii="Times New Roman" w:hAnsi="Times New Roman" w:cs="Times New Roman"/>
        </w:rPr>
        <w:t xml:space="preserve"> at the end of this news release). </w:t>
      </w:r>
    </w:p>
    <w:p w:rsidR="00BF2D7F" w:rsidRDefault="00BF2D7F" w:rsidP="00BF2D7F">
      <w:pPr>
        <w:spacing w:after="200"/>
        <w:jc w:val="both"/>
        <w:rPr>
          <w:rFonts w:ascii="Times New Roman" w:hAnsi="Times New Roman" w:cs="Times New Roman"/>
          <w:u w:val="single"/>
        </w:rPr>
      </w:pPr>
      <w:r>
        <w:rPr>
          <w:rFonts w:ascii="Times New Roman" w:hAnsi="Times New Roman" w:cs="Times New Roman"/>
          <w:b/>
          <w:u w:val="single"/>
        </w:rPr>
        <w:t>Income Tax Expense</w:t>
      </w:r>
    </w:p>
    <w:p w:rsidR="00BF2D7F" w:rsidRDefault="00BF2D7F" w:rsidP="00BF2D7F">
      <w:pPr>
        <w:spacing w:after="200"/>
        <w:jc w:val="both"/>
        <w:rPr>
          <w:rFonts w:ascii="Times New Roman" w:hAnsi="Times New Roman" w:cs="Times New Roman"/>
        </w:rPr>
      </w:pPr>
      <w:r>
        <w:rPr>
          <w:rFonts w:ascii="Times New Roman" w:hAnsi="Times New Roman" w:cs="Times New Roman"/>
        </w:rPr>
        <w:t>The reported effective tax rate for</w:t>
      </w:r>
      <w:r w:rsidR="00A23656">
        <w:rPr>
          <w:rFonts w:ascii="Times New Roman" w:hAnsi="Times New Roman" w:cs="Times New Roman"/>
        </w:rPr>
        <w:t xml:space="preserve"> </w:t>
      </w:r>
      <w:r>
        <w:rPr>
          <w:rFonts w:ascii="Times New Roman" w:hAnsi="Times New Roman" w:cs="Times New Roman"/>
        </w:rPr>
        <w:t xml:space="preserve">the </w:t>
      </w:r>
      <w:r w:rsidR="00B03DF0">
        <w:rPr>
          <w:rFonts w:ascii="Times New Roman" w:hAnsi="Times New Roman" w:cs="Times New Roman"/>
        </w:rPr>
        <w:t>third</w:t>
      </w:r>
      <w:r>
        <w:rPr>
          <w:rFonts w:ascii="Times New Roman" w:hAnsi="Times New Roman" w:cs="Times New Roman"/>
        </w:rPr>
        <w:t xml:space="preserve"> </w:t>
      </w:r>
      <w:r w:rsidR="000B36F0">
        <w:rPr>
          <w:rFonts w:ascii="Times New Roman" w:hAnsi="Times New Roman" w:cs="Times New Roman"/>
        </w:rPr>
        <w:t>quarter of 2023 was 35.</w:t>
      </w:r>
      <w:r w:rsidR="00782624">
        <w:rPr>
          <w:rFonts w:ascii="Times New Roman" w:hAnsi="Times New Roman" w:cs="Times New Roman"/>
        </w:rPr>
        <w:t>1</w:t>
      </w:r>
      <w:r w:rsidR="000B36F0">
        <w:rPr>
          <w:rFonts w:ascii="Times New Roman" w:hAnsi="Times New Roman" w:cs="Times New Roman"/>
        </w:rPr>
        <w:t xml:space="preserve">% compared </w:t>
      </w:r>
      <w:r w:rsidR="000B36F0" w:rsidRPr="00782624">
        <w:rPr>
          <w:rFonts w:ascii="Times New Roman" w:hAnsi="Times New Roman" w:cs="Times New Roman"/>
        </w:rPr>
        <w:t xml:space="preserve">to </w:t>
      </w:r>
      <w:r w:rsidR="004522B6" w:rsidRPr="00782624">
        <w:rPr>
          <w:rFonts w:ascii="Times New Roman" w:hAnsi="Times New Roman" w:cs="Times New Roman"/>
        </w:rPr>
        <w:t>26.8</w:t>
      </w:r>
      <w:r w:rsidRPr="000F4B1D">
        <w:rPr>
          <w:rFonts w:ascii="Times New Roman" w:hAnsi="Times New Roman" w:cs="Times New Roman"/>
        </w:rPr>
        <w:t>%</w:t>
      </w:r>
      <w:r w:rsidR="000B36F0">
        <w:rPr>
          <w:rFonts w:ascii="Times New Roman" w:hAnsi="Times New Roman" w:cs="Times New Roman"/>
        </w:rPr>
        <w:t xml:space="preserve"> for the second quarter of 2023. The increase in tax rate was primarily due to non-deductible severance expense during the period.</w:t>
      </w:r>
      <w:r>
        <w:rPr>
          <w:rFonts w:ascii="Times New Roman" w:hAnsi="Times New Roman" w:cs="Times New Roman"/>
          <w:strike/>
          <w:highlight w:val="yellow"/>
        </w:rPr>
        <w:t xml:space="preserve"> </w:t>
      </w:r>
    </w:p>
    <w:p w:rsidR="00BF2D7F" w:rsidRPr="00141A0C" w:rsidRDefault="00BF2D7F" w:rsidP="00BF2D7F">
      <w:pPr>
        <w:spacing w:after="200"/>
        <w:jc w:val="both"/>
        <w:rPr>
          <w:rFonts w:ascii="Times New Roman" w:hAnsi="Times New Roman" w:cs="Times New Roman"/>
          <w:u w:val="single"/>
        </w:rPr>
      </w:pPr>
      <w:r w:rsidRPr="00141A0C">
        <w:rPr>
          <w:rFonts w:ascii="Times New Roman" w:hAnsi="Times New Roman" w:cs="Times New Roman"/>
          <w:b/>
          <w:u w:val="single"/>
        </w:rPr>
        <w:t>Credit Quality</w:t>
      </w:r>
    </w:p>
    <w:p w:rsidR="00BF2D7F" w:rsidRPr="00141A0C" w:rsidRDefault="00BF2D7F" w:rsidP="00BF2D7F">
      <w:pPr>
        <w:spacing w:after="200"/>
        <w:jc w:val="both"/>
        <w:rPr>
          <w:rFonts w:ascii="Times New Roman" w:hAnsi="Times New Roman" w:cs="Times New Roman"/>
        </w:rPr>
      </w:pPr>
      <w:r w:rsidRPr="00141A0C">
        <w:rPr>
          <w:rFonts w:ascii="Times New Roman" w:hAnsi="Times New Roman" w:cs="Times New Roman"/>
        </w:rPr>
        <w:t xml:space="preserve">Non-performing loans at </w:t>
      </w:r>
      <w:r w:rsidR="004D4EDF">
        <w:rPr>
          <w:rFonts w:ascii="Times New Roman" w:hAnsi="Times New Roman" w:cs="Times New Roman"/>
        </w:rPr>
        <w:t>September</w:t>
      </w:r>
      <w:r w:rsidR="008A1DE6">
        <w:rPr>
          <w:rFonts w:ascii="Times New Roman" w:hAnsi="Times New Roman" w:cs="Times New Roman"/>
        </w:rPr>
        <w:t xml:space="preserve"> 30</w:t>
      </w:r>
      <w:r w:rsidRPr="00141A0C">
        <w:rPr>
          <w:rFonts w:ascii="Times New Roman" w:hAnsi="Times New Roman" w:cs="Times New Roman"/>
        </w:rPr>
        <w:t>, 202</w:t>
      </w:r>
      <w:r w:rsidR="008E20E1">
        <w:rPr>
          <w:rFonts w:ascii="Times New Roman" w:hAnsi="Times New Roman" w:cs="Times New Roman"/>
        </w:rPr>
        <w:t>3</w:t>
      </w:r>
      <w:r w:rsidRPr="00141A0C">
        <w:rPr>
          <w:rFonts w:ascii="Times New Roman" w:hAnsi="Times New Roman" w:cs="Times New Roman"/>
        </w:rPr>
        <w:t xml:space="preserve"> were $</w:t>
      </w:r>
      <w:r w:rsidR="00782624">
        <w:rPr>
          <w:rFonts w:ascii="Times New Roman" w:hAnsi="Times New Roman" w:cs="Times New Roman"/>
        </w:rPr>
        <w:t>23.3</w:t>
      </w:r>
      <w:r w:rsidRPr="00141A0C">
        <w:rPr>
          <w:rFonts w:ascii="Times New Roman" w:hAnsi="Times New Roman" w:cs="Times New Roman"/>
        </w:rPr>
        <w:t xml:space="preserve"> </w:t>
      </w:r>
      <w:r w:rsidRPr="00512BB0">
        <w:rPr>
          <w:rFonts w:ascii="Times New Roman" w:hAnsi="Times New Roman" w:cs="Times New Roman"/>
        </w:rPr>
        <w:t>million,</w:t>
      </w:r>
      <w:r w:rsidR="00341B4F" w:rsidRPr="00512BB0">
        <w:rPr>
          <w:rFonts w:ascii="Times New Roman" w:hAnsi="Times New Roman" w:cs="Times New Roman"/>
        </w:rPr>
        <w:t xml:space="preserve"> </w:t>
      </w:r>
      <w:r w:rsidR="00782624">
        <w:rPr>
          <w:rFonts w:ascii="Times New Roman" w:hAnsi="Times New Roman" w:cs="Times New Roman"/>
        </w:rPr>
        <w:t>16</w:t>
      </w:r>
      <w:r w:rsidR="00341B4F" w:rsidRPr="00782624">
        <w:rPr>
          <w:rFonts w:ascii="Times New Roman" w:hAnsi="Times New Roman" w:cs="Times New Roman"/>
        </w:rPr>
        <w:t>% lower</w:t>
      </w:r>
      <w:r w:rsidR="00341B4F" w:rsidRPr="00512BB0">
        <w:rPr>
          <w:rFonts w:ascii="Times New Roman" w:hAnsi="Times New Roman" w:cs="Times New Roman"/>
        </w:rPr>
        <w:t xml:space="preserve"> than </w:t>
      </w:r>
      <w:r w:rsidR="008C383D" w:rsidRPr="00512BB0">
        <w:rPr>
          <w:rFonts w:ascii="Times New Roman" w:hAnsi="Times New Roman" w:cs="Times New Roman"/>
        </w:rPr>
        <w:t xml:space="preserve">the </w:t>
      </w:r>
      <w:r w:rsidR="00C13C18" w:rsidRPr="00512BB0">
        <w:rPr>
          <w:rFonts w:ascii="Times New Roman" w:hAnsi="Times New Roman" w:cs="Times New Roman"/>
        </w:rPr>
        <w:t>prior</w:t>
      </w:r>
      <w:r w:rsidR="00C13C18">
        <w:rPr>
          <w:rFonts w:ascii="Times New Roman" w:hAnsi="Times New Roman" w:cs="Times New Roman"/>
        </w:rPr>
        <w:t xml:space="preserve"> quarter</w:t>
      </w:r>
      <w:r w:rsidRPr="00141A0C">
        <w:rPr>
          <w:rFonts w:ascii="Times New Roman" w:hAnsi="Times New Roman" w:cs="Times New Roman"/>
        </w:rPr>
        <w:t xml:space="preserve">. </w:t>
      </w:r>
    </w:p>
    <w:p w:rsidR="000D1491" w:rsidRDefault="000D1491" w:rsidP="00141A0C">
      <w:pPr>
        <w:spacing w:after="200"/>
        <w:jc w:val="both"/>
        <w:rPr>
          <w:rFonts w:ascii="Times New Roman" w:hAnsi="Times New Roman" w:cs="Times New Roman"/>
        </w:rPr>
      </w:pPr>
      <w:r>
        <w:rPr>
          <w:rFonts w:ascii="Times New Roman" w:hAnsi="Times New Roman" w:cs="Times New Roman"/>
        </w:rPr>
        <w:t>A credit loss provision of $</w:t>
      </w:r>
      <w:r w:rsidR="000B36F0">
        <w:rPr>
          <w:rFonts w:ascii="Times New Roman" w:hAnsi="Times New Roman" w:cs="Times New Roman"/>
        </w:rPr>
        <w:t>1.8</w:t>
      </w:r>
      <w:r>
        <w:rPr>
          <w:rFonts w:ascii="Times New Roman" w:hAnsi="Times New Roman" w:cs="Times New Roman"/>
        </w:rPr>
        <w:t xml:space="preserve"> million was recorded during the </w:t>
      </w:r>
      <w:r w:rsidR="00B03DF0">
        <w:rPr>
          <w:rFonts w:ascii="Times New Roman" w:hAnsi="Times New Roman" w:cs="Times New Roman"/>
        </w:rPr>
        <w:t>third</w:t>
      </w:r>
      <w:r>
        <w:rPr>
          <w:rFonts w:ascii="Times New Roman" w:hAnsi="Times New Roman" w:cs="Times New Roman"/>
        </w:rPr>
        <w:t xml:space="preserve"> quarter of 2023, compared to a credit loss </w:t>
      </w:r>
      <w:r w:rsidR="000B36F0">
        <w:rPr>
          <w:rFonts w:ascii="Times New Roman" w:hAnsi="Times New Roman" w:cs="Times New Roman"/>
        </w:rPr>
        <w:t>provision</w:t>
      </w:r>
      <w:r>
        <w:rPr>
          <w:rFonts w:ascii="Times New Roman" w:hAnsi="Times New Roman" w:cs="Times New Roman"/>
        </w:rPr>
        <w:t xml:space="preserve"> of $</w:t>
      </w:r>
      <w:r w:rsidR="000B36F0">
        <w:rPr>
          <w:rFonts w:ascii="Times New Roman" w:hAnsi="Times New Roman" w:cs="Times New Roman"/>
        </w:rPr>
        <w:t>892 thousand</w:t>
      </w:r>
      <w:r>
        <w:rPr>
          <w:rFonts w:ascii="Times New Roman" w:hAnsi="Times New Roman" w:cs="Times New Roman"/>
        </w:rPr>
        <w:t xml:space="preserve"> during the </w:t>
      </w:r>
      <w:r w:rsidR="00B03DF0">
        <w:rPr>
          <w:rFonts w:ascii="Times New Roman" w:hAnsi="Times New Roman" w:cs="Times New Roman"/>
        </w:rPr>
        <w:t>second</w:t>
      </w:r>
      <w:r>
        <w:rPr>
          <w:rFonts w:ascii="Times New Roman" w:hAnsi="Times New Roman" w:cs="Times New Roman"/>
        </w:rPr>
        <w:t xml:space="preserve"> quarter of 2023, and a credit loss provision of $</w:t>
      </w:r>
      <w:r w:rsidR="00045D19">
        <w:rPr>
          <w:rFonts w:ascii="Times New Roman" w:hAnsi="Times New Roman" w:cs="Times New Roman"/>
        </w:rPr>
        <w:t>6.6</w:t>
      </w:r>
      <w:r>
        <w:rPr>
          <w:rFonts w:ascii="Times New Roman" w:hAnsi="Times New Roman" w:cs="Times New Roman"/>
        </w:rPr>
        <w:t xml:space="preserve"> </w:t>
      </w:r>
      <w:r w:rsidR="00045D19">
        <w:rPr>
          <w:rFonts w:ascii="Times New Roman" w:hAnsi="Times New Roman" w:cs="Times New Roman"/>
        </w:rPr>
        <w:t>million</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quarter of 2022. The credit loss provision </w:t>
      </w:r>
      <w:r w:rsidR="0088455B">
        <w:rPr>
          <w:rFonts w:ascii="Times New Roman" w:hAnsi="Times New Roman" w:cs="Times New Roman"/>
        </w:rPr>
        <w:t>in</w:t>
      </w:r>
      <w:r>
        <w:rPr>
          <w:rFonts w:ascii="Times New Roman" w:hAnsi="Times New Roman" w:cs="Times New Roman"/>
        </w:rPr>
        <w:t xml:space="preserve"> the </w:t>
      </w:r>
      <w:r w:rsidR="00B03DF0">
        <w:rPr>
          <w:rFonts w:ascii="Times New Roman" w:hAnsi="Times New Roman" w:cs="Times New Roman"/>
        </w:rPr>
        <w:t>third</w:t>
      </w:r>
      <w:r>
        <w:rPr>
          <w:rFonts w:ascii="Times New Roman" w:hAnsi="Times New Roman" w:cs="Times New Roman"/>
        </w:rPr>
        <w:t xml:space="preserve"> quarter of 2023 was </w:t>
      </w:r>
      <w:r w:rsidR="000B36F0" w:rsidRPr="000B36F0">
        <w:rPr>
          <w:rFonts w:ascii="Times New Roman" w:hAnsi="Times New Roman" w:cs="Times New Roman"/>
        </w:rPr>
        <w:t xml:space="preserve">primarily </w:t>
      </w:r>
      <w:r w:rsidRPr="000B36F0">
        <w:rPr>
          <w:rFonts w:ascii="Times New Roman" w:hAnsi="Times New Roman" w:cs="Times New Roman"/>
        </w:rPr>
        <w:t xml:space="preserve">associated with </w:t>
      </w:r>
      <w:r w:rsidR="000B36F0" w:rsidRPr="000B36F0">
        <w:rPr>
          <w:rFonts w:ascii="Times New Roman" w:hAnsi="Times New Roman" w:cs="Times New Roman"/>
        </w:rPr>
        <w:t>increased provisioning for individually analyzed loans.</w:t>
      </w:r>
      <w:r w:rsidR="00CD7CCA" w:rsidRPr="00CD7CCA">
        <w:rPr>
          <w:rFonts w:ascii="Times New Roman" w:hAnsi="Times New Roman" w:cs="Times New Roman"/>
        </w:rPr>
        <w:t xml:space="preserve"> </w:t>
      </w:r>
    </w:p>
    <w:p w:rsidR="00141A0C" w:rsidRPr="00141A0C" w:rsidRDefault="00141A0C" w:rsidP="00141A0C">
      <w:pPr>
        <w:spacing w:after="200"/>
        <w:jc w:val="both"/>
        <w:rPr>
          <w:rFonts w:ascii="Times New Roman" w:hAnsi="Times New Roman" w:cs="Times New Roman"/>
          <w:u w:val="single"/>
        </w:rPr>
      </w:pPr>
      <w:r w:rsidRPr="00141A0C">
        <w:rPr>
          <w:rFonts w:ascii="Times New Roman" w:hAnsi="Times New Roman" w:cs="Times New Roman"/>
          <w:b/>
          <w:u w:val="single"/>
        </w:rPr>
        <w:t>Capital Management</w:t>
      </w:r>
    </w:p>
    <w:p w:rsidR="00141A0C" w:rsidRPr="00141A0C" w:rsidRDefault="00141A0C" w:rsidP="00141A0C">
      <w:pPr>
        <w:spacing w:after="200"/>
        <w:jc w:val="both"/>
        <w:rPr>
          <w:rFonts w:ascii="Times New Roman" w:hAnsi="Times New Roman" w:cs="Times New Roman"/>
        </w:rPr>
      </w:pPr>
      <w:r w:rsidRPr="00141A0C">
        <w:rPr>
          <w:rFonts w:ascii="Times New Roman" w:hAnsi="Times New Roman" w:cs="Times New Roman"/>
        </w:rPr>
        <w:t>The Company’s and the Bank’s regulatory capital ratios continued to be in excess of all applicable regulatory requirements</w:t>
      </w:r>
      <w:r w:rsidR="007D353D">
        <w:rPr>
          <w:rFonts w:ascii="Times New Roman" w:hAnsi="Times New Roman" w:cs="Times New Roman"/>
        </w:rPr>
        <w:t xml:space="preserve"> as of </w:t>
      </w:r>
      <w:r w:rsidR="004D4EDF">
        <w:rPr>
          <w:rFonts w:ascii="Times New Roman" w:hAnsi="Times New Roman" w:cs="Times New Roman"/>
        </w:rPr>
        <w:t>September</w:t>
      </w:r>
      <w:r w:rsidR="008A1DE6">
        <w:rPr>
          <w:rFonts w:ascii="Times New Roman" w:hAnsi="Times New Roman" w:cs="Times New Roman"/>
        </w:rPr>
        <w:t xml:space="preserve"> 30</w:t>
      </w:r>
      <w:r w:rsidR="007D353D">
        <w:rPr>
          <w:rFonts w:ascii="Times New Roman" w:hAnsi="Times New Roman" w:cs="Times New Roman"/>
        </w:rPr>
        <w:t>, 202</w:t>
      </w:r>
      <w:r w:rsidR="008E20E1">
        <w:rPr>
          <w:rFonts w:ascii="Times New Roman" w:hAnsi="Times New Roman" w:cs="Times New Roman"/>
        </w:rPr>
        <w:t>3</w:t>
      </w:r>
      <w:r w:rsidR="00B33768">
        <w:rPr>
          <w:rFonts w:ascii="Times New Roman" w:hAnsi="Times New Roman" w:cs="Times New Roman"/>
        </w:rPr>
        <w:t xml:space="preserve">. All of the Company’s and Bank’s risk-based regulatory capital ratios increased in the </w:t>
      </w:r>
      <w:r w:rsidR="00B03DF0">
        <w:rPr>
          <w:rFonts w:ascii="Times New Roman" w:hAnsi="Times New Roman" w:cs="Times New Roman"/>
        </w:rPr>
        <w:t>third</w:t>
      </w:r>
      <w:r w:rsidR="00B33768">
        <w:rPr>
          <w:rFonts w:ascii="Times New Roman" w:hAnsi="Times New Roman" w:cs="Times New Roman"/>
        </w:rPr>
        <w:t xml:space="preserve"> quarter of 2023.</w:t>
      </w:r>
    </w:p>
    <w:p w:rsidR="00341B4F" w:rsidRDefault="00341B4F" w:rsidP="00341B4F">
      <w:pPr>
        <w:spacing w:before="100" w:beforeAutospacing="1" w:after="100" w:afterAutospacing="1"/>
        <w:jc w:val="both"/>
        <w:rPr>
          <w:rFonts w:ascii="Times New Roman" w:hAnsi="Times New Roman" w:cs="Times New Roman"/>
        </w:rPr>
      </w:pPr>
      <w:r>
        <w:rPr>
          <w:rFonts w:ascii="Times New Roman" w:hAnsi="Times New Roman" w:cs="Times New Roman"/>
        </w:rPr>
        <w:t>Dividends per common share were $0.2</w:t>
      </w:r>
      <w:r w:rsidR="008A1DE6">
        <w:rPr>
          <w:rFonts w:ascii="Times New Roman" w:hAnsi="Times New Roman" w:cs="Times New Roman"/>
        </w:rPr>
        <w:t>5</w:t>
      </w:r>
      <w:r>
        <w:rPr>
          <w:rFonts w:ascii="Times New Roman" w:hAnsi="Times New Roman" w:cs="Times New Roman"/>
        </w:rPr>
        <w:t xml:space="preserve"> during the </w:t>
      </w:r>
      <w:r w:rsidR="00B03DF0">
        <w:rPr>
          <w:rFonts w:ascii="Times New Roman" w:hAnsi="Times New Roman" w:cs="Times New Roman"/>
        </w:rPr>
        <w:t>third</w:t>
      </w:r>
      <w:r>
        <w:rPr>
          <w:rFonts w:ascii="Times New Roman" w:hAnsi="Times New Roman" w:cs="Times New Roman"/>
        </w:rPr>
        <w:t xml:space="preserve"> </w:t>
      </w:r>
      <w:r w:rsidR="00045D19">
        <w:rPr>
          <w:rFonts w:ascii="Times New Roman" w:hAnsi="Times New Roman" w:cs="Times New Roman"/>
        </w:rPr>
        <w:t xml:space="preserve">and second </w:t>
      </w:r>
      <w:r>
        <w:rPr>
          <w:rFonts w:ascii="Times New Roman" w:hAnsi="Times New Roman" w:cs="Times New Roman"/>
        </w:rPr>
        <w:t>quarter</w:t>
      </w:r>
      <w:r w:rsidR="00045D19">
        <w:rPr>
          <w:rFonts w:ascii="Times New Roman" w:hAnsi="Times New Roman" w:cs="Times New Roman"/>
        </w:rPr>
        <w:t>s</w:t>
      </w:r>
      <w:r>
        <w:rPr>
          <w:rFonts w:ascii="Times New Roman" w:hAnsi="Times New Roman" w:cs="Times New Roman"/>
        </w:rPr>
        <w:t xml:space="preserve"> of 2023</w:t>
      </w:r>
      <w:r w:rsidR="00D369C9">
        <w:rPr>
          <w:rFonts w:ascii="Times New Roman" w:hAnsi="Times New Roman" w:cs="Times New Roman"/>
        </w:rPr>
        <w:t>, respectively</w:t>
      </w:r>
      <w:r w:rsidR="00045D19">
        <w:rPr>
          <w:rFonts w:ascii="Times New Roman" w:hAnsi="Times New Roman" w:cs="Times New Roman"/>
        </w:rPr>
        <w:t>.</w:t>
      </w:r>
    </w:p>
    <w:p w:rsidR="00341B4F" w:rsidRDefault="00341B4F" w:rsidP="00341B4F">
      <w:pPr>
        <w:spacing w:after="200"/>
        <w:jc w:val="both"/>
        <w:rPr>
          <w:rFonts w:ascii="Times New Roman" w:hAnsi="Times New Roman" w:cs="Times New Roman"/>
        </w:rPr>
      </w:pPr>
      <w:r>
        <w:rPr>
          <w:rFonts w:ascii="Times New Roman" w:hAnsi="Times New Roman" w:cs="Times New Roman"/>
        </w:rPr>
        <w:t>Book value per common share was $</w:t>
      </w:r>
      <w:r w:rsidR="00782624">
        <w:rPr>
          <w:rFonts w:ascii="Times New Roman" w:hAnsi="Times New Roman" w:cs="Times New Roman"/>
        </w:rPr>
        <w:t>28.03</w:t>
      </w:r>
      <w:r>
        <w:rPr>
          <w:rFonts w:ascii="Times New Roman" w:hAnsi="Times New Roman" w:cs="Times New Roman"/>
        </w:rPr>
        <w:t xml:space="preserve"> at </w:t>
      </w:r>
      <w:r w:rsidR="004D4EDF">
        <w:rPr>
          <w:rFonts w:ascii="Times New Roman" w:hAnsi="Times New Roman" w:cs="Times New Roman"/>
        </w:rPr>
        <w:t>September</w:t>
      </w:r>
      <w:r w:rsidR="008A1DE6">
        <w:rPr>
          <w:rFonts w:ascii="Times New Roman" w:hAnsi="Times New Roman" w:cs="Times New Roman"/>
        </w:rPr>
        <w:t xml:space="preserve"> 30</w:t>
      </w:r>
      <w:r>
        <w:rPr>
          <w:rFonts w:ascii="Times New Roman" w:hAnsi="Times New Roman" w:cs="Times New Roman"/>
        </w:rPr>
        <w:t>, 2023 compared to $27.</w:t>
      </w:r>
      <w:r w:rsidR="00045D19">
        <w:rPr>
          <w:rFonts w:ascii="Times New Roman" w:hAnsi="Times New Roman" w:cs="Times New Roman"/>
        </w:rPr>
        <w:t>99</w:t>
      </w:r>
      <w:r>
        <w:rPr>
          <w:rFonts w:ascii="Times New Roman" w:hAnsi="Times New Roman" w:cs="Times New Roman"/>
        </w:rPr>
        <w:t xml:space="preserve"> at </w:t>
      </w:r>
      <w:r w:rsidR="004D4EDF">
        <w:rPr>
          <w:rFonts w:ascii="Times New Roman" w:hAnsi="Times New Roman" w:cs="Times New Roman"/>
        </w:rPr>
        <w:t>June</w:t>
      </w:r>
      <w:r>
        <w:rPr>
          <w:rFonts w:ascii="Times New Roman" w:hAnsi="Times New Roman" w:cs="Times New Roman"/>
        </w:rPr>
        <w:t xml:space="preserve"> 3</w:t>
      </w:r>
      <w:r w:rsidR="00045D19">
        <w:rPr>
          <w:rFonts w:ascii="Times New Roman" w:hAnsi="Times New Roman" w:cs="Times New Roman"/>
        </w:rPr>
        <w:t>0</w:t>
      </w:r>
      <w:r>
        <w:rPr>
          <w:rFonts w:ascii="Times New Roman" w:hAnsi="Times New Roman" w:cs="Times New Roman"/>
        </w:rPr>
        <w:t>, 202</w:t>
      </w:r>
      <w:r w:rsidR="008A1DE6">
        <w:rPr>
          <w:rFonts w:ascii="Times New Roman" w:hAnsi="Times New Roman" w:cs="Times New Roman"/>
        </w:rPr>
        <w:t>3</w:t>
      </w:r>
      <w:r>
        <w:rPr>
          <w:rFonts w:ascii="Times New Roman" w:hAnsi="Times New Roman" w:cs="Times New Roman"/>
        </w:rPr>
        <w:t xml:space="preserve">. </w:t>
      </w:r>
    </w:p>
    <w:p w:rsidR="00341B4F" w:rsidRDefault="00341B4F" w:rsidP="00341B4F">
      <w:pPr>
        <w:spacing w:after="200"/>
        <w:jc w:val="both"/>
        <w:rPr>
          <w:rFonts w:ascii="Times New Roman" w:hAnsi="Times New Roman" w:cs="Times New Roman"/>
        </w:rPr>
      </w:pPr>
      <w:r>
        <w:rPr>
          <w:rFonts w:ascii="Times New Roman" w:hAnsi="Times New Roman" w:cs="Times New Roman"/>
        </w:rPr>
        <w:t>Tangible common book value per share (which represents common equity less goodwill and other intangible assets, divided by the number of shares outstanding) was $</w:t>
      </w:r>
      <w:r w:rsidR="00782624">
        <w:rPr>
          <w:rFonts w:ascii="Times New Roman" w:hAnsi="Times New Roman" w:cs="Times New Roman"/>
        </w:rPr>
        <w:t>23.87</w:t>
      </w:r>
      <w:r>
        <w:rPr>
          <w:rFonts w:ascii="Times New Roman" w:hAnsi="Times New Roman" w:cs="Times New Roman"/>
        </w:rPr>
        <w:t xml:space="preserve"> at </w:t>
      </w:r>
      <w:r w:rsidR="004D4EDF">
        <w:rPr>
          <w:rFonts w:ascii="Times New Roman" w:hAnsi="Times New Roman" w:cs="Times New Roman"/>
        </w:rPr>
        <w:t>September</w:t>
      </w:r>
      <w:r w:rsidR="008A1DE6">
        <w:rPr>
          <w:rFonts w:ascii="Times New Roman" w:hAnsi="Times New Roman" w:cs="Times New Roman"/>
        </w:rPr>
        <w:t xml:space="preserve"> 30</w:t>
      </w:r>
      <w:r>
        <w:rPr>
          <w:rFonts w:ascii="Times New Roman" w:hAnsi="Times New Roman" w:cs="Times New Roman"/>
        </w:rPr>
        <w:t>, 2023 compared to $23.</w:t>
      </w:r>
      <w:r w:rsidR="00871389">
        <w:rPr>
          <w:rFonts w:ascii="Times New Roman" w:hAnsi="Times New Roman" w:cs="Times New Roman"/>
        </w:rPr>
        <w:t>82</w:t>
      </w:r>
      <w:r>
        <w:rPr>
          <w:rFonts w:ascii="Times New Roman" w:hAnsi="Times New Roman" w:cs="Times New Roman"/>
        </w:rPr>
        <w:t xml:space="preserve"> at </w:t>
      </w:r>
      <w:r w:rsidR="004D4EDF">
        <w:rPr>
          <w:rFonts w:ascii="Times New Roman" w:hAnsi="Times New Roman" w:cs="Times New Roman"/>
        </w:rPr>
        <w:t>June</w:t>
      </w:r>
      <w:r>
        <w:rPr>
          <w:rFonts w:ascii="Times New Roman" w:hAnsi="Times New Roman" w:cs="Times New Roman"/>
        </w:rPr>
        <w:t xml:space="preserve"> 3</w:t>
      </w:r>
      <w:r w:rsidR="00871389">
        <w:rPr>
          <w:rFonts w:ascii="Times New Roman" w:hAnsi="Times New Roman" w:cs="Times New Roman"/>
        </w:rPr>
        <w:t>0</w:t>
      </w:r>
      <w:r>
        <w:rPr>
          <w:rFonts w:ascii="Times New Roman" w:hAnsi="Times New Roman" w:cs="Times New Roman"/>
        </w:rPr>
        <w:t>, 202</w:t>
      </w:r>
      <w:r w:rsidR="008A1DE6">
        <w:rPr>
          <w:rFonts w:ascii="Times New Roman" w:hAnsi="Times New Roman" w:cs="Times New Roman"/>
        </w:rPr>
        <w:t>3</w:t>
      </w:r>
      <w:r>
        <w:rPr>
          <w:rFonts w:ascii="Times New Roman" w:hAnsi="Times New Roman" w:cs="Times New Roman"/>
        </w:rPr>
        <w:t xml:space="preserve">. Excluding the impact of accumulated other comprehensive </w:t>
      </w:r>
      <w:r w:rsidR="00C13C18">
        <w:rPr>
          <w:rFonts w:ascii="Times New Roman" w:hAnsi="Times New Roman" w:cs="Times New Roman"/>
        </w:rPr>
        <w:t>loss</w:t>
      </w:r>
      <w:r>
        <w:rPr>
          <w:rFonts w:ascii="Times New Roman" w:hAnsi="Times New Roman" w:cs="Times New Roman"/>
        </w:rPr>
        <w:t>, the adjusted tangible common book value per share was $</w:t>
      </w:r>
      <w:r w:rsidR="00782624">
        <w:rPr>
          <w:rFonts w:ascii="Times New Roman" w:hAnsi="Times New Roman" w:cs="Times New Roman"/>
        </w:rPr>
        <w:t>26.63</w:t>
      </w:r>
      <w:r>
        <w:rPr>
          <w:rFonts w:ascii="Times New Roman" w:hAnsi="Times New Roman" w:cs="Times New Roman"/>
        </w:rPr>
        <w:t xml:space="preserve"> at </w:t>
      </w:r>
      <w:r w:rsidR="004D4EDF">
        <w:rPr>
          <w:rFonts w:ascii="Times New Roman" w:hAnsi="Times New Roman" w:cs="Times New Roman"/>
        </w:rPr>
        <w:t>September</w:t>
      </w:r>
      <w:r w:rsidR="008A1DE6">
        <w:rPr>
          <w:rFonts w:ascii="Times New Roman" w:hAnsi="Times New Roman" w:cs="Times New Roman"/>
        </w:rPr>
        <w:t xml:space="preserve"> 30</w:t>
      </w:r>
      <w:r>
        <w:rPr>
          <w:rFonts w:ascii="Times New Roman" w:hAnsi="Times New Roman" w:cs="Times New Roman"/>
        </w:rPr>
        <w:t>, 2023 compared to $2</w:t>
      </w:r>
      <w:r w:rsidR="008A1DE6">
        <w:rPr>
          <w:rFonts w:ascii="Times New Roman" w:hAnsi="Times New Roman" w:cs="Times New Roman"/>
        </w:rPr>
        <w:t>6.</w:t>
      </w:r>
      <w:r w:rsidR="00871389">
        <w:rPr>
          <w:rFonts w:ascii="Times New Roman" w:hAnsi="Times New Roman" w:cs="Times New Roman"/>
        </w:rPr>
        <w:t>51</w:t>
      </w:r>
      <w:r>
        <w:rPr>
          <w:rFonts w:ascii="Times New Roman" w:hAnsi="Times New Roman" w:cs="Times New Roman"/>
        </w:rPr>
        <w:t xml:space="preserve"> at </w:t>
      </w:r>
      <w:r w:rsidR="004D4EDF">
        <w:rPr>
          <w:rFonts w:ascii="Times New Roman" w:hAnsi="Times New Roman" w:cs="Times New Roman"/>
        </w:rPr>
        <w:t>June</w:t>
      </w:r>
      <w:r>
        <w:rPr>
          <w:rFonts w:ascii="Times New Roman" w:hAnsi="Times New Roman" w:cs="Times New Roman"/>
        </w:rPr>
        <w:t xml:space="preserve"> 3</w:t>
      </w:r>
      <w:r w:rsidR="00871389">
        <w:rPr>
          <w:rFonts w:ascii="Times New Roman" w:hAnsi="Times New Roman" w:cs="Times New Roman"/>
        </w:rPr>
        <w:t>0</w:t>
      </w:r>
      <w:r>
        <w:rPr>
          <w:rFonts w:ascii="Times New Roman" w:hAnsi="Times New Roman" w:cs="Times New Roman"/>
        </w:rPr>
        <w:t>, 202</w:t>
      </w:r>
      <w:r w:rsidR="008A1DE6">
        <w:rPr>
          <w:rFonts w:ascii="Times New Roman" w:hAnsi="Times New Roman" w:cs="Times New Roman"/>
        </w:rPr>
        <w:t>3</w:t>
      </w:r>
      <w:r>
        <w:rPr>
          <w:rFonts w:ascii="Times New Roman" w:hAnsi="Times New Roman" w:cs="Times New Roman"/>
        </w:rPr>
        <w:t xml:space="preserve"> (see “Non-GAAP Reconciliation” tables at the end of this news release). </w:t>
      </w:r>
    </w:p>
    <w:p w:rsidR="00EB54F0" w:rsidRDefault="00EB54F0" w:rsidP="00B33768">
      <w:pPr>
        <w:keepNext/>
        <w:keepLines/>
        <w:spacing w:after="200"/>
        <w:jc w:val="both"/>
        <w:rPr>
          <w:rFonts w:ascii="Times New Roman" w:hAnsi="Times New Roman" w:cs="Times New Roman"/>
          <w:u w:val="single"/>
        </w:rPr>
      </w:pPr>
      <w:r>
        <w:rPr>
          <w:rFonts w:ascii="Times New Roman" w:hAnsi="Times New Roman" w:cs="Times New Roman"/>
          <w:b/>
          <w:u w:val="single"/>
        </w:rPr>
        <w:t>Earnings Call Information</w:t>
      </w:r>
    </w:p>
    <w:p w:rsidR="00FE03DB" w:rsidRDefault="00EB54F0" w:rsidP="00B33768">
      <w:pPr>
        <w:keepNext/>
        <w:keepLines/>
        <w:spacing w:after="200"/>
        <w:jc w:val="both"/>
        <w:rPr>
          <w:rFonts w:ascii="Times New Roman" w:hAnsi="Times New Roman" w:cs="Times New Roman"/>
        </w:rPr>
      </w:pPr>
      <w:r>
        <w:rPr>
          <w:rFonts w:ascii="Times New Roman" w:hAnsi="Times New Roman" w:cs="Times New Roman"/>
        </w:rPr>
        <w:t xml:space="preserve">The Company will conduct a conference call </w:t>
      </w:r>
      <w:r w:rsidRPr="00E12071">
        <w:rPr>
          <w:rFonts w:ascii="Times New Roman" w:hAnsi="Times New Roman" w:cs="Times New Roman"/>
        </w:rPr>
        <w:t xml:space="preserve">at 8:30 a.m. (ET) on </w:t>
      </w:r>
      <w:r w:rsidR="00E12071" w:rsidRPr="00E12071">
        <w:rPr>
          <w:rFonts w:ascii="Times New Roman" w:hAnsi="Times New Roman" w:cs="Times New Roman"/>
        </w:rPr>
        <w:t>Thursday</w:t>
      </w:r>
      <w:r w:rsidR="00972734" w:rsidRPr="00E12071">
        <w:rPr>
          <w:rFonts w:ascii="Times New Roman" w:hAnsi="Times New Roman" w:cs="Times New Roman"/>
        </w:rPr>
        <w:t xml:space="preserve">, </w:t>
      </w:r>
      <w:r w:rsidR="00C15277" w:rsidRPr="00E12071">
        <w:rPr>
          <w:rFonts w:ascii="Times New Roman" w:hAnsi="Times New Roman" w:cs="Times New Roman"/>
        </w:rPr>
        <w:t>October</w:t>
      </w:r>
      <w:r w:rsidR="0009283A" w:rsidRPr="00E12071">
        <w:rPr>
          <w:rFonts w:ascii="Times New Roman" w:hAnsi="Times New Roman" w:cs="Times New Roman"/>
        </w:rPr>
        <w:t xml:space="preserve"> </w:t>
      </w:r>
      <w:r w:rsidR="00E12071" w:rsidRPr="00E12071">
        <w:rPr>
          <w:rFonts w:ascii="Times New Roman" w:hAnsi="Times New Roman" w:cs="Times New Roman"/>
        </w:rPr>
        <w:t>19</w:t>
      </w:r>
      <w:r w:rsidRPr="00E12071">
        <w:rPr>
          <w:rFonts w:ascii="Times New Roman" w:hAnsi="Times New Roman" w:cs="Times New Roman"/>
        </w:rPr>
        <w:t>, 202</w:t>
      </w:r>
      <w:r w:rsidR="00DE1A48" w:rsidRPr="00E12071">
        <w:rPr>
          <w:rFonts w:ascii="Times New Roman" w:hAnsi="Times New Roman" w:cs="Times New Roman"/>
        </w:rPr>
        <w:t>3</w:t>
      </w:r>
      <w:r w:rsidRPr="00E12071">
        <w:rPr>
          <w:rFonts w:ascii="Times New Roman" w:hAnsi="Times New Roman" w:cs="Times New Roman"/>
        </w:rPr>
        <w:t>, during</w:t>
      </w:r>
      <w:r>
        <w:rPr>
          <w:rFonts w:ascii="Times New Roman" w:hAnsi="Times New Roman" w:cs="Times New Roman"/>
        </w:rPr>
        <w:t xml:space="preserve"> which </w:t>
      </w:r>
      <w:r w:rsidR="00ED4723">
        <w:rPr>
          <w:rFonts w:ascii="Times New Roman" w:hAnsi="Times New Roman" w:cs="Times New Roman"/>
        </w:rPr>
        <w:t>CEO</w:t>
      </w:r>
      <w:r>
        <w:rPr>
          <w:rFonts w:ascii="Times New Roman" w:hAnsi="Times New Roman" w:cs="Times New Roman"/>
        </w:rPr>
        <w:t xml:space="preserve"> </w:t>
      </w:r>
      <w:r w:rsidR="00E12071">
        <w:rPr>
          <w:rFonts w:ascii="Times New Roman" w:hAnsi="Times New Roman" w:cs="Times New Roman"/>
        </w:rPr>
        <w:t>Lubow</w:t>
      </w:r>
      <w:r w:rsidR="00ED4723">
        <w:rPr>
          <w:rFonts w:ascii="Times New Roman" w:hAnsi="Times New Roman" w:cs="Times New Roman"/>
        </w:rPr>
        <w:t xml:space="preserve"> </w:t>
      </w:r>
      <w:r>
        <w:rPr>
          <w:rFonts w:ascii="Times New Roman" w:hAnsi="Times New Roman" w:cs="Times New Roman"/>
        </w:rPr>
        <w:t xml:space="preserve">will discuss the Company’s </w:t>
      </w:r>
      <w:r w:rsidR="00B03DF0">
        <w:rPr>
          <w:rFonts w:ascii="Times New Roman" w:hAnsi="Times New Roman" w:cs="Times New Roman"/>
        </w:rPr>
        <w:t>third</w:t>
      </w:r>
      <w:r>
        <w:rPr>
          <w:rFonts w:ascii="Times New Roman" w:hAnsi="Times New Roman" w:cs="Times New Roman"/>
        </w:rPr>
        <w:t xml:space="preserve"> quarter </w:t>
      </w:r>
      <w:r w:rsidR="00ED4723">
        <w:rPr>
          <w:rFonts w:ascii="Times New Roman" w:hAnsi="Times New Roman" w:cs="Times New Roman"/>
        </w:rPr>
        <w:t>202</w:t>
      </w:r>
      <w:r w:rsidR="00841CBA">
        <w:rPr>
          <w:rFonts w:ascii="Times New Roman" w:hAnsi="Times New Roman" w:cs="Times New Roman"/>
        </w:rPr>
        <w:t>3</w:t>
      </w:r>
      <w:r w:rsidR="00ED4723">
        <w:rPr>
          <w:rFonts w:ascii="Times New Roman" w:hAnsi="Times New Roman" w:cs="Times New Roman"/>
        </w:rPr>
        <w:t xml:space="preserve"> </w:t>
      </w:r>
      <w:r w:rsidR="00854DDE">
        <w:rPr>
          <w:rFonts w:ascii="Times New Roman" w:hAnsi="Times New Roman" w:cs="Times New Roman"/>
        </w:rPr>
        <w:t xml:space="preserve">financial </w:t>
      </w:r>
      <w:r>
        <w:rPr>
          <w:rFonts w:ascii="Times New Roman" w:hAnsi="Times New Roman" w:cs="Times New Roman"/>
        </w:rPr>
        <w:t>performance, with a question</w:t>
      </w:r>
      <w:r w:rsidR="00FE03DB">
        <w:rPr>
          <w:rFonts w:ascii="Times New Roman" w:hAnsi="Times New Roman" w:cs="Times New Roman"/>
        </w:rPr>
        <w:t>-</w:t>
      </w:r>
      <w:r>
        <w:rPr>
          <w:rFonts w:ascii="Times New Roman" w:hAnsi="Times New Roman" w:cs="Times New Roman"/>
        </w:rPr>
        <w:t>and</w:t>
      </w:r>
      <w:r w:rsidR="00FE03DB">
        <w:rPr>
          <w:rFonts w:ascii="Times New Roman" w:hAnsi="Times New Roman" w:cs="Times New Roman"/>
        </w:rPr>
        <w:t>-</w:t>
      </w:r>
      <w:r>
        <w:rPr>
          <w:rFonts w:ascii="Times New Roman" w:hAnsi="Times New Roman" w:cs="Times New Roman"/>
        </w:rPr>
        <w:t xml:space="preserve">answer session to follow. </w:t>
      </w:r>
    </w:p>
    <w:p w:rsidR="00FE03DB" w:rsidRPr="009273D9" w:rsidRDefault="00FE03DB" w:rsidP="00B33768">
      <w:pPr>
        <w:keepNext/>
        <w:keepLines/>
        <w:jc w:val="both"/>
        <w:rPr>
          <w:rFonts w:ascii="Times New Roman" w:hAnsi="Times New Roman" w:cs="Times New Roman"/>
        </w:rPr>
      </w:pPr>
      <w:r w:rsidRPr="009273D9">
        <w:rPr>
          <w:rFonts w:ascii="Times New Roman" w:hAnsi="Times New Roman" w:cs="Times New Roman"/>
        </w:rPr>
        <w:t xml:space="preserve">The conference call will be simultaneously webcast (listen only) and archived for a period of one year at </w:t>
      </w:r>
      <w:hyperlink r:id="rId9" w:history="1">
        <w:r w:rsidR="00E12071">
          <w:rPr>
            <w:rStyle w:val="Hyperlink"/>
            <w:rFonts w:ascii="Times New Roman" w:hAnsi="Times New Roman" w:cs="Times New Roman"/>
          </w:rPr>
          <w:t>https://events.q4inc.com/attendee/616795871.</w:t>
        </w:r>
      </w:hyperlink>
      <w:r w:rsidR="00E12071">
        <w:rPr>
          <w:rStyle w:val="Hyperlink"/>
          <w:rFonts w:ascii="Times New Roman" w:hAnsi="Times New Roman" w:cs="Times New Roman"/>
        </w:rPr>
        <w:t xml:space="preserve">                                                                </w:t>
      </w:r>
      <w:r w:rsidR="00F03F40" w:rsidRPr="009273D9">
        <w:rPr>
          <w:rFonts w:ascii="Times New Roman" w:hAnsi="Times New Roman" w:cs="Times New Roman"/>
        </w:rPr>
        <w:t xml:space="preserve"> </w:t>
      </w:r>
    </w:p>
    <w:p w:rsidR="00FE03DB" w:rsidRPr="009273D9" w:rsidRDefault="00FE03DB" w:rsidP="00B33768">
      <w:pPr>
        <w:keepNext/>
        <w:keepLines/>
        <w:spacing w:after="120"/>
        <w:rPr>
          <w:rFonts w:ascii="Times New Roman" w:hAnsi="Times New Roman" w:cs="Times New Roman"/>
          <w:b/>
          <w:bCs/>
        </w:rPr>
      </w:pPr>
    </w:p>
    <w:p w:rsidR="00FE03DB" w:rsidRPr="009273D9" w:rsidRDefault="00FE03DB" w:rsidP="00B33768">
      <w:pPr>
        <w:keepNext/>
        <w:keepLines/>
        <w:spacing w:after="120"/>
        <w:rPr>
          <w:rFonts w:ascii="Times New Roman" w:hAnsi="Times New Roman" w:cs="Times New Roman"/>
        </w:rPr>
      </w:pPr>
      <w:r w:rsidRPr="009273D9">
        <w:rPr>
          <w:rFonts w:ascii="Times New Roman" w:hAnsi="Times New Roman" w:cs="Times New Roman"/>
          <w:b/>
          <w:bCs/>
        </w:rPr>
        <w:t>Conference Call Details</w:t>
      </w:r>
      <w:r w:rsidRPr="009273D9">
        <w:rPr>
          <w:rFonts w:ascii="Times New Roman" w:hAnsi="Times New Roman" w:cs="Times New Roman"/>
        </w:rPr>
        <w:t xml:space="preserve">: </w:t>
      </w:r>
    </w:p>
    <w:p w:rsidR="00FE03DB" w:rsidRPr="009273D9" w:rsidRDefault="00FE03DB" w:rsidP="00B33768">
      <w:pPr>
        <w:keepNext/>
        <w:keepLines/>
        <w:spacing w:after="120"/>
        <w:rPr>
          <w:rFonts w:ascii="Times New Roman" w:hAnsi="Times New Roman" w:cs="Times New Roman"/>
        </w:rPr>
      </w:pPr>
      <w:r w:rsidRPr="009273D9">
        <w:rPr>
          <w:rFonts w:ascii="Times New Roman" w:hAnsi="Times New Roman" w:cs="Times New Roman"/>
        </w:rPr>
        <w:t xml:space="preserve">Dial-in for Live Call: </w:t>
      </w:r>
      <w:r w:rsidRPr="009273D9">
        <w:rPr>
          <w:rFonts w:ascii="Times New Roman" w:hAnsi="Times New Roman" w:cs="Times New Roman"/>
        </w:rPr>
        <w:tab/>
        <w:t xml:space="preserve">  </w:t>
      </w:r>
      <w:r w:rsidRPr="009273D9">
        <w:rPr>
          <w:rFonts w:ascii="Times New Roman" w:hAnsi="Times New Roman" w:cs="Times New Roman"/>
        </w:rPr>
        <w:tab/>
      </w:r>
      <w:r w:rsidRPr="009273D9">
        <w:rPr>
          <w:rFonts w:ascii="Times New Roman" w:hAnsi="Times New Roman" w:cs="Times New Roman"/>
        </w:rPr>
        <w:tab/>
      </w:r>
      <w:r w:rsidRPr="009273D9">
        <w:rPr>
          <w:rFonts w:ascii="Times New Roman" w:hAnsi="Times New Roman" w:cs="Times New Roman"/>
        </w:rPr>
        <w:tab/>
        <w:t xml:space="preserve">  </w:t>
      </w:r>
    </w:p>
    <w:p w:rsidR="00FE03DB" w:rsidRPr="00D43A48" w:rsidRDefault="00FE03DB" w:rsidP="00B33768">
      <w:pPr>
        <w:keepNext/>
        <w:keepLines/>
        <w:rPr>
          <w:rFonts w:ascii="Times New Roman" w:hAnsi="Times New Roman" w:cs="Times New Roman"/>
        </w:rPr>
      </w:pPr>
      <w:r w:rsidRPr="00D43A48">
        <w:rPr>
          <w:rFonts w:ascii="Times New Roman" w:hAnsi="Times New Roman" w:cs="Times New Roman"/>
        </w:rPr>
        <w:t xml:space="preserve">United States: </w:t>
      </w:r>
      <w:r w:rsidRPr="00D43A48">
        <w:rPr>
          <w:rFonts w:ascii="Times New Roman" w:hAnsi="Times New Roman" w:cs="Times New Roman"/>
        </w:rPr>
        <w:tab/>
      </w:r>
      <w:r w:rsidRPr="00D43A48">
        <w:rPr>
          <w:rFonts w:ascii="Times New Roman" w:hAnsi="Times New Roman" w:cs="Times New Roman"/>
        </w:rPr>
        <w:tab/>
      </w:r>
      <w:r w:rsidRPr="00D43A48">
        <w:rPr>
          <w:rFonts w:ascii="Times New Roman" w:hAnsi="Times New Roman" w:cs="Times New Roman"/>
        </w:rPr>
        <w:tab/>
      </w:r>
      <w:r w:rsidR="002A5C4E" w:rsidRPr="00D43A48">
        <w:rPr>
          <w:rFonts w:ascii="Times New Roman" w:hAnsi="Times New Roman" w:cs="Times New Roman"/>
        </w:rPr>
        <w:t>1-833-470-1428</w:t>
      </w:r>
    </w:p>
    <w:p w:rsidR="00FE03DB" w:rsidRPr="00D43A48" w:rsidRDefault="00FE03DB" w:rsidP="00B33768">
      <w:pPr>
        <w:keepNext/>
        <w:keepLines/>
        <w:rPr>
          <w:rFonts w:ascii="Times New Roman" w:hAnsi="Times New Roman" w:cs="Times New Roman"/>
        </w:rPr>
      </w:pPr>
      <w:r w:rsidRPr="00D43A48">
        <w:rPr>
          <w:rFonts w:ascii="Times New Roman" w:hAnsi="Times New Roman" w:cs="Times New Roman"/>
        </w:rPr>
        <w:t>International:</w:t>
      </w:r>
      <w:r w:rsidRPr="00D43A48">
        <w:rPr>
          <w:rFonts w:ascii="Times New Roman" w:hAnsi="Times New Roman" w:cs="Times New Roman"/>
        </w:rPr>
        <w:tab/>
      </w:r>
      <w:r w:rsidRPr="00D43A48">
        <w:rPr>
          <w:rFonts w:ascii="Times New Roman" w:hAnsi="Times New Roman" w:cs="Times New Roman"/>
        </w:rPr>
        <w:tab/>
      </w:r>
      <w:r w:rsidRPr="00D43A48">
        <w:rPr>
          <w:rFonts w:ascii="Times New Roman" w:hAnsi="Times New Roman" w:cs="Times New Roman"/>
        </w:rPr>
        <w:tab/>
        <w:t>+1-929-526-1599</w:t>
      </w:r>
    </w:p>
    <w:p w:rsidR="00FE03DB" w:rsidRPr="00D43A48" w:rsidRDefault="00FE03DB" w:rsidP="00B33768">
      <w:pPr>
        <w:keepNext/>
        <w:keepLines/>
        <w:rPr>
          <w:rFonts w:ascii="Times New Roman" w:hAnsi="Times New Roman" w:cs="Times New Roman"/>
        </w:rPr>
      </w:pPr>
      <w:r w:rsidRPr="00D43A48">
        <w:rPr>
          <w:rFonts w:ascii="Times New Roman" w:hAnsi="Times New Roman" w:cs="Times New Roman"/>
        </w:rPr>
        <w:t>Access code:</w:t>
      </w:r>
      <w:r w:rsidRPr="00D43A48">
        <w:rPr>
          <w:rFonts w:ascii="Times New Roman" w:hAnsi="Times New Roman" w:cs="Times New Roman"/>
        </w:rPr>
        <w:tab/>
      </w:r>
      <w:r w:rsidRPr="00D43A48">
        <w:rPr>
          <w:rFonts w:ascii="Times New Roman" w:hAnsi="Times New Roman" w:cs="Times New Roman"/>
        </w:rPr>
        <w:tab/>
      </w:r>
      <w:r w:rsidRPr="00D43A48">
        <w:rPr>
          <w:rFonts w:ascii="Times New Roman" w:hAnsi="Times New Roman" w:cs="Times New Roman"/>
        </w:rPr>
        <w:tab/>
      </w:r>
      <w:r w:rsidR="00E12071">
        <w:rPr>
          <w:rFonts w:ascii="Times New Roman" w:hAnsi="Times New Roman" w:cs="Times New Roman"/>
        </w:rPr>
        <w:t>193919</w:t>
      </w:r>
    </w:p>
    <w:p w:rsidR="00FE03DB" w:rsidRPr="00C20A0E" w:rsidRDefault="00FE03DB" w:rsidP="00FE03DB">
      <w:pPr>
        <w:spacing w:after="120"/>
        <w:rPr>
          <w:rFonts w:ascii="Times New Roman" w:hAnsi="Times New Roman" w:cs="Times New Roman"/>
          <w:highlight w:val="yellow"/>
        </w:rPr>
      </w:pPr>
    </w:p>
    <w:p w:rsidR="00FE03DB" w:rsidRPr="00D43A48" w:rsidRDefault="00FE03DB" w:rsidP="00FE03DB">
      <w:pPr>
        <w:spacing w:after="120"/>
        <w:rPr>
          <w:rFonts w:ascii="Times New Roman" w:hAnsi="Times New Roman" w:cs="Times New Roman"/>
        </w:rPr>
      </w:pPr>
      <w:r w:rsidRPr="00D43A48">
        <w:rPr>
          <w:rFonts w:ascii="Times New Roman" w:hAnsi="Times New Roman" w:cs="Times New Roman"/>
        </w:rPr>
        <w:t>Telephone Replay:</w:t>
      </w:r>
    </w:p>
    <w:p w:rsidR="00FE03DB" w:rsidRPr="00E12071" w:rsidRDefault="00FE03DB" w:rsidP="00FE03DB">
      <w:pPr>
        <w:spacing w:after="120"/>
        <w:rPr>
          <w:rFonts w:ascii="Times New Roman" w:hAnsi="Times New Roman" w:cs="Times New Roman"/>
        </w:rPr>
      </w:pPr>
      <w:r w:rsidRPr="00E12071">
        <w:rPr>
          <w:rFonts w:ascii="Times New Roman" w:hAnsi="Times New Roman" w:cs="Times New Roman"/>
        </w:rPr>
        <w:t xml:space="preserve">A recording will be available until </w:t>
      </w:r>
      <w:r w:rsidR="00E12071" w:rsidRPr="00E12071">
        <w:rPr>
          <w:rFonts w:ascii="Times New Roman" w:hAnsi="Times New Roman" w:cs="Times New Roman"/>
        </w:rPr>
        <w:t>Thursd</w:t>
      </w:r>
      <w:r w:rsidRPr="00E12071">
        <w:rPr>
          <w:rFonts w:ascii="Times New Roman" w:hAnsi="Times New Roman" w:cs="Times New Roman"/>
        </w:rPr>
        <w:t xml:space="preserve">ay, </w:t>
      </w:r>
      <w:r w:rsidR="00E12071" w:rsidRPr="00E12071">
        <w:rPr>
          <w:rFonts w:ascii="Times New Roman" w:hAnsi="Times New Roman" w:cs="Times New Roman"/>
        </w:rPr>
        <w:t>November 2</w:t>
      </w:r>
      <w:r w:rsidRPr="00E12071">
        <w:rPr>
          <w:rFonts w:ascii="Times New Roman" w:hAnsi="Times New Roman" w:cs="Times New Roman"/>
        </w:rPr>
        <w:t>, 202</w:t>
      </w:r>
      <w:r w:rsidR="00DE1A48" w:rsidRPr="00E12071">
        <w:rPr>
          <w:rFonts w:ascii="Times New Roman" w:hAnsi="Times New Roman" w:cs="Times New Roman"/>
        </w:rPr>
        <w:t>3</w:t>
      </w:r>
      <w:r w:rsidRPr="00E12071">
        <w:rPr>
          <w:rFonts w:ascii="Times New Roman" w:hAnsi="Times New Roman" w:cs="Times New Roman"/>
        </w:rPr>
        <w:t xml:space="preserve">. </w:t>
      </w:r>
      <w:r w:rsidRPr="00E12071">
        <w:rPr>
          <w:rFonts w:ascii="Times New Roman" w:hAnsi="Times New Roman" w:cs="Times New Roman"/>
        </w:rPr>
        <w:tab/>
      </w:r>
      <w:r w:rsidRPr="00E12071">
        <w:rPr>
          <w:rFonts w:ascii="Times New Roman" w:hAnsi="Times New Roman" w:cs="Times New Roman"/>
        </w:rPr>
        <w:tab/>
      </w:r>
      <w:r w:rsidRPr="00E12071">
        <w:rPr>
          <w:rFonts w:ascii="Times New Roman" w:hAnsi="Times New Roman" w:cs="Times New Roman"/>
        </w:rPr>
        <w:tab/>
      </w:r>
      <w:r w:rsidRPr="00E12071">
        <w:rPr>
          <w:rFonts w:ascii="Times New Roman" w:hAnsi="Times New Roman" w:cs="Times New Roman"/>
        </w:rPr>
        <w:tab/>
      </w:r>
      <w:r w:rsidRPr="00E12071">
        <w:rPr>
          <w:rFonts w:ascii="Times New Roman" w:hAnsi="Times New Roman" w:cs="Times New Roman"/>
        </w:rPr>
        <w:tab/>
        <w:t xml:space="preserve">  </w:t>
      </w:r>
    </w:p>
    <w:p w:rsidR="00FE03DB" w:rsidRPr="00E12071" w:rsidRDefault="00FE03DB" w:rsidP="00FE03DB">
      <w:pPr>
        <w:rPr>
          <w:rFonts w:ascii="Times New Roman" w:hAnsi="Times New Roman" w:cs="Times New Roman"/>
        </w:rPr>
      </w:pPr>
      <w:r w:rsidRPr="00E12071">
        <w:rPr>
          <w:rFonts w:ascii="Times New Roman" w:hAnsi="Times New Roman" w:cs="Times New Roman"/>
        </w:rPr>
        <w:t xml:space="preserve">United States: </w:t>
      </w:r>
      <w:r w:rsidRPr="00E12071">
        <w:rPr>
          <w:rFonts w:ascii="Times New Roman" w:hAnsi="Times New Roman" w:cs="Times New Roman"/>
        </w:rPr>
        <w:tab/>
      </w:r>
      <w:r w:rsidRPr="00E12071">
        <w:rPr>
          <w:rFonts w:ascii="Times New Roman" w:hAnsi="Times New Roman" w:cs="Times New Roman"/>
        </w:rPr>
        <w:tab/>
      </w:r>
      <w:r w:rsidRPr="00E12071">
        <w:rPr>
          <w:rFonts w:ascii="Times New Roman" w:hAnsi="Times New Roman" w:cs="Times New Roman"/>
        </w:rPr>
        <w:tab/>
        <w:t>1-866-813-9403</w:t>
      </w:r>
    </w:p>
    <w:p w:rsidR="00FE03DB" w:rsidRPr="00D43A48" w:rsidRDefault="00FE03DB" w:rsidP="00FE03DB">
      <w:pPr>
        <w:rPr>
          <w:rFonts w:ascii="Times New Roman" w:hAnsi="Times New Roman" w:cs="Times New Roman"/>
        </w:rPr>
      </w:pPr>
      <w:r w:rsidRPr="00E12071">
        <w:rPr>
          <w:rFonts w:ascii="Times New Roman" w:hAnsi="Times New Roman" w:cs="Times New Roman"/>
        </w:rPr>
        <w:t>International:</w:t>
      </w:r>
      <w:r w:rsidRPr="00E12071">
        <w:rPr>
          <w:rFonts w:ascii="Times New Roman" w:hAnsi="Times New Roman" w:cs="Times New Roman"/>
        </w:rPr>
        <w:tab/>
      </w:r>
      <w:r w:rsidRPr="00E12071">
        <w:rPr>
          <w:rFonts w:ascii="Times New Roman" w:hAnsi="Times New Roman" w:cs="Times New Roman"/>
        </w:rPr>
        <w:tab/>
      </w:r>
      <w:r w:rsidRPr="00E12071">
        <w:rPr>
          <w:rFonts w:ascii="Times New Roman" w:hAnsi="Times New Roman" w:cs="Times New Roman"/>
        </w:rPr>
        <w:tab/>
        <w:t>+44-204-525-0658</w:t>
      </w:r>
      <w:r w:rsidRPr="00D43A48">
        <w:rPr>
          <w:rFonts w:ascii="Times New Roman" w:hAnsi="Times New Roman" w:cs="Times New Roman"/>
        </w:rPr>
        <w:t xml:space="preserve">  </w:t>
      </w:r>
    </w:p>
    <w:p w:rsidR="00FE03DB" w:rsidRDefault="00FE03DB" w:rsidP="002A5C4E">
      <w:pPr>
        <w:rPr>
          <w:rFonts w:ascii="Times New Roman" w:hAnsi="Times New Roman" w:cs="Times New Roman"/>
        </w:rPr>
      </w:pPr>
      <w:r w:rsidRPr="00D43A48">
        <w:rPr>
          <w:rFonts w:ascii="Times New Roman" w:hAnsi="Times New Roman" w:cs="Times New Roman"/>
        </w:rPr>
        <w:t xml:space="preserve">Access code: </w:t>
      </w:r>
      <w:r w:rsidRPr="00D43A48">
        <w:rPr>
          <w:rFonts w:ascii="Times New Roman" w:hAnsi="Times New Roman" w:cs="Times New Roman"/>
        </w:rPr>
        <w:tab/>
      </w:r>
      <w:r w:rsidRPr="00D43A48">
        <w:rPr>
          <w:rFonts w:ascii="Times New Roman" w:hAnsi="Times New Roman" w:cs="Times New Roman"/>
        </w:rPr>
        <w:tab/>
      </w:r>
      <w:r w:rsidRPr="00D43A48">
        <w:rPr>
          <w:rFonts w:ascii="Times New Roman" w:hAnsi="Times New Roman" w:cs="Times New Roman"/>
        </w:rPr>
        <w:tab/>
      </w:r>
      <w:r w:rsidR="00E12071">
        <w:rPr>
          <w:rFonts w:ascii="Times New Roman" w:hAnsi="Times New Roman" w:cs="Times New Roman"/>
        </w:rPr>
        <w:t>861279</w:t>
      </w:r>
    </w:p>
    <w:p w:rsidR="002A5C4E" w:rsidRDefault="002A5C4E" w:rsidP="002A5C4E">
      <w:pPr>
        <w:rPr>
          <w:rFonts w:ascii="Times New Roman" w:hAnsi="Times New Roman" w:cs="Times New Roman"/>
          <w:b/>
        </w:rPr>
      </w:pPr>
    </w:p>
    <w:p w:rsidR="00EB54F0" w:rsidRDefault="00EB54F0" w:rsidP="00EB54F0">
      <w:pPr>
        <w:jc w:val="both"/>
        <w:rPr>
          <w:rFonts w:ascii="Times New Roman" w:hAnsi="Times New Roman" w:cs="Times New Roman"/>
        </w:rPr>
      </w:pPr>
      <w:r>
        <w:rPr>
          <w:rFonts w:ascii="Times New Roman" w:hAnsi="Times New Roman" w:cs="Times New Roman"/>
          <w:b/>
        </w:rPr>
        <w:t>ABOUT DIME COMMUNITY BANCSHARES, INC.</w:t>
      </w:r>
    </w:p>
    <w:p w:rsidR="00EB54F0" w:rsidRDefault="00EB54F0" w:rsidP="00EB54F0">
      <w:pPr>
        <w:jc w:val="both"/>
        <w:rPr>
          <w:rFonts w:ascii="Times New Roman" w:hAnsi="Times New Roman" w:cs="Times New Roman"/>
        </w:rPr>
      </w:pPr>
      <w:r>
        <w:rPr>
          <w:rFonts w:ascii="Times New Roman" w:hAnsi="Times New Roman" w:cs="Times New Roman"/>
        </w:rPr>
        <w:t>Dime Community Bancshares, Inc. is the holding company for Dime Community Bank, a New York State-chartered trust company with</w:t>
      </w:r>
      <w:r w:rsidR="00372788">
        <w:rPr>
          <w:rFonts w:ascii="Times New Roman" w:hAnsi="Times New Roman" w:cs="Times New Roman"/>
        </w:rPr>
        <w:t xml:space="preserve"> </w:t>
      </w:r>
      <w:r w:rsidR="00372788" w:rsidRPr="004522B6">
        <w:rPr>
          <w:rFonts w:ascii="Times New Roman" w:hAnsi="Times New Roman" w:cs="Times New Roman"/>
        </w:rPr>
        <w:t xml:space="preserve">over </w:t>
      </w:r>
      <w:r w:rsidRPr="004522B6">
        <w:rPr>
          <w:rFonts w:ascii="Times New Roman" w:hAnsi="Times New Roman" w:cs="Times New Roman"/>
        </w:rPr>
        <w:t>$</w:t>
      </w:r>
      <w:r w:rsidR="009F28A9">
        <w:rPr>
          <w:rFonts w:ascii="Times New Roman" w:hAnsi="Times New Roman" w:cs="Times New Roman"/>
        </w:rPr>
        <w:t>13.</w:t>
      </w:r>
      <w:r w:rsidR="00C25C21">
        <w:rPr>
          <w:rFonts w:ascii="Times New Roman" w:hAnsi="Times New Roman" w:cs="Times New Roman"/>
        </w:rPr>
        <w:t>7</w:t>
      </w:r>
      <w:r w:rsidRPr="004522B6">
        <w:rPr>
          <w:rFonts w:ascii="Times New Roman" w:hAnsi="Times New Roman" w:cs="Times New Roman"/>
        </w:rPr>
        <w:t xml:space="preserve"> bill</w:t>
      </w:r>
      <w:r w:rsidRPr="004935ED">
        <w:rPr>
          <w:rFonts w:ascii="Times New Roman" w:hAnsi="Times New Roman" w:cs="Times New Roman"/>
        </w:rPr>
        <w:t>ion</w:t>
      </w:r>
      <w:r>
        <w:rPr>
          <w:rFonts w:ascii="Times New Roman" w:hAnsi="Times New Roman" w:cs="Times New Roman"/>
        </w:rPr>
        <w:t xml:space="preserve"> in assets and </w:t>
      </w:r>
      <w:r w:rsidR="006478A2">
        <w:rPr>
          <w:rFonts w:ascii="Times New Roman" w:hAnsi="Times New Roman" w:cs="Times New Roman"/>
        </w:rPr>
        <w:t xml:space="preserve">the </w:t>
      </w:r>
      <w:r>
        <w:rPr>
          <w:rFonts w:ascii="Times New Roman" w:hAnsi="Times New Roman" w:cs="Times New Roman"/>
        </w:rPr>
        <w:t>number one deposit market share among community banks on Greater Long Island</w:t>
      </w:r>
      <w:r>
        <w:rPr>
          <w:rFonts w:ascii="Times New Roman" w:hAnsi="Times New Roman" w:cs="Times New Roman"/>
          <w:vertAlign w:val="superscript"/>
        </w:rPr>
        <w:t>(1)</w:t>
      </w:r>
      <w:r>
        <w:rPr>
          <w:rFonts w:ascii="Times New Roman" w:hAnsi="Times New Roman" w:cs="Times New Roman"/>
        </w:rPr>
        <w:t xml:space="preserve">. </w:t>
      </w:r>
    </w:p>
    <w:p w:rsidR="00EB54F0" w:rsidRDefault="00EB54F0" w:rsidP="00EB54F0">
      <w:pPr>
        <w:jc w:val="both"/>
        <w:rPr>
          <w:rFonts w:ascii="Times New Roman" w:hAnsi="Times New Roman" w:cs="Times New Roman"/>
        </w:rPr>
      </w:pPr>
    </w:p>
    <w:p w:rsidR="00EB54F0" w:rsidRDefault="00EB54F0" w:rsidP="00FF6A46">
      <w:pPr>
        <w:jc w:val="both"/>
        <w:rPr>
          <w:rFonts w:ascii="Times New Roman" w:hAnsi="Times New Roman" w:cs="Times New Roman"/>
          <w:color w:val="232323"/>
        </w:rPr>
      </w:pPr>
      <w:r>
        <w:rPr>
          <w:rFonts w:ascii="Times New Roman" w:hAnsi="Times New Roman" w:cs="Times New Roman"/>
          <w:color w:val="232323"/>
          <w:bdr w:val="none" w:sz="0" w:space="0" w:color="auto" w:frame="1"/>
          <w:vertAlign w:val="superscript"/>
        </w:rPr>
        <w:t>(1)</w:t>
      </w:r>
      <w:r>
        <w:rPr>
          <w:rFonts w:ascii="Times New Roman" w:hAnsi="Times New Roman" w:cs="Times New Roman"/>
          <w:color w:val="232323"/>
        </w:rPr>
        <w:t xml:space="preserve"> Aggregate deposit market share for Kings, Queens, Nassau &amp; Suffolk counties for community banks less than $20 billion in assets.</w:t>
      </w:r>
    </w:p>
    <w:p w:rsidR="005B6C0F" w:rsidRPr="00C01344" w:rsidRDefault="005B6C0F" w:rsidP="005B6C0F">
      <w:pPr>
        <w:spacing w:after="200"/>
        <w:jc w:val="both"/>
        <w:rPr>
          <w:rFonts w:ascii="Times New Roman" w:hAnsi="Times New Roman" w:cs="Times New Roman"/>
        </w:rPr>
      </w:pPr>
    </w:p>
    <w:p w:rsidR="005B6C0F" w:rsidRPr="00C01344" w:rsidRDefault="0086205B" w:rsidP="005B6C0F">
      <w:pPr>
        <w:spacing w:after="200"/>
        <w:jc w:val="both"/>
        <w:rPr>
          <w:rFonts w:ascii="Times New Roman" w:hAnsi="Times New Roman" w:cs="Times New Roman"/>
        </w:rPr>
      </w:pPr>
      <w:r w:rsidRPr="00C01344">
        <w:rPr>
          <w:rFonts w:ascii="Times New Roman" w:hAnsi="Times New Roman" w:cs="Times New Roman"/>
          <w:i/>
        </w:rPr>
        <w:t xml:space="preserve">This </w:t>
      </w:r>
      <w:r w:rsidR="00BF7D13" w:rsidRPr="00C01344">
        <w:rPr>
          <w:rFonts w:ascii="Times New Roman" w:hAnsi="Times New Roman" w:cs="Times New Roman"/>
          <w:i/>
        </w:rPr>
        <w:t>n</w:t>
      </w:r>
      <w:r w:rsidRPr="00C01344">
        <w:rPr>
          <w:rFonts w:ascii="Times New Roman" w:hAnsi="Times New Roman" w:cs="Times New Roman"/>
          <w:i/>
        </w:rPr>
        <w:t xml:space="preserve">ews </w:t>
      </w:r>
      <w:r w:rsidR="00BF7D13" w:rsidRPr="00C01344">
        <w:rPr>
          <w:rFonts w:ascii="Times New Roman" w:hAnsi="Times New Roman" w:cs="Times New Roman"/>
          <w:i/>
        </w:rPr>
        <w:t>r</w:t>
      </w:r>
      <w:r w:rsidRPr="00C01344">
        <w:rPr>
          <w:rFonts w:ascii="Times New Roman" w:hAnsi="Times New Roman" w:cs="Times New Roman"/>
          <w:i/>
        </w:rPr>
        <w:t xml:space="preserve">elease contains a number of forward-looking statements within the meaning of Section 27A of the Securities Act of 1933, as amended and Section 21E of the Securities Exchange Act of 1934, as amended (the "Exchange Act"). These statements may be identified by use of words such as </w:t>
      </w:r>
      <w:r w:rsidR="00832B90">
        <w:rPr>
          <w:rFonts w:ascii="Times New Roman" w:hAnsi="Times New Roman" w:cs="Times New Roman"/>
          <w:i/>
        </w:rPr>
        <w:t>“annualized,</w:t>
      </w:r>
      <w:r w:rsidRPr="00C01344">
        <w:rPr>
          <w:rFonts w:ascii="Times New Roman" w:hAnsi="Times New Roman" w:cs="Times New Roman"/>
          <w:i/>
        </w:rPr>
        <w:t>"</w:t>
      </w:r>
      <w:r w:rsidR="002328BA">
        <w:rPr>
          <w:rFonts w:ascii="Times New Roman" w:hAnsi="Times New Roman" w:cs="Times New Roman"/>
          <w:i/>
        </w:rPr>
        <w:t xml:space="preserve"> “</w:t>
      </w:r>
      <w:r w:rsidRPr="00C01344">
        <w:rPr>
          <w:rFonts w:ascii="Times New Roman" w:hAnsi="Times New Roman" w:cs="Times New Roman"/>
          <w:i/>
        </w:rPr>
        <w:t xml:space="preserve">anticipate," "believe," </w:t>
      </w:r>
      <w:r w:rsidR="00BF7D13" w:rsidRPr="00C01344">
        <w:rPr>
          <w:rFonts w:ascii="Times New Roman" w:hAnsi="Times New Roman" w:cs="Times New Roman"/>
          <w:i/>
        </w:rPr>
        <w:t xml:space="preserve">“continue,” </w:t>
      </w:r>
      <w:r w:rsidRPr="00C01344">
        <w:rPr>
          <w:rFonts w:ascii="Times New Roman" w:hAnsi="Times New Roman" w:cs="Times New Roman"/>
          <w:i/>
        </w:rPr>
        <w:t>"could," "estimate," "expect," "intend,"</w:t>
      </w:r>
      <w:r w:rsidR="00BF7D13" w:rsidRPr="00C01344">
        <w:rPr>
          <w:rFonts w:ascii="Times New Roman" w:hAnsi="Times New Roman" w:cs="Times New Roman"/>
          <w:i/>
        </w:rPr>
        <w:t xml:space="preserve"> “likely,”</w:t>
      </w:r>
      <w:r w:rsidRPr="00C01344">
        <w:rPr>
          <w:rFonts w:ascii="Times New Roman" w:hAnsi="Times New Roman" w:cs="Times New Roman"/>
          <w:i/>
        </w:rPr>
        <w:t xml:space="preserve"> "may," "outlook," "plan," "potential," "predict," "project," "should," "will," "would" and similar terms and phrases, including references to assumptions.</w:t>
      </w:r>
    </w:p>
    <w:p w:rsidR="00902CCC" w:rsidRDefault="0086205B" w:rsidP="00902CCC">
      <w:pPr>
        <w:spacing w:after="200"/>
        <w:jc w:val="both"/>
        <w:rPr>
          <w:rFonts w:ascii="Times New Roman" w:hAnsi="Times New Roman" w:cs="Times New Roman"/>
        </w:rPr>
      </w:pPr>
      <w:r w:rsidRPr="00C01344">
        <w:rPr>
          <w:rFonts w:ascii="Times New Roman" w:hAnsi="Times New Roman" w:cs="Times New Roman"/>
          <w:i/>
        </w:rPr>
        <w:t>Forward-looking statements are based upon various assumptions and analyses made by the Company in light of management's experience and its perception of historical trends, current conditions and expected future developments, as well as other factors it believes are appropriate under the circumstances. These statements are not guarantees of</w:t>
      </w:r>
      <w:r w:rsidR="00317CF2">
        <w:rPr>
          <w:rFonts w:ascii="Times New Roman" w:hAnsi="Times New Roman" w:cs="Times New Roman"/>
          <w:i/>
        </w:rPr>
        <w:t xml:space="preserve"> </w:t>
      </w:r>
      <w:r w:rsidRPr="00C01344">
        <w:rPr>
          <w:rFonts w:ascii="Times New Roman" w:hAnsi="Times New Roman" w:cs="Times New Roman"/>
          <w:i/>
        </w:rPr>
        <w:t xml:space="preserve">future performance and are subject to risks, uncertainties and other factors (many of which are beyond the Company's control) that could cause actual results to differ materially from future results expressed or implied by such forward-looking statements. </w:t>
      </w:r>
      <w:r w:rsidR="00FB5E36" w:rsidRPr="00C01344">
        <w:rPr>
          <w:rFonts w:ascii="Times New Roman" w:hAnsi="Times New Roman" w:cs="Times New Roman"/>
          <w:i/>
        </w:rPr>
        <w:t>Accordingly, you should not place undue reliance on such statements. F</w:t>
      </w:r>
      <w:r w:rsidRPr="00C01344">
        <w:rPr>
          <w:rFonts w:ascii="Times New Roman" w:hAnsi="Times New Roman" w:cs="Times New Roman"/>
          <w:i/>
        </w:rPr>
        <w:t xml:space="preserve">actors </w:t>
      </w:r>
      <w:r w:rsidR="00FB5E36" w:rsidRPr="00C01344">
        <w:rPr>
          <w:rFonts w:ascii="Times New Roman" w:hAnsi="Times New Roman" w:cs="Times New Roman"/>
          <w:i/>
        </w:rPr>
        <w:t xml:space="preserve">that could affect our results </w:t>
      </w:r>
      <w:r w:rsidRPr="00C01344">
        <w:rPr>
          <w:rFonts w:ascii="Times New Roman" w:hAnsi="Times New Roman" w:cs="Times New Roman"/>
          <w:i/>
        </w:rPr>
        <w:t xml:space="preserve">include, without limitation, the following: the timing and occurrence or non-occurrence of events may be subject to circumstances beyond the Company’s control; there may be increases in competitive pressure among financial institutions or from non-financial institutions; changes in the interest rate environment may </w:t>
      </w:r>
      <w:r w:rsidR="007D353D">
        <w:rPr>
          <w:rFonts w:ascii="Times New Roman" w:hAnsi="Times New Roman" w:cs="Times New Roman"/>
          <w:i/>
        </w:rPr>
        <w:t xml:space="preserve">affect demand for our products and </w:t>
      </w:r>
      <w:r w:rsidRPr="00C01344">
        <w:rPr>
          <w:rFonts w:ascii="Times New Roman" w:hAnsi="Times New Roman" w:cs="Times New Roman"/>
          <w:i/>
        </w:rPr>
        <w:t>reduce interest margins</w:t>
      </w:r>
      <w:r w:rsidR="007D353D">
        <w:rPr>
          <w:rFonts w:ascii="Times New Roman" w:hAnsi="Times New Roman" w:cs="Times New Roman"/>
          <w:i/>
        </w:rPr>
        <w:t xml:space="preserve"> and the value of our investments</w:t>
      </w:r>
      <w:r w:rsidRPr="00C01344">
        <w:rPr>
          <w:rFonts w:ascii="Times New Roman" w:hAnsi="Times New Roman" w:cs="Times New Roman"/>
          <w:i/>
        </w:rPr>
        <w:t xml:space="preserve">; changes in deposit flows, loan demand or real estate values may adversely affect the business of </w:t>
      </w:r>
      <w:r w:rsidR="00BF7D13" w:rsidRPr="00C01344">
        <w:rPr>
          <w:rFonts w:ascii="Times New Roman" w:hAnsi="Times New Roman" w:cs="Times New Roman"/>
          <w:i/>
        </w:rPr>
        <w:t>the Company</w:t>
      </w:r>
      <w:r w:rsidRPr="00C01344">
        <w:rPr>
          <w:rFonts w:ascii="Times New Roman" w:hAnsi="Times New Roman" w:cs="Times New Roman"/>
          <w:i/>
        </w:rPr>
        <w:t xml:space="preserve">; </w:t>
      </w:r>
      <w:r w:rsidR="002328BA">
        <w:rPr>
          <w:rFonts w:ascii="Times New Roman" w:hAnsi="Times New Roman" w:cs="Times New Roman"/>
          <w:i/>
        </w:rPr>
        <w:t xml:space="preserve">changes in the quality and composition of the Company’s loan or investment portfolios or </w:t>
      </w:r>
      <w:r w:rsidR="00FB5E36" w:rsidRPr="00C01344">
        <w:rPr>
          <w:rFonts w:ascii="Times New Roman" w:hAnsi="Times New Roman" w:cs="Times New Roman"/>
          <w:i/>
        </w:rPr>
        <w:t>unanticipated or significant increases in loan losses</w:t>
      </w:r>
      <w:r w:rsidR="00170533" w:rsidRPr="00C01344">
        <w:rPr>
          <w:rFonts w:ascii="Times New Roman" w:hAnsi="Times New Roman" w:cs="Times New Roman"/>
          <w:i/>
        </w:rPr>
        <w:t xml:space="preserve"> may negatively affect the Company’s financial condition or results of operations</w:t>
      </w:r>
      <w:r w:rsidR="00FB5E36" w:rsidRPr="00C01344">
        <w:rPr>
          <w:rFonts w:ascii="Times New Roman" w:hAnsi="Times New Roman" w:cs="Times New Roman"/>
          <w:i/>
        </w:rPr>
        <w:t xml:space="preserve">; </w:t>
      </w:r>
      <w:r w:rsidRPr="00C01344">
        <w:rPr>
          <w:rFonts w:ascii="Times New Roman" w:hAnsi="Times New Roman" w:cs="Times New Roman"/>
          <w:i/>
        </w:rPr>
        <w:t xml:space="preserve">changes in accounting principles, policies or guidelines may cause the Company’s financial condition to be perceived differently; changes in corporate and/or individual income tax laws may adversely affect the Company's financial condition or results of operations; </w:t>
      </w:r>
      <w:r w:rsidR="00DA7476" w:rsidRPr="00DA7476">
        <w:rPr>
          <w:rFonts w:ascii="Times New Roman" w:hAnsi="Times New Roman" w:cs="Times New Roman"/>
          <w:i/>
        </w:rPr>
        <w:t>general socio-economic conditions, including conditions caused by the COVID-19 pandemic and any other public health emergency, international conflict, inflation, and recessionary pressures</w:t>
      </w:r>
      <w:r w:rsidRPr="00C01344">
        <w:rPr>
          <w:rFonts w:ascii="Times New Roman" w:hAnsi="Times New Roman" w:cs="Times New Roman"/>
          <w:i/>
        </w:rPr>
        <w:t>, either nationally or locally in some or all areas in which the Company conducts business, or conditions in the securities markets or the banking industry may be less favorable than the Company currently anticipates</w:t>
      </w:r>
      <w:r w:rsidR="00DA7476">
        <w:rPr>
          <w:rFonts w:ascii="Times New Roman" w:hAnsi="Times New Roman" w:cs="Times New Roman"/>
          <w:i/>
        </w:rPr>
        <w:t xml:space="preserve"> an</w:t>
      </w:r>
      <w:r w:rsidR="00DA7476" w:rsidRPr="00DA7476">
        <w:rPr>
          <w:rFonts w:ascii="Times New Roman" w:hAnsi="Times New Roman" w:cs="Times New Roman"/>
          <w:i/>
        </w:rPr>
        <w:t>d may adversely affect our customers, our financial results and our operations</w:t>
      </w:r>
      <w:r w:rsidRPr="00C01344">
        <w:rPr>
          <w:rFonts w:ascii="Times New Roman" w:hAnsi="Times New Roman" w:cs="Times New Roman"/>
          <w:i/>
        </w:rPr>
        <w:t xml:space="preserve">; legislation or regulatory changes may adversely affect the Company’s business; technological changes may be more difficult or expensive than the Company anticipates; </w:t>
      </w:r>
      <w:r w:rsidR="00AB4BDB" w:rsidRPr="00C01344">
        <w:rPr>
          <w:rFonts w:ascii="Times New Roman" w:hAnsi="Times New Roman" w:cs="Times New Roman"/>
          <w:i/>
        </w:rPr>
        <w:t xml:space="preserve">there may be </w:t>
      </w:r>
      <w:r w:rsidR="00FB5E36" w:rsidRPr="00C01344">
        <w:rPr>
          <w:rFonts w:ascii="Times New Roman" w:hAnsi="Times New Roman" w:cs="Times New Roman"/>
          <w:i/>
        </w:rPr>
        <w:t>failure</w:t>
      </w:r>
      <w:r w:rsidR="00AB4BDB" w:rsidRPr="00C01344">
        <w:rPr>
          <w:rFonts w:ascii="Times New Roman" w:hAnsi="Times New Roman" w:cs="Times New Roman"/>
          <w:i/>
        </w:rPr>
        <w:t>s</w:t>
      </w:r>
      <w:r w:rsidR="00FB5E36" w:rsidRPr="00C01344">
        <w:rPr>
          <w:rFonts w:ascii="Times New Roman" w:hAnsi="Times New Roman" w:cs="Times New Roman"/>
          <w:i/>
        </w:rPr>
        <w:t xml:space="preserve"> or breaches of information technology security systems; </w:t>
      </w:r>
      <w:r w:rsidRPr="00C01344">
        <w:rPr>
          <w:rFonts w:ascii="Times New Roman" w:hAnsi="Times New Roman" w:cs="Times New Roman"/>
          <w:i/>
        </w:rPr>
        <w:t xml:space="preserve">success or consummation of new business initiatives may be more difficult or expensive than the Company anticipates; </w:t>
      </w:r>
      <w:r w:rsidR="006478A2">
        <w:rPr>
          <w:rFonts w:ascii="Times New Roman" w:hAnsi="Times New Roman" w:cs="Times New Roman"/>
          <w:i/>
        </w:rPr>
        <w:t>and</w:t>
      </w:r>
      <w:r w:rsidRPr="00C01344">
        <w:rPr>
          <w:rFonts w:ascii="Times New Roman" w:hAnsi="Times New Roman" w:cs="Times New Roman"/>
          <w:i/>
        </w:rPr>
        <w:t xml:space="preserve"> litigation or other matters before regulatory agencies, whether currently existing or commencing in the future, may delay the occurrence or non-occurrence of events longer than the Company </w:t>
      </w:r>
      <w:r w:rsidR="00C13C18" w:rsidRPr="00C01344">
        <w:rPr>
          <w:rFonts w:ascii="Times New Roman" w:hAnsi="Times New Roman" w:cs="Times New Roman"/>
          <w:i/>
        </w:rPr>
        <w:t>anticipates</w:t>
      </w:r>
      <w:r w:rsidR="00C13C18">
        <w:rPr>
          <w:rFonts w:ascii="Times New Roman" w:hAnsi="Times New Roman" w:cs="Times New Roman"/>
          <w:i/>
        </w:rPr>
        <w:t>. For</w:t>
      </w:r>
      <w:r w:rsidR="00902CCC">
        <w:rPr>
          <w:rFonts w:ascii="Times New Roman" w:hAnsi="Times New Roman" w:cs="Times New Roman"/>
          <w:i/>
        </w:rPr>
        <w:t xml:space="preserve"> discussion of these and other risks that may cause actual results to differ from expectations, please refer to the sections entitled “Forward-Looking Statements” and “Risk Factors” in the Company’s </w:t>
      </w:r>
      <w:r w:rsidR="00216245">
        <w:rPr>
          <w:rFonts w:ascii="Times New Roman" w:hAnsi="Times New Roman" w:cs="Times New Roman"/>
          <w:i/>
        </w:rPr>
        <w:t xml:space="preserve">most recent </w:t>
      </w:r>
      <w:r w:rsidR="00902CCC">
        <w:rPr>
          <w:rFonts w:ascii="Times New Roman" w:hAnsi="Times New Roman" w:cs="Times New Roman"/>
          <w:i/>
        </w:rPr>
        <w:t xml:space="preserve">Annual Report on Form 10-K and updates set forth in the Company’s </w:t>
      </w:r>
      <w:r w:rsidR="00216245">
        <w:rPr>
          <w:rFonts w:ascii="Times New Roman" w:hAnsi="Times New Roman" w:cs="Times New Roman"/>
          <w:i/>
        </w:rPr>
        <w:t xml:space="preserve">subsequent </w:t>
      </w:r>
      <w:r w:rsidR="00902CCC">
        <w:rPr>
          <w:rFonts w:ascii="Times New Roman" w:hAnsi="Times New Roman" w:cs="Times New Roman"/>
          <w:i/>
        </w:rPr>
        <w:t>Quarterly Reports on Form 10-Q and Current Reports on Form 8-K.</w:t>
      </w:r>
    </w:p>
    <w:p w:rsidR="005B6C0F" w:rsidRPr="00C01344" w:rsidRDefault="005B6C0F" w:rsidP="005B6C0F">
      <w:pPr>
        <w:spacing w:after="200"/>
        <w:jc w:val="both"/>
        <w:rPr>
          <w:rFonts w:ascii="Times New Roman" w:hAnsi="Times New Roman" w:cs="Times New Roman"/>
        </w:rPr>
      </w:pPr>
    </w:p>
    <w:tbl>
      <w:tblPr>
        <w:tblW w:w="5000" w:type="pct"/>
        <w:jc w:val="center"/>
        <w:tblLayout w:type="fixed"/>
        <w:tblCellMar>
          <w:left w:w="0" w:type="dxa"/>
          <w:right w:w="0" w:type="dxa"/>
        </w:tblCellMar>
        <w:tblLook w:val="0000" w:firstRow="0" w:lastRow="0" w:firstColumn="0" w:lastColumn="0" w:noHBand="0" w:noVBand="0"/>
      </w:tblPr>
      <w:tblGrid>
        <w:gridCol w:w="5400"/>
        <w:gridCol w:w="5400"/>
      </w:tblGrid>
      <w:tr w:rsidR="009313EB" w:rsidRPr="00C01344" w:rsidTr="009313EB">
        <w:trPr>
          <w:jc w:val="center"/>
        </w:trPr>
        <w:tc>
          <w:tcPr>
            <w:tcW w:w="5400" w:type="dxa"/>
            <w:shd w:val="clear" w:color="auto" w:fill="auto"/>
            <w:vAlign w:val="bottom"/>
          </w:tcPr>
          <w:p w:rsidR="009313EB" w:rsidRPr="00C01344" w:rsidRDefault="009313EB" w:rsidP="009313EB">
            <w:pPr>
              <w:rPr>
                <w:rFonts w:ascii="Times New Roman" w:hAnsi="Times New Roman" w:cs="Times New Roman"/>
                <w:b/>
              </w:rPr>
            </w:pPr>
            <w:r w:rsidRPr="00C01344">
              <w:rPr>
                <w:rFonts w:ascii="Times New Roman" w:hAnsi="Times New Roman" w:cs="Times New Roman"/>
                <w:b/>
              </w:rPr>
              <w:t>Contact: Avinash Reddy</w:t>
            </w:r>
          </w:p>
        </w:tc>
        <w:tc>
          <w:tcPr>
            <w:tcW w:w="5400" w:type="dxa"/>
            <w:shd w:val="clear" w:color="auto" w:fill="auto"/>
            <w:vAlign w:val="bottom"/>
          </w:tcPr>
          <w:p w:rsidR="009313EB" w:rsidRPr="00C01344" w:rsidRDefault="009313EB" w:rsidP="009313EB">
            <w:pPr>
              <w:rPr>
                <w:rFonts w:ascii="Times New Roman" w:hAnsi="Times New Roman" w:cs="Times New Roman"/>
              </w:rPr>
            </w:pPr>
          </w:p>
        </w:tc>
      </w:tr>
      <w:tr w:rsidR="009313EB" w:rsidRPr="00C01344" w:rsidTr="009313EB">
        <w:trPr>
          <w:jc w:val="center"/>
        </w:trPr>
        <w:tc>
          <w:tcPr>
            <w:tcW w:w="5400" w:type="dxa"/>
            <w:shd w:val="clear" w:color="auto" w:fill="auto"/>
            <w:vAlign w:val="bottom"/>
          </w:tcPr>
          <w:p w:rsidR="009313EB" w:rsidRPr="00C01344" w:rsidRDefault="009313EB" w:rsidP="009313EB">
            <w:pPr>
              <w:rPr>
                <w:rFonts w:ascii="Times New Roman" w:hAnsi="Times New Roman" w:cs="Times New Roman"/>
                <w:b/>
              </w:rPr>
            </w:pPr>
            <w:r w:rsidRPr="00C01344">
              <w:rPr>
                <w:rFonts w:ascii="Times New Roman" w:hAnsi="Times New Roman" w:cs="Times New Roman"/>
                <w:b/>
              </w:rPr>
              <w:t>Senior Executive Vice President – Chief Financial Officer</w:t>
            </w:r>
          </w:p>
        </w:tc>
        <w:tc>
          <w:tcPr>
            <w:tcW w:w="5400" w:type="dxa"/>
            <w:shd w:val="clear" w:color="auto" w:fill="auto"/>
            <w:vAlign w:val="bottom"/>
          </w:tcPr>
          <w:p w:rsidR="009313EB" w:rsidRPr="00C01344" w:rsidRDefault="009313EB" w:rsidP="009313EB">
            <w:pPr>
              <w:rPr>
                <w:rFonts w:ascii="Times New Roman" w:hAnsi="Times New Roman" w:cs="Times New Roman"/>
              </w:rPr>
            </w:pPr>
          </w:p>
        </w:tc>
      </w:tr>
      <w:tr w:rsidR="009313EB" w:rsidRPr="00C01344" w:rsidTr="009313EB">
        <w:trPr>
          <w:jc w:val="center"/>
        </w:trPr>
        <w:tc>
          <w:tcPr>
            <w:tcW w:w="5400" w:type="dxa"/>
            <w:shd w:val="clear" w:color="auto" w:fill="auto"/>
            <w:vAlign w:val="bottom"/>
          </w:tcPr>
          <w:p w:rsidR="009313EB" w:rsidRPr="00C01344" w:rsidRDefault="009313EB" w:rsidP="009313EB">
            <w:pPr>
              <w:rPr>
                <w:rFonts w:ascii="Times New Roman" w:hAnsi="Times New Roman" w:cs="Times New Roman"/>
                <w:b/>
              </w:rPr>
            </w:pPr>
            <w:r w:rsidRPr="00C01344">
              <w:rPr>
                <w:rFonts w:ascii="Times New Roman" w:hAnsi="Times New Roman" w:cs="Times New Roman"/>
                <w:b/>
              </w:rPr>
              <w:t>718-782-6200 extension 5909</w:t>
            </w:r>
          </w:p>
        </w:tc>
        <w:tc>
          <w:tcPr>
            <w:tcW w:w="5400" w:type="dxa"/>
            <w:shd w:val="clear" w:color="auto" w:fill="auto"/>
            <w:vAlign w:val="bottom"/>
          </w:tcPr>
          <w:p w:rsidR="009313EB" w:rsidRPr="00C01344" w:rsidRDefault="009313EB" w:rsidP="009313EB">
            <w:pPr>
              <w:rPr>
                <w:rFonts w:ascii="Times New Roman" w:hAnsi="Times New Roman" w:cs="Times New Roman"/>
              </w:rPr>
            </w:pPr>
          </w:p>
        </w:tc>
      </w:tr>
    </w:tbl>
    <w:p w:rsidR="009313EB" w:rsidRPr="00C01344" w:rsidRDefault="009313EB">
      <w:pPr>
        <w:rPr>
          <w:rFonts w:ascii="Times New Roman" w:hAnsi="Times New Roman" w:cs="Times New Roman"/>
        </w:rPr>
      </w:pPr>
    </w:p>
    <w:p w:rsidR="00632232" w:rsidRDefault="00632232">
      <w:pPr>
        <w:rPr>
          <w:rFonts w:asciiTheme="minorHAnsi" w:cs="Times New Roman"/>
          <w:b/>
        </w:rPr>
      </w:pPr>
    </w:p>
    <w:p w:rsidR="00C27266" w:rsidRDefault="00C27266">
      <w:pPr>
        <w:rPr>
          <w:rFonts w:ascii="Times New Roman" w:eastAsia="Times New Roman" w:hAnsi="Times New Roman" w:cs="Times New Roman"/>
          <w:b/>
          <w:bCs/>
        </w:rPr>
      </w:pPr>
      <w:r>
        <w:rPr>
          <w:rFonts w:ascii="Times New Roman" w:eastAsia="Times New Roman" w:hAnsi="Times New Roman" w:cs="Times New Roman"/>
          <w:b/>
          <w:bCs/>
        </w:rPr>
        <w:br w:type="page"/>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DIME COMMUNITY BANCSHARES, INC. AND SUBSIDIARIES</w:t>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UNAUDITED CONSOLIDATED STATEMENTS OF FINANCIAL CONDITION</w:t>
      </w:r>
    </w:p>
    <w:p w:rsidR="00632232" w:rsidRPr="00CA14D0" w:rsidRDefault="00632232" w:rsidP="00632232">
      <w:pPr>
        <w:ind w:left="108"/>
        <w:jc w:val="center"/>
        <w:rPr>
          <w:rFonts w:ascii="Times New Roman" w:eastAsia="Times New Roman" w:hAnsi="Times New Roman" w:cs="Times New Roman"/>
        </w:rPr>
      </w:pPr>
      <w:r w:rsidRPr="00CA14D0">
        <w:rPr>
          <w:rFonts w:ascii="Times New Roman" w:eastAsia="Times New Roman" w:hAnsi="Times New Roman" w:cs="Times New Roman"/>
        </w:rPr>
        <w:t>(</w:t>
      </w:r>
      <w:r w:rsidR="00CA14D0" w:rsidRPr="00CA14D0">
        <w:rPr>
          <w:rFonts w:ascii="Times New Roman" w:eastAsia="Times New Roman" w:hAnsi="Times New Roman" w:cs="Times New Roman"/>
        </w:rPr>
        <w:t>I</w:t>
      </w:r>
      <w:r w:rsidRPr="00CA14D0">
        <w:rPr>
          <w:rFonts w:ascii="Times New Roman" w:eastAsia="Times New Roman" w:hAnsi="Times New Roman" w:cs="Times New Roman"/>
        </w:rPr>
        <w:t>n thousands)</w:t>
      </w:r>
    </w:p>
    <w:p w:rsidR="00632232" w:rsidRDefault="00632232">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3"/>
        <w:gridCol w:w="248"/>
        <w:gridCol w:w="151"/>
        <w:gridCol w:w="1119"/>
        <w:gridCol w:w="248"/>
        <w:gridCol w:w="151"/>
        <w:gridCol w:w="1119"/>
        <w:gridCol w:w="248"/>
        <w:gridCol w:w="151"/>
        <w:gridCol w:w="1022"/>
      </w:tblGrid>
      <w:tr w:rsidR="007F11CB" w:rsidTr="007F11CB">
        <w:trPr>
          <w:trHeight w:hRule="exact" w:val="20"/>
        </w:trPr>
        <w:tc>
          <w:tcPr>
            <w:tcW w:w="2935" w:type="pct"/>
            <w:tcBorders>
              <w:top w:val="nil"/>
              <w:left w:val="nil"/>
              <w:bottom w:val="nil"/>
              <w:right w:val="nil"/>
            </w:tcBorders>
            <w:vAlign w:val="bottom"/>
          </w:tcPr>
          <w:p w:rsidR="007F11CB" w:rsidRDefault="007F11CB" w:rsidP="007F11CB">
            <w:pPr>
              <w:keepNext/>
              <w:rPr>
                <w:sz w:val="2"/>
              </w:rPr>
            </w:pPr>
          </w:p>
        </w:tc>
        <w:tc>
          <w:tcPr>
            <w:tcW w:w="115" w:type="pct"/>
            <w:tcBorders>
              <w:top w:val="nil"/>
              <w:left w:val="nil"/>
              <w:bottom w:val="nil"/>
              <w:right w:val="nil"/>
            </w:tcBorders>
            <w:noWrap/>
            <w:vAlign w:val="bottom"/>
          </w:tcPr>
          <w:p w:rsidR="007F11CB" w:rsidRDefault="007F11CB" w:rsidP="007F11CB">
            <w:pPr>
              <w:keepNext/>
              <w:rPr>
                <w:sz w:val="2"/>
              </w:rPr>
            </w:pPr>
          </w:p>
        </w:tc>
        <w:tc>
          <w:tcPr>
            <w:tcW w:w="70" w:type="pct"/>
            <w:tcBorders>
              <w:top w:val="nil"/>
              <w:left w:val="nil"/>
              <w:bottom w:val="nil"/>
              <w:right w:val="nil"/>
            </w:tcBorders>
            <w:noWrap/>
            <w:vAlign w:val="bottom"/>
          </w:tcPr>
          <w:p w:rsidR="007F11CB" w:rsidRDefault="007F11CB" w:rsidP="007F11CB">
            <w:pPr>
              <w:keepNext/>
              <w:rPr>
                <w:sz w:val="2"/>
              </w:rPr>
            </w:pPr>
          </w:p>
        </w:tc>
        <w:tc>
          <w:tcPr>
            <w:tcW w:w="518" w:type="pct"/>
            <w:tcBorders>
              <w:top w:val="nil"/>
              <w:left w:val="nil"/>
              <w:bottom w:val="nil"/>
              <w:right w:val="nil"/>
            </w:tcBorders>
            <w:noWrap/>
            <w:vAlign w:val="bottom"/>
          </w:tcPr>
          <w:p w:rsidR="007F11CB" w:rsidRDefault="007F11CB" w:rsidP="007F11CB">
            <w:pPr>
              <w:keepNext/>
              <w:rPr>
                <w:sz w:val="2"/>
              </w:rPr>
            </w:pPr>
          </w:p>
        </w:tc>
        <w:tc>
          <w:tcPr>
            <w:tcW w:w="115" w:type="pct"/>
            <w:tcBorders>
              <w:top w:val="nil"/>
              <w:left w:val="nil"/>
              <w:bottom w:val="nil"/>
              <w:right w:val="nil"/>
            </w:tcBorders>
            <w:noWrap/>
            <w:vAlign w:val="bottom"/>
          </w:tcPr>
          <w:p w:rsidR="007F11CB" w:rsidRDefault="007F11CB" w:rsidP="007F11CB">
            <w:pPr>
              <w:keepNext/>
              <w:rPr>
                <w:sz w:val="2"/>
              </w:rPr>
            </w:pPr>
          </w:p>
        </w:tc>
        <w:tc>
          <w:tcPr>
            <w:tcW w:w="70" w:type="pct"/>
            <w:tcBorders>
              <w:top w:val="nil"/>
              <w:left w:val="nil"/>
              <w:bottom w:val="nil"/>
              <w:right w:val="nil"/>
            </w:tcBorders>
            <w:noWrap/>
            <w:vAlign w:val="bottom"/>
          </w:tcPr>
          <w:p w:rsidR="007F11CB" w:rsidRDefault="007F11CB" w:rsidP="007F11CB">
            <w:pPr>
              <w:keepNext/>
              <w:rPr>
                <w:sz w:val="2"/>
              </w:rPr>
            </w:pPr>
          </w:p>
        </w:tc>
        <w:tc>
          <w:tcPr>
            <w:tcW w:w="518" w:type="pct"/>
            <w:tcBorders>
              <w:top w:val="nil"/>
              <w:left w:val="nil"/>
              <w:bottom w:val="nil"/>
              <w:right w:val="nil"/>
            </w:tcBorders>
            <w:noWrap/>
            <w:vAlign w:val="bottom"/>
          </w:tcPr>
          <w:p w:rsidR="007F11CB" w:rsidRDefault="007F11CB" w:rsidP="007F11CB">
            <w:pPr>
              <w:keepNext/>
              <w:rPr>
                <w:sz w:val="2"/>
              </w:rPr>
            </w:pPr>
          </w:p>
        </w:tc>
        <w:tc>
          <w:tcPr>
            <w:tcW w:w="115" w:type="pct"/>
            <w:tcBorders>
              <w:top w:val="nil"/>
              <w:left w:val="nil"/>
              <w:bottom w:val="nil"/>
              <w:right w:val="nil"/>
            </w:tcBorders>
            <w:noWrap/>
            <w:vAlign w:val="bottom"/>
          </w:tcPr>
          <w:p w:rsidR="007F11CB" w:rsidRDefault="007F11CB" w:rsidP="007F11CB">
            <w:pPr>
              <w:keepNext/>
              <w:rPr>
                <w:sz w:val="2"/>
              </w:rPr>
            </w:pPr>
          </w:p>
        </w:tc>
        <w:tc>
          <w:tcPr>
            <w:tcW w:w="70" w:type="pct"/>
            <w:tcBorders>
              <w:top w:val="nil"/>
              <w:left w:val="nil"/>
              <w:bottom w:val="nil"/>
              <w:right w:val="nil"/>
            </w:tcBorders>
            <w:noWrap/>
            <w:vAlign w:val="bottom"/>
          </w:tcPr>
          <w:p w:rsidR="007F11CB" w:rsidRDefault="007F11CB" w:rsidP="007F11CB">
            <w:pPr>
              <w:keepNext/>
              <w:rPr>
                <w:sz w:val="2"/>
              </w:rPr>
            </w:pPr>
          </w:p>
        </w:tc>
        <w:tc>
          <w:tcPr>
            <w:tcW w:w="473" w:type="pct"/>
            <w:tcBorders>
              <w:top w:val="nil"/>
              <w:left w:val="nil"/>
              <w:bottom w:val="nil"/>
              <w:right w:val="nil"/>
            </w:tcBorders>
            <w:noWrap/>
            <w:vAlign w:val="bottom"/>
          </w:tcPr>
          <w:p w:rsidR="007F11CB" w:rsidRDefault="007F11CB" w:rsidP="007F11CB">
            <w:pPr>
              <w:keepNext/>
              <w:rPr>
                <w:sz w:val="2"/>
              </w:rPr>
            </w:pPr>
          </w:p>
        </w:tc>
      </w:tr>
      <w:tr w:rsidR="007F11CB" w:rsidTr="007F11CB">
        <w:tc>
          <w:tcPr>
            <w:tcW w:w="2935" w:type="pct"/>
            <w:tcBorders>
              <w:top w:val="nil"/>
              <w:left w:val="nil"/>
              <w:bottom w:val="nil"/>
              <w:right w:val="nil"/>
              <w:tl2br w:val="nil"/>
              <w:tr2bl w:val="nil"/>
            </w:tcBorders>
            <w:shd w:val="clear" w:color="auto" w:fill="auto"/>
            <w:vAlign w:val="bottom"/>
          </w:tcPr>
          <w:p w:rsidR="007F11CB" w:rsidRDefault="007F11CB" w:rsidP="007F11CB">
            <w:pPr>
              <w:rPr>
                <w:color w:val="000000"/>
                <w:sz w:val="16"/>
              </w:rPr>
            </w:pP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    </w:t>
            </w:r>
          </w:p>
        </w:tc>
        <w:tc>
          <w:tcPr>
            <w:tcW w:w="588" w:type="pct"/>
            <w:gridSpan w:val="2"/>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September 30, </w:t>
            </w: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    </w:t>
            </w:r>
          </w:p>
        </w:tc>
        <w:tc>
          <w:tcPr>
            <w:tcW w:w="588" w:type="pct"/>
            <w:gridSpan w:val="2"/>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June 30, </w:t>
            </w: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    </w:t>
            </w:r>
          </w:p>
        </w:tc>
        <w:tc>
          <w:tcPr>
            <w:tcW w:w="543" w:type="pct"/>
            <w:gridSpan w:val="2"/>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December 31, </w:t>
            </w:r>
          </w:p>
        </w:tc>
      </w:tr>
      <w:tr w:rsidR="007F11CB" w:rsidTr="007F11CB">
        <w:tc>
          <w:tcPr>
            <w:tcW w:w="2935" w:type="pct"/>
            <w:tcBorders>
              <w:top w:val="nil"/>
              <w:left w:val="nil"/>
              <w:bottom w:val="nil"/>
              <w:right w:val="nil"/>
              <w:tl2br w:val="nil"/>
              <w:tr2bl w:val="nil"/>
            </w:tcBorders>
            <w:shd w:val="clear" w:color="auto" w:fill="auto"/>
            <w:vAlign w:val="bottom"/>
          </w:tcPr>
          <w:p w:rsidR="007F11CB" w:rsidRDefault="007F11CB" w:rsidP="007F11CB">
            <w:pPr>
              <w:rPr>
                <w:color w:val="000000"/>
                <w:sz w:val="16"/>
              </w:rPr>
            </w:pP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p>
        </w:tc>
        <w:tc>
          <w:tcPr>
            <w:tcW w:w="588" w:type="pct"/>
            <w:gridSpan w:val="2"/>
            <w:tcBorders>
              <w:top w:val="nil"/>
              <w:left w:val="nil"/>
              <w:bottom w:val="single" w:sz="4" w:space="0" w:color="000000"/>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2023</w:t>
            </w: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p>
        </w:tc>
        <w:tc>
          <w:tcPr>
            <w:tcW w:w="588" w:type="pct"/>
            <w:gridSpan w:val="2"/>
            <w:tcBorders>
              <w:top w:val="nil"/>
              <w:left w:val="nil"/>
              <w:bottom w:val="single" w:sz="4" w:space="0" w:color="000000"/>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2023</w:t>
            </w:r>
          </w:p>
        </w:tc>
        <w:tc>
          <w:tcPr>
            <w:tcW w:w="115" w:type="pct"/>
            <w:tcBorders>
              <w:top w:val="nil"/>
              <w:left w:val="nil"/>
              <w:bottom w:val="nil"/>
              <w:right w:val="nil"/>
              <w:tl2br w:val="nil"/>
              <w:tr2bl w:val="nil"/>
            </w:tcBorders>
            <w:shd w:val="clear" w:color="auto" w:fill="auto"/>
            <w:noWrap/>
            <w:vAlign w:val="bottom"/>
          </w:tcPr>
          <w:p w:rsidR="007F11CB" w:rsidRDefault="007F11CB" w:rsidP="007F11CB">
            <w:pPr>
              <w:jc w:val="center"/>
              <w:rPr>
                <w:b/>
                <w:color w:val="000000"/>
                <w:sz w:val="16"/>
              </w:rPr>
            </w:pPr>
          </w:p>
        </w:tc>
        <w:tc>
          <w:tcPr>
            <w:tcW w:w="543" w:type="pct"/>
            <w:gridSpan w:val="2"/>
            <w:tcBorders>
              <w:top w:val="nil"/>
              <w:left w:val="nil"/>
              <w:bottom w:val="single" w:sz="4" w:space="0" w:color="000000"/>
              <w:right w:val="nil"/>
              <w:tl2br w:val="nil"/>
              <w:tr2bl w:val="nil"/>
            </w:tcBorders>
            <w:shd w:val="clear" w:color="auto" w:fill="auto"/>
            <w:noWrap/>
            <w:vAlign w:val="bottom"/>
          </w:tcPr>
          <w:p w:rsidR="007F11CB" w:rsidRDefault="007F11CB" w:rsidP="007F11CB">
            <w:pPr>
              <w:jc w:val="center"/>
              <w:rPr>
                <w:b/>
                <w:color w:val="000000"/>
                <w:sz w:val="16"/>
              </w:rPr>
            </w:pPr>
            <w:r>
              <w:rPr>
                <w:rFonts w:ascii="Times New Roman" w:eastAsia="Times New Roman" w:hAnsi="Times New Roman" w:cs="Times New Roman"/>
                <w:b/>
                <w:color w:val="000000"/>
                <w:sz w:val="16"/>
              </w:rPr>
              <w:t>2022</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b/>
                <w:color w:val="000000"/>
                <w:sz w:val="16"/>
              </w:rPr>
            </w:pPr>
            <w:r>
              <w:rPr>
                <w:rFonts w:ascii="Times New Roman" w:eastAsia="Times New Roman" w:hAnsi="Times New Roman" w:cs="Times New Roman"/>
                <w:b/>
                <w:color w:val="000000"/>
                <w:sz w:val="16"/>
              </w:rPr>
              <w:t>Assets: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Cash and due from banks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358,824</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452,504</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169,297</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Securities available-for-sale, at fair value</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869,879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894,856</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950,587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Securities held-to-maturity</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600,291</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603,960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585,798</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Loans held for sale</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3,924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371</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Loans held for investment, net:</w:t>
            </w:r>
          </w:p>
        </w:tc>
        <w:tc>
          <w:tcPr>
            <w:tcW w:w="115" w:type="pct"/>
            <w:tcBorders>
              <w:top w:val="nil"/>
              <w:left w:val="nil"/>
              <w:bottom w:val="nil"/>
              <w:right w:val="nil"/>
              <w:tl2br w:val="nil"/>
              <w:tr2bl w:val="nil"/>
            </w:tcBorders>
            <w:noWrap/>
            <w:vAlign w:val="bottom"/>
          </w:tcPr>
          <w:p w:rsidR="007F11CB" w:rsidRDefault="007F11CB" w:rsidP="007F11CB">
            <w:pPr>
              <w:rPr>
                <w:b/>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b/>
                <w:color w:val="000000"/>
                <w:sz w:val="16"/>
              </w:rPr>
            </w:pP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 xml:space="preserve">Business loans </w:t>
            </w:r>
            <w:r>
              <w:rPr>
                <w:rFonts w:ascii="Times New Roman" w:eastAsia="Times New Roman" w:hAnsi="Times New Roman" w:cs="Times New Roman"/>
                <w:color w:val="000000"/>
                <w:sz w:val="16"/>
                <w:vertAlign w:val="superscript"/>
              </w:rPr>
              <w:t>(1)</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2,271,768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2,250,108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2,211,857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One-to-four family and cooperative/condominium apartment</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892,869</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855,980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773,321</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 xml:space="preserve">Multifamily residential and residential mixed-use </w:t>
            </w:r>
            <w:r>
              <w:rPr>
                <w:rFonts w:ascii="Times New Roman" w:eastAsia="Times New Roman" w:hAnsi="Times New Roman" w:cs="Times New Roman"/>
                <w:color w:val="000000"/>
                <w:sz w:val="16"/>
                <w:vertAlign w:val="superscript"/>
              </w:rPr>
              <w:t>(2)(3)</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4,102,024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4,132,358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4,026,826</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Non-owner-occupied commercial real estate</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3,374,281</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3,406,232</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3,317,485</w:t>
            </w:r>
          </w:p>
        </w:tc>
      </w:tr>
      <w:tr w:rsidR="007F11CB" w:rsidTr="007F11CB">
        <w:tc>
          <w:tcPr>
            <w:tcW w:w="293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Acquisition, development and construction</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203,402</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225,580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229,663</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Other loans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6,267</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6,157</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7,679</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Allowance for credit losses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xml:space="preserve"> (72,563)</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(75,646)</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(83,507)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loans held for investment, net</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10,778,048</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10,800,769</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10,483,324</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Premises and fixed assets, net</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45,064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45,890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46,749</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Premises held for sale</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905</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Restricted stock</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90,085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104,724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88,745</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Bank Owned Life Insurance ("BOLI")</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347,400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337,083</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333,292</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Goodwill</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155,797</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155,797</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155,797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Other intangible assets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5,409</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5,758</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6,484</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Operating lease assets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55,600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54,931</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57,857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Derivative assets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177,369</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147,740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154,485</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Accrued interest receivable</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53,608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51,787</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48,561</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Other assets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109,202</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146,692</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108,945</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assets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w:t>
            </w:r>
          </w:p>
        </w:tc>
        <w:tc>
          <w:tcPr>
            <w:tcW w:w="518"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13,651,405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518"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13,802,862</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473"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13,189,921</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Liabilities:</w:t>
            </w:r>
          </w:p>
        </w:tc>
        <w:tc>
          <w:tcPr>
            <w:tcW w:w="115" w:type="pct"/>
            <w:tcBorders>
              <w:top w:val="nil"/>
              <w:left w:val="nil"/>
              <w:bottom w:val="nil"/>
              <w:right w:val="nil"/>
              <w:tl2br w:val="nil"/>
              <w:tr2bl w:val="nil"/>
            </w:tcBorders>
            <w:noWrap/>
            <w:vAlign w:val="bottom"/>
          </w:tcPr>
          <w:p w:rsidR="007F11CB" w:rsidRDefault="007F11CB" w:rsidP="007F11CB">
            <w:pPr>
              <w:rPr>
                <w:b/>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Non-interest-bearing checking (excluding mortgage escrow deposits)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2,935,156</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2,884,184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3,449,763</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Interest-bearing checking</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630,686</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960,465</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827,454</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Savings (excluding mortgage escrow deposits)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2,309,440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2,275,008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2,259,909</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Money market</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3,211,197</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2,801,652</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2,532,270</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Certificates of deposit</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1,442,299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1,530,749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1,115,364</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Deposits (excluding mortgage escrow deposits)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10,528,778</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10,452,058</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10,184,760</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Non-interest-bearing mortgage escrow deposits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107,545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70,431</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69,455</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Interest-bearing mortgage escrow deposits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223</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203</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192</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mortgage escrow deposits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107,768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70,634</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p>
        </w:tc>
        <w:tc>
          <w:tcPr>
            <w:tcW w:w="473"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69,647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FHLBNY advances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1,123,000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1,448,000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1,131,000</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Other short-term borrowings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1,360</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Subordinated debt, net</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200,218</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200,240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200,283</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Derivative cash collateral</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185,620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140,160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153,040</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Operating lease liabilities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58,281</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57,547</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60,340</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Derivative liabilities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160,712</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131,130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137,335</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Other liabilities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82,684</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100,590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82,573</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liabilities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12,447,061</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12,600,359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12,020,338</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Stockholders' equity:</w:t>
            </w:r>
          </w:p>
        </w:tc>
        <w:tc>
          <w:tcPr>
            <w:tcW w:w="115" w:type="pct"/>
            <w:tcBorders>
              <w:top w:val="nil"/>
              <w:left w:val="nil"/>
              <w:bottom w:val="nil"/>
              <w:right w:val="nil"/>
              <w:tl2br w:val="nil"/>
              <w:tr2bl w:val="nil"/>
            </w:tcBorders>
            <w:noWrap/>
            <w:vAlign w:val="bottom"/>
          </w:tcPr>
          <w:p w:rsidR="007F11CB" w:rsidRDefault="007F11CB" w:rsidP="007F11CB">
            <w:pPr>
              <w:rPr>
                <w:b/>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 xml:space="preserve">Preferred stock, Series A </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116,569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116,569</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116,569</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Common stock</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416</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416</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416</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Additional paid-in capital</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494,470</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493,955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495,410</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Retained earnings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808,235</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804,532</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762,762</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Accumulated other comprehensive loss ("AOCI"), net of deferred taxes</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xml:space="preserve"> (106,913)</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(104,385)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(94,379)</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color w:val="000000"/>
                <w:sz w:val="16"/>
              </w:rPr>
            </w:pPr>
            <w:r>
              <w:rPr>
                <w:rFonts w:ascii="Times New Roman" w:eastAsia="Times New Roman" w:hAnsi="Times New Roman" w:cs="Times New Roman"/>
                <w:color w:val="000000"/>
                <w:sz w:val="16"/>
              </w:rPr>
              <w:t>Unearned equity awards</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xml:space="preserve"> (10,170)</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(11,746)</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nil"/>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nil"/>
              <w:right w:val="nil"/>
              <w:tl2br w:val="nil"/>
              <w:tr2bl w:val="nil"/>
            </w:tcBorders>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(8,078)</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color w:val="000000"/>
                <w:sz w:val="16"/>
              </w:rPr>
            </w:pPr>
            <w:r>
              <w:rPr>
                <w:rFonts w:ascii="Times New Roman" w:eastAsia="Times New Roman" w:hAnsi="Times New Roman" w:cs="Times New Roman"/>
                <w:color w:val="000000"/>
                <w:sz w:val="16"/>
              </w:rPr>
              <w:t>Treasury stock, at cost</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b/>
                <w:color w:val="000000"/>
                <w:sz w:val="16"/>
              </w:rPr>
            </w:pPr>
            <w:r>
              <w:rPr>
                <w:rFonts w:ascii="Times New Roman" w:eastAsia="Times New Roman" w:hAnsi="Times New Roman" w:cs="Times New Roman"/>
                <w:b/>
                <w:color w:val="000000"/>
                <w:sz w:val="16"/>
              </w:rPr>
              <w:t xml:space="preserve"> (98,263)</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(96,838)</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shd w:val="clear" w:color="auto" w:fill="CCEEFF"/>
            <w:noWrap/>
            <w:vAlign w:val="bottom"/>
          </w:tcPr>
          <w:p w:rsidR="007F11CB" w:rsidRDefault="007F11CB" w:rsidP="007F11CB">
            <w:pPr>
              <w:jc w:val="right"/>
              <w:rPr>
                <w:color w:val="000000"/>
                <w:sz w:val="16"/>
              </w:rPr>
            </w:pPr>
            <w:r>
              <w:rPr>
                <w:rFonts w:ascii="Times New Roman" w:eastAsia="Times New Roman" w:hAnsi="Times New Roman" w:cs="Times New Roman"/>
                <w:color w:val="000000"/>
                <w:sz w:val="16"/>
              </w:rPr>
              <w:t xml:space="preserve"> (103,117)</w:t>
            </w:r>
          </w:p>
        </w:tc>
      </w:tr>
      <w:tr w:rsidR="007F11CB" w:rsidTr="007F11CB">
        <w:tc>
          <w:tcPr>
            <w:tcW w:w="2935" w:type="pct"/>
            <w:tcBorders>
              <w:top w:val="nil"/>
              <w:left w:val="nil"/>
              <w:bottom w:val="nil"/>
              <w:right w:val="nil"/>
              <w:tl2br w:val="nil"/>
              <w:tr2bl w:val="nil"/>
            </w:tcBorders>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stockholders' equity</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1,204,344</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518"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1,202,503</w:t>
            </w:r>
          </w:p>
        </w:tc>
        <w:tc>
          <w:tcPr>
            <w:tcW w:w="115" w:type="pct"/>
            <w:tcBorders>
              <w:top w:val="nil"/>
              <w:left w:val="nil"/>
              <w:bottom w:val="nil"/>
              <w:right w:val="nil"/>
              <w:tl2br w:val="nil"/>
              <w:tr2bl w:val="nil"/>
            </w:tcBorders>
            <w:noWrap/>
            <w:vAlign w:val="bottom"/>
          </w:tcPr>
          <w:p w:rsidR="007F11CB" w:rsidRDefault="007F11CB" w:rsidP="007F11CB">
            <w:pPr>
              <w:rPr>
                <w:color w:val="000000"/>
                <w:sz w:val="16"/>
              </w:rPr>
            </w:pPr>
          </w:p>
        </w:tc>
        <w:tc>
          <w:tcPr>
            <w:tcW w:w="70" w:type="pct"/>
            <w:tcBorders>
              <w:top w:val="nil"/>
              <w:left w:val="nil"/>
              <w:bottom w:val="single" w:sz="4" w:space="0" w:color="000000"/>
              <w:right w:val="nil"/>
              <w:tl2br w:val="nil"/>
              <w:tr2bl w:val="nil"/>
            </w:tcBorders>
            <w:noWrap/>
            <w:vAlign w:val="bottom"/>
          </w:tcPr>
          <w:p w:rsidR="007F11CB" w:rsidRDefault="007F11CB" w:rsidP="007F11CB">
            <w:pPr>
              <w:rPr>
                <w:color w:val="000000"/>
                <w:sz w:val="16"/>
              </w:rPr>
            </w:pPr>
            <w:r>
              <w:rPr>
                <w:rFonts w:ascii="Times New Roman" w:eastAsia="Times New Roman" w:hAnsi="Times New Roman" w:cs="Times New Roman"/>
                <w:color w:val="000000"/>
                <w:sz w:val="16"/>
              </w:rPr>
              <w:t> </w:t>
            </w:r>
          </w:p>
        </w:tc>
        <w:tc>
          <w:tcPr>
            <w:tcW w:w="473" w:type="pct"/>
            <w:tcBorders>
              <w:top w:val="nil"/>
              <w:left w:val="nil"/>
              <w:bottom w:val="single" w:sz="4" w:space="0" w:color="000000"/>
              <w:right w:val="nil"/>
              <w:tl2br w:val="nil"/>
              <w:tr2bl w:val="nil"/>
            </w:tcBorders>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1,169,583</w:t>
            </w:r>
          </w:p>
        </w:tc>
      </w:tr>
      <w:tr w:rsidR="007F11CB" w:rsidTr="007F11CB">
        <w:tc>
          <w:tcPr>
            <w:tcW w:w="2935" w:type="pct"/>
            <w:tcBorders>
              <w:top w:val="nil"/>
              <w:left w:val="nil"/>
              <w:bottom w:val="nil"/>
              <w:right w:val="nil"/>
              <w:tl2br w:val="nil"/>
              <w:tr2bl w:val="nil"/>
            </w:tcBorders>
            <w:shd w:val="clear" w:color="auto" w:fill="CCEEFF"/>
            <w:vAlign w:val="bottom"/>
          </w:tcPr>
          <w:p w:rsidR="007F11CB" w:rsidRDefault="007F11CB" w:rsidP="007F11CB">
            <w:pPr>
              <w:rPr>
                <w:b/>
                <w:color w:val="000000"/>
                <w:sz w:val="16"/>
              </w:rPr>
            </w:pPr>
            <w:r>
              <w:rPr>
                <w:rFonts w:ascii="Times New Roman" w:eastAsia="Times New Roman" w:hAnsi="Times New Roman" w:cs="Times New Roman"/>
                <w:b/>
                <w:color w:val="000000"/>
                <w:sz w:val="16"/>
              </w:rPr>
              <w:t>Total liabilities and stockholders' equity</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b/>
                <w:color w:val="000000"/>
                <w:sz w:val="16"/>
              </w:rPr>
            </w:pPr>
            <w:r>
              <w:rPr>
                <w:rFonts w:ascii="Times New Roman" w:eastAsia="Times New Roman" w:hAnsi="Times New Roman" w:cs="Times New Roman"/>
                <w:b/>
                <w:color w:val="000000"/>
                <w:sz w:val="16"/>
              </w:rPr>
              <w:t>$</w:t>
            </w:r>
          </w:p>
        </w:tc>
        <w:tc>
          <w:tcPr>
            <w:tcW w:w="518"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b/>
                <w:color w:val="000000"/>
                <w:sz w:val="16"/>
              </w:rPr>
            </w:pPr>
            <w:r>
              <w:rPr>
                <w:rFonts w:ascii="Times New Roman" w:eastAsia="Times New Roman" w:hAnsi="Times New Roman" w:cs="Times New Roman"/>
                <w:b/>
                <w:color w:val="000000"/>
                <w:sz w:val="16"/>
              </w:rPr>
              <w:t xml:space="preserve"> 13,651,405</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518"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13,802,862</w:t>
            </w:r>
          </w:p>
        </w:tc>
        <w:tc>
          <w:tcPr>
            <w:tcW w:w="115" w:type="pct"/>
            <w:tcBorders>
              <w:top w:val="nil"/>
              <w:left w:val="nil"/>
              <w:bottom w:val="nil"/>
              <w:right w:val="nil"/>
              <w:tl2br w:val="nil"/>
              <w:tr2bl w:val="nil"/>
            </w:tcBorders>
            <w:shd w:val="clear" w:color="auto" w:fill="CCEEFF"/>
            <w:noWrap/>
            <w:vAlign w:val="bottom"/>
          </w:tcPr>
          <w:p w:rsidR="007F11CB" w:rsidRDefault="007F11CB" w:rsidP="007F11CB">
            <w:pPr>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rPr>
                <w:color w:val="000000"/>
                <w:sz w:val="16"/>
              </w:rPr>
            </w:pPr>
            <w:r>
              <w:rPr>
                <w:rFonts w:ascii="Times New Roman" w:eastAsia="Times New Roman" w:hAnsi="Times New Roman" w:cs="Times New Roman"/>
                <w:color w:val="000000"/>
                <w:sz w:val="16"/>
              </w:rPr>
              <w:t>$</w:t>
            </w:r>
          </w:p>
        </w:tc>
        <w:tc>
          <w:tcPr>
            <w:tcW w:w="473" w:type="pct"/>
            <w:tcBorders>
              <w:top w:val="nil"/>
              <w:left w:val="nil"/>
              <w:bottom w:val="double" w:sz="4" w:space="0" w:color="000000"/>
              <w:right w:val="nil"/>
              <w:tl2br w:val="nil"/>
              <w:tr2bl w:val="nil"/>
            </w:tcBorders>
            <w:shd w:val="clear" w:color="auto" w:fill="CCEEFF"/>
            <w:noWrap/>
            <w:vAlign w:val="bottom"/>
          </w:tcPr>
          <w:p w:rsidR="007F11CB" w:rsidRDefault="007F11CB" w:rsidP="007F11CB">
            <w:pPr>
              <w:ind w:right="60"/>
              <w:jc w:val="right"/>
              <w:rPr>
                <w:color w:val="000000"/>
                <w:sz w:val="16"/>
              </w:rPr>
            </w:pPr>
            <w:r>
              <w:rPr>
                <w:rFonts w:ascii="Times New Roman" w:eastAsia="Times New Roman" w:hAnsi="Times New Roman" w:cs="Times New Roman"/>
                <w:color w:val="000000"/>
                <w:sz w:val="16"/>
              </w:rPr>
              <w:t xml:space="preserve"> 13,189,921</w:t>
            </w:r>
          </w:p>
        </w:tc>
      </w:tr>
    </w:tbl>
    <w:p w:rsidR="001B3D85" w:rsidRDefault="007D008B">
      <w:r>
        <w:rPr>
          <w:rFonts w:ascii="Times New Roman" w:hAnsi="Times New Roman" w:cs="Times New Roman"/>
          <w:szCs w:val="24"/>
        </w:rPr>
        <w:pict w14:anchorId="2735E618">
          <v:rect id="_x0000_i1027" style="width:135pt;height:.6pt" o:hrpct="250" o:hrstd="t" o:hrnoshade="t" o:hr="t" fillcolor="black [3213]" stroked="f"/>
        </w:pict>
      </w:r>
    </w:p>
    <w:p w:rsidR="00632232" w:rsidRDefault="00632232" w:rsidP="00632232">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(1)</w:t>
      </w:r>
      <w:r w:rsidRPr="009313EB">
        <w:rPr>
          <w:rFonts w:asciiTheme="majorHAnsi" w:eastAsia="Times New Roman" w:hAnsiTheme="majorHAnsi" w:cstheme="majorHAnsi"/>
        </w:rPr>
        <w:t>     </w:t>
      </w:r>
      <w:r w:rsidR="00451633">
        <w:rPr>
          <w:rFonts w:ascii="Times New Roman" w:eastAsia="Times New Roman" w:hAnsi="Times New Roman" w:cs="Times New Roman"/>
        </w:rPr>
        <w:t>Business</w:t>
      </w:r>
      <w:r w:rsidR="00451633" w:rsidRPr="00451633">
        <w:rPr>
          <w:rFonts w:ascii="Times New Roman" w:eastAsia="Times New Roman" w:hAnsi="Times New Roman" w:cs="Times New Roman"/>
        </w:rPr>
        <w:t xml:space="preserve"> </w:t>
      </w:r>
      <w:r w:rsidR="00451633">
        <w:rPr>
          <w:rFonts w:ascii="Times New Roman" w:eastAsia="Times New Roman" w:hAnsi="Times New Roman" w:cs="Times New Roman"/>
        </w:rPr>
        <w:t xml:space="preserve">loans include commercial and industrial loans, </w:t>
      </w:r>
      <w:r w:rsidR="001D6D97">
        <w:rPr>
          <w:rFonts w:ascii="Times New Roman" w:eastAsia="Times New Roman" w:hAnsi="Times New Roman" w:cs="Times New Roman"/>
        </w:rPr>
        <w:t>o</w:t>
      </w:r>
      <w:r w:rsidR="00451633">
        <w:rPr>
          <w:rFonts w:ascii="Times New Roman" w:eastAsia="Times New Roman" w:hAnsi="Times New Roman" w:cs="Times New Roman"/>
        </w:rPr>
        <w:t>wner-occupied commercial real estate loans and PPP loans.</w:t>
      </w:r>
    </w:p>
    <w:p w:rsidR="00451633" w:rsidRPr="003874E7" w:rsidRDefault="00451633" w:rsidP="00632232">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w:t>
      </w:r>
      <w:r>
        <w:rPr>
          <w:rFonts w:asciiTheme="majorHAnsi" w:eastAsia="Times New Roman" w:hAnsiTheme="majorHAnsi" w:cstheme="majorHAnsi"/>
          <w:vertAlign w:val="superscript"/>
        </w:rPr>
        <w:t>2</w:t>
      </w:r>
      <w:r w:rsidRPr="009313EB">
        <w:rPr>
          <w:rFonts w:asciiTheme="majorHAnsi" w:eastAsia="Times New Roman" w:hAnsiTheme="majorHAnsi" w:cstheme="majorHAnsi"/>
          <w:vertAlign w:val="superscript"/>
        </w:rPr>
        <w:t>)</w:t>
      </w:r>
      <w:r w:rsidRPr="009313EB">
        <w:rPr>
          <w:rFonts w:asciiTheme="majorHAnsi" w:eastAsia="Times New Roman" w:hAnsiTheme="majorHAnsi" w:cstheme="majorHAnsi"/>
        </w:rPr>
        <w:t>     </w:t>
      </w:r>
      <w:r w:rsidRPr="003874E7">
        <w:rPr>
          <w:rFonts w:ascii="Times New Roman" w:eastAsia="Times New Roman" w:hAnsi="Times New Roman" w:cs="Times New Roman"/>
        </w:rPr>
        <w:t xml:space="preserve">Includes loans underlying </w:t>
      </w:r>
      <w:r>
        <w:rPr>
          <w:rFonts w:ascii="Times New Roman" w:eastAsia="Times New Roman" w:hAnsi="Times New Roman" w:cs="Times New Roman"/>
        </w:rPr>
        <w:t xml:space="preserve">multifamily </w:t>
      </w:r>
      <w:r w:rsidRPr="003874E7">
        <w:rPr>
          <w:rFonts w:ascii="Times New Roman" w:eastAsia="Times New Roman" w:hAnsi="Times New Roman" w:cs="Times New Roman"/>
        </w:rPr>
        <w:t>cooperatives.</w:t>
      </w:r>
      <w:r w:rsidRPr="00451633">
        <w:rPr>
          <w:rFonts w:ascii="Times New Roman" w:eastAsia="Times New Roman" w:hAnsi="Times New Roman" w:cs="Times New Roman"/>
        </w:rPr>
        <w:t xml:space="preserve"> </w:t>
      </w:r>
    </w:p>
    <w:p w:rsidR="00632232" w:rsidRPr="003874E7" w:rsidRDefault="00632232" w:rsidP="00FF6A46">
      <w:pPr>
        <w:tabs>
          <w:tab w:val="left" w:pos="8310"/>
          <w:tab w:val="left" w:pos="8532"/>
          <w:tab w:val="left" w:pos="9607"/>
          <w:tab w:val="left" w:pos="9829"/>
        </w:tabs>
        <w:ind w:left="360" w:hanging="360"/>
        <w:jc w:val="both"/>
        <w:rPr>
          <w:rFonts w:ascii="Times New Roman" w:eastAsia="Times New Roman" w:hAnsi="Times New Roman" w:cs="Times New Roman"/>
        </w:rPr>
      </w:pPr>
      <w:r w:rsidRPr="00431647">
        <w:rPr>
          <w:rFonts w:asciiTheme="majorHAnsi" w:eastAsia="Times New Roman" w:hAnsiTheme="majorHAnsi" w:cstheme="majorHAnsi"/>
          <w:vertAlign w:val="superscript"/>
        </w:rPr>
        <w:t>(</w:t>
      </w:r>
      <w:r w:rsidR="00451633" w:rsidRPr="00431647">
        <w:rPr>
          <w:rFonts w:asciiTheme="majorHAnsi" w:eastAsia="Times New Roman" w:hAnsiTheme="majorHAnsi" w:cstheme="majorHAnsi"/>
          <w:vertAlign w:val="superscript"/>
        </w:rPr>
        <w:t>3</w:t>
      </w:r>
      <w:r w:rsidRPr="00431647">
        <w:rPr>
          <w:rFonts w:asciiTheme="majorHAnsi" w:eastAsia="Times New Roman" w:hAnsiTheme="majorHAnsi" w:cstheme="majorHAnsi"/>
          <w:vertAlign w:val="superscript"/>
        </w:rPr>
        <w:t>)</w:t>
      </w:r>
      <w:r w:rsidRPr="003874E7">
        <w:rPr>
          <w:rFonts w:ascii="Times New Roman" w:eastAsia="Times New Roman" w:hAnsi="Times New Roman" w:cs="Times New Roman"/>
        </w:rPr>
        <w:t>    While the loans within this category are often considered "commercial real estate" in nature, multifamily and loans underlying cooperatives are here reported separately from commercial real estate loans in order to emphasize the residential nature of the collateral underlying this significant component of the total loan portfolio.</w:t>
      </w:r>
    </w:p>
    <w:p w:rsidR="00632232" w:rsidRPr="009313EB" w:rsidRDefault="00632232">
      <w:pPr>
        <w:rPr>
          <w:rFonts w:asciiTheme="majorHAnsi" w:hAnsiTheme="majorHAnsi" w:cstheme="majorHAnsi"/>
          <w:b/>
        </w:rPr>
      </w:pPr>
      <w:r w:rsidRPr="009313EB">
        <w:rPr>
          <w:rFonts w:asciiTheme="majorHAnsi" w:hAnsiTheme="majorHAnsi" w:cstheme="majorHAnsi"/>
          <w:b/>
        </w:rPr>
        <w:br w:type="page"/>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DIME COMMUNITY BANCSHARES, INC. AND SUBSIDIARIES</w:t>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UNAUDITED CONSOLIDATED STATEMENTS OF OPERATIONS</w:t>
      </w:r>
    </w:p>
    <w:p w:rsidR="00632232" w:rsidRPr="00CA14D0" w:rsidRDefault="00632232" w:rsidP="00632232">
      <w:pPr>
        <w:ind w:left="108"/>
        <w:jc w:val="center"/>
        <w:rPr>
          <w:rFonts w:ascii="Times New Roman" w:eastAsia="Times New Roman" w:hAnsi="Times New Roman" w:cs="Times New Roman"/>
        </w:rPr>
      </w:pPr>
      <w:r w:rsidRPr="00CA14D0">
        <w:rPr>
          <w:rFonts w:ascii="Times New Roman" w:eastAsia="Times New Roman" w:hAnsi="Times New Roman" w:cs="Times New Roman"/>
        </w:rPr>
        <w:t>(Dollars in thousands except share and per share amounts)</w:t>
      </w:r>
    </w:p>
    <w:p w:rsidR="00632232" w:rsidRDefault="00632232">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3"/>
        <w:gridCol w:w="160"/>
        <w:gridCol w:w="131"/>
        <w:gridCol w:w="887"/>
        <w:gridCol w:w="160"/>
        <w:gridCol w:w="80"/>
        <w:gridCol w:w="820"/>
        <w:gridCol w:w="160"/>
        <w:gridCol w:w="131"/>
        <w:gridCol w:w="887"/>
        <w:gridCol w:w="145"/>
        <w:gridCol w:w="131"/>
        <w:gridCol w:w="887"/>
        <w:gridCol w:w="160"/>
        <w:gridCol w:w="131"/>
        <w:gridCol w:w="887"/>
      </w:tblGrid>
      <w:tr w:rsidR="008F58A3" w:rsidTr="008F58A3">
        <w:trPr>
          <w:trHeight w:hRule="exact" w:val="20"/>
        </w:trPr>
        <w:tc>
          <w:tcPr>
            <w:tcW w:w="2356" w:type="pct"/>
            <w:tcBorders>
              <w:top w:val="nil"/>
              <w:left w:val="nil"/>
              <w:bottom w:val="nil"/>
              <w:right w:val="nil"/>
            </w:tcBorders>
          </w:tcPr>
          <w:p w:rsidR="008F58A3" w:rsidRDefault="008F58A3" w:rsidP="008F58A3">
            <w:pPr>
              <w:keepNext/>
              <w:rPr>
                <w:sz w:val="2"/>
              </w:rPr>
            </w:pPr>
          </w:p>
        </w:tc>
        <w:tc>
          <w:tcPr>
            <w:tcW w:w="92"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80" w:type="pct"/>
            <w:tcBorders>
              <w:top w:val="nil"/>
              <w:left w:val="nil"/>
              <w:bottom w:val="nil"/>
              <w:right w:val="nil"/>
            </w:tcBorders>
            <w:noWrap/>
            <w:vAlign w:val="bottom"/>
          </w:tcPr>
          <w:p w:rsidR="008F58A3" w:rsidRDefault="008F58A3" w:rsidP="008F58A3">
            <w:pPr>
              <w:keepNext/>
              <w:rPr>
                <w:sz w:val="2"/>
              </w:rPr>
            </w:pPr>
          </w:p>
        </w:tc>
        <w:tc>
          <w:tcPr>
            <w:tcW w:w="92"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80" w:type="pct"/>
            <w:tcBorders>
              <w:top w:val="nil"/>
              <w:left w:val="nil"/>
              <w:bottom w:val="nil"/>
              <w:right w:val="nil"/>
            </w:tcBorders>
            <w:noWrap/>
            <w:vAlign w:val="bottom"/>
          </w:tcPr>
          <w:p w:rsidR="008F58A3" w:rsidRDefault="008F58A3" w:rsidP="008F58A3">
            <w:pPr>
              <w:keepNext/>
              <w:rPr>
                <w:sz w:val="2"/>
              </w:rPr>
            </w:pPr>
          </w:p>
        </w:tc>
        <w:tc>
          <w:tcPr>
            <w:tcW w:w="92"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80" w:type="pct"/>
            <w:tcBorders>
              <w:top w:val="nil"/>
              <w:left w:val="nil"/>
              <w:bottom w:val="nil"/>
              <w:right w:val="nil"/>
            </w:tcBorders>
            <w:noWrap/>
            <w:vAlign w:val="bottom"/>
          </w:tcPr>
          <w:p w:rsidR="008F58A3" w:rsidRDefault="008F58A3" w:rsidP="008F58A3">
            <w:pPr>
              <w:keepNext/>
              <w:rPr>
                <w:sz w:val="2"/>
              </w:rPr>
            </w:pPr>
          </w:p>
        </w:tc>
        <w:tc>
          <w:tcPr>
            <w:tcW w:w="92"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80" w:type="pct"/>
            <w:tcBorders>
              <w:top w:val="nil"/>
              <w:left w:val="nil"/>
              <w:bottom w:val="nil"/>
              <w:right w:val="nil"/>
            </w:tcBorders>
            <w:noWrap/>
            <w:vAlign w:val="bottom"/>
          </w:tcPr>
          <w:p w:rsidR="008F58A3" w:rsidRDefault="008F58A3" w:rsidP="008F58A3">
            <w:pPr>
              <w:keepNext/>
              <w:rPr>
                <w:sz w:val="2"/>
              </w:rPr>
            </w:pPr>
          </w:p>
        </w:tc>
        <w:tc>
          <w:tcPr>
            <w:tcW w:w="92"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80"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2356" w:type="pct"/>
            <w:tcBorders>
              <w:top w:val="nil"/>
              <w:left w:val="nil"/>
              <w:bottom w:val="nil"/>
              <w:right w:val="nil"/>
              <w:tl2br w:val="nil"/>
              <w:tr2bl w:val="nil"/>
            </w:tcBorders>
            <w:shd w:val="clear" w:color="auto" w:fill="auto"/>
          </w:tcPr>
          <w:p w:rsidR="008F58A3" w:rsidRDefault="008F58A3" w:rsidP="008F58A3">
            <w:pPr>
              <w:rPr>
                <w:b/>
                <w:color w:val="000000"/>
                <w:sz w:val="16"/>
              </w:rPr>
            </w:pP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1494" w:type="pct"/>
            <w:gridSpan w:val="8"/>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Three Months Ended </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965" w:type="pct"/>
            <w:gridSpan w:val="5"/>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Nine Months Ended </w:t>
            </w:r>
          </w:p>
        </w:tc>
      </w:tr>
      <w:tr w:rsidR="008F58A3" w:rsidTr="008F58A3">
        <w:tc>
          <w:tcPr>
            <w:tcW w:w="2356" w:type="pct"/>
            <w:tcBorders>
              <w:top w:val="nil"/>
              <w:left w:val="nil"/>
              <w:bottom w:val="nil"/>
              <w:right w:val="nil"/>
              <w:tl2br w:val="nil"/>
              <w:tr2bl w:val="nil"/>
            </w:tcBorders>
            <w:shd w:val="clear" w:color="auto" w:fill="auto"/>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36"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36"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June 30, </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36"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b/>
                <w:color w:val="000000"/>
                <w:sz w:val="16"/>
              </w:rPr>
              <w:t>    </w:t>
            </w:r>
          </w:p>
        </w:tc>
        <w:tc>
          <w:tcPr>
            <w:tcW w:w="436"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36"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r>
      <w:tr w:rsidR="008F58A3" w:rsidTr="008F58A3">
        <w:tc>
          <w:tcPr>
            <w:tcW w:w="2356" w:type="pct"/>
            <w:tcBorders>
              <w:top w:val="nil"/>
              <w:left w:val="nil"/>
              <w:bottom w:val="nil"/>
              <w:right w:val="nil"/>
              <w:tl2br w:val="nil"/>
              <w:tr2bl w:val="nil"/>
            </w:tcBorders>
            <w:shd w:val="clear" w:color="auto" w:fill="auto"/>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6"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6"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6"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2022</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6"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2"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6"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2022</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b/>
                <w:color w:val="000000"/>
                <w:sz w:val="16"/>
              </w:rPr>
            </w:pPr>
            <w:r>
              <w:rPr>
                <w:rFonts w:ascii="Times New Roman" w:eastAsia="Times New Roman" w:hAnsi="Times New Roman" w:cs="Times New Roman"/>
                <w:b/>
                <w:color w:val="000000"/>
                <w:sz w:val="16"/>
              </w:rPr>
              <w:t>Interest income: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Loans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142,995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138,310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106,306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409,744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285,828</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Securities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7,916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7,914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7,374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24,261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21,572</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Other short-term investments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6,930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5,867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847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16,599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1,956</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240"/>
              <w:rPr>
                <w:b/>
                <w:color w:val="000000"/>
                <w:sz w:val="16"/>
              </w:rPr>
            </w:pPr>
            <w:r>
              <w:rPr>
                <w:rFonts w:ascii="Times New Roman" w:eastAsia="Times New Roman" w:hAnsi="Times New Roman" w:cs="Times New Roman"/>
                <w:b/>
                <w:color w:val="000000"/>
                <w:sz w:val="16"/>
              </w:rPr>
              <w:t>Total interest  income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157,841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152,091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114,527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450,604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309,356</w:t>
            </w: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Interest expense:</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Deposits and escrow</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62,507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52,616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10,154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152,395</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16,416</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Borrowed funds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16,925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17,759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3,483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50,855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9,334</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Derivative cash collateral</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1,930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1,497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452</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4,904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547</w:t>
            </w:r>
          </w:p>
        </w:tc>
      </w:tr>
      <w:tr w:rsidR="008F58A3" w:rsidTr="008F58A3">
        <w:tc>
          <w:tcPr>
            <w:tcW w:w="2356" w:type="pct"/>
            <w:tcBorders>
              <w:top w:val="nil"/>
              <w:left w:val="nil"/>
              <w:bottom w:val="nil"/>
              <w:right w:val="nil"/>
              <w:tl2br w:val="nil"/>
              <w:tr2bl w:val="nil"/>
            </w:tcBorders>
          </w:tcPr>
          <w:p w:rsidR="008F58A3" w:rsidRDefault="008F58A3" w:rsidP="008F58A3">
            <w:pPr>
              <w:ind w:left="240"/>
              <w:rPr>
                <w:b/>
                <w:color w:val="000000"/>
                <w:sz w:val="16"/>
              </w:rPr>
            </w:pPr>
            <w:r>
              <w:rPr>
                <w:rFonts w:ascii="Times New Roman" w:eastAsia="Times New Roman" w:hAnsi="Times New Roman" w:cs="Times New Roman"/>
                <w:b/>
                <w:color w:val="000000"/>
                <w:sz w:val="16"/>
              </w:rPr>
              <w:t>Total interest expense</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81,362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71,872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14,089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208,154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26,297</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360"/>
              <w:rPr>
                <w:b/>
                <w:color w:val="000000"/>
                <w:sz w:val="16"/>
              </w:rPr>
            </w:pPr>
            <w:r>
              <w:rPr>
                <w:rFonts w:ascii="Times New Roman" w:eastAsia="Times New Roman" w:hAnsi="Times New Roman" w:cs="Times New Roman"/>
                <w:b/>
                <w:color w:val="000000"/>
                <w:sz w:val="16"/>
              </w:rPr>
              <w:t>Net interest income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76,479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80,219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100,438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242,450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283,059</w:t>
            </w: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Provision (recovery) for credit losses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1,806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892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6,587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xml:space="preserve"> (950)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5,039</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b/>
                <w:color w:val="000000"/>
                <w:sz w:val="16"/>
              </w:rPr>
            </w:pPr>
            <w:r>
              <w:rPr>
                <w:rFonts w:ascii="Times New Roman" w:eastAsia="Times New Roman" w:hAnsi="Times New Roman" w:cs="Times New Roman"/>
                <w:b/>
                <w:color w:val="000000"/>
                <w:sz w:val="16"/>
              </w:rPr>
              <w:t>Net interest income after provision (recovery)</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74,673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79,327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93,851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243,400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278,020</w:t>
            </w: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Non-interest income:</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Service charges and other fees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3,963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4,856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3,866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12,633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12,261</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Title fees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291</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474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829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1,578</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Loan level derivative income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783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2,437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549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6,353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2,240</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BOLI income</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2,317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2,852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2,177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7,332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8,159</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Gain on sale of SBA loans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335</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1,061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1,176</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Gain on sale of residential loans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21</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393</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Loss on equity securities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xml:space="preserve"> (299)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xml:space="preserve"> (780)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xml:space="preserve"> (1,079)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Net (loss) gain on sale of securities and other assets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xml:space="preserve"> (22)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1,397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xml:space="preserve"> (1,469)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1,397</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Other</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539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550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634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1,571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1,485</w:t>
            </w:r>
          </w:p>
        </w:tc>
      </w:tr>
      <w:tr w:rsidR="008F58A3" w:rsidTr="008F58A3">
        <w:tc>
          <w:tcPr>
            <w:tcW w:w="2356" w:type="pct"/>
            <w:tcBorders>
              <w:top w:val="nil"/>
              <w:left w:val="nil"/>
              <w:bottom w:val="nil"/>
              <w:right w:val="nil"/>
              <w:tl2br w:val="nil"/>
              <w:tr2bl w:val="nil"/>
            </w:tcBorders>
          </w:tcPr>
          <w:p w:rsidR="008F58A3" w:rsidRDefault="008F58A3" w:rsidP="008F58A3">
            <w:pPr>
              <w:ind w:left="240"/>
              <w:rPr>
                <w:b/>
                <w:color w:val="000000"/>
                <w:sz w:val="16"/>
              </w:rPr>
            </w:pPr>
            <w:r>
              <w:rPr>
                <w:rFonts w:ascii="Times New Roman" w:eastAsia="Times New Roman" w:hAnsi="Times New Roman" w:cs="Times New Roman"/>
                <w:b/>
                <w:color w:val="000000"/>
                <w:sz w:val="16"/>
              </w:rPr>
              <w:t>Total non-interest income</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7,928</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10,405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9,362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27,334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28,689</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b/>
                <w:color w:val="000000"/>
                <w:sz w:val="16"/>
              </w:rPr>
            </w:pPr>
            <w:r>
              <w:rPr>
                <w:rFonts w:ascii="Times New Roman" w:eastAsia="Times New Roman" w:hAnsi="Times New Roman" w:cs="Times New Roman"/>
                <w:b/>
                <w:color w:val="000000"/>
                <w:sz w:val="16"/>
              </w:rPr>
              <w:t>Non-interest expense: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Salaries and employee benefits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30,520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29,900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29,188</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87,054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88,476</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Severance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8,562</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481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9,068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2,193</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Occupancy and equipment</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7,277</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7,144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7,884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21,794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22,864</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Data processing costs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4,309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4,197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3,434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12,744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11,152</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Marketing</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2,079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1,488</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1,531</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5,016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4,341</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Professional services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1,277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1,676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2,116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4,876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6,238</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Federal deposit insurance premiums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1,866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1,874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800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5,613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3,100</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Loss on extinguishment of debt</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740</w:t>
            </w:r>
          </w:p>
        </w:tc>
      </w:tr>
      <w:tr w:rsidR="008F58A3" w:rsidTr="008F58A3">
        <w:tc>
          <w:tcPr>
            <w:tcW w:w="2356" w:type="pct"/>
            <w:tcBorders>
              <w:top w:val="nil"/>
              <w:left w:val="nil"/>
              <w:bottom w:val="nil"/>
              <w:right w:val="nil"/>
              <w:tl2br w:val="nil"/>
              <w:tr2bl w:val="nil"/>
            </w:tcBorders>
          </w:tcPr>
          <w:p w:rsidR="008F58A3" w:rsidRDefault="008F58A3" w:rsidP="008F58A3">
            <w:pPr>
              <w:ind w:left="120"/>
              <w:rPr>
                <w:color w:val="000000"/>
                <w:sz w:val="16"/>
              </w:rPr>
            </w:pPr>
            <w:r>
              <w:rPr>
                <w:rFonts w:ascii="Times New Roman" w:eastAsia="Times New Roman" w:hAnsi="Times New Roman" w:cs="Times New Roman"/>
                <w:color w:val="000000"/>
                <w:sz w:val="16"/>
              </w:rPr>
              <w:t>Amortization of other intangible assets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349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349</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431</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1,075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1,447</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color w:val="000000"/>
                <w:sz w:val="16"/>
              </w:rPr>
            </w:pPr>
            <w:r>
              <w:rPr>
                <w:rFonts w:ascii="Times New Roman" w:eastAsia="Times New Roman" w:hAnsi="Times New Roman" w:cs="Times New Roman"/>
                <w:color w:val="000000"/>
                <w:sz w:val="16"/>
              </w:rPr>
              <w:t>Other</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3,284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5,077</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2,918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11,944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9,477</w:t>
            </w:r>
          </w:p>
        </w:tc>
      </w:tr>
      <w:tr w:rsidR="008F58A3" w:rsidTr="008F58A3">
        <w:tc>
          <w:tcPr>
            <w:tcW w:w="2356" w:type="pct"/>
            <w:tcBorders>
              <w:top w:val="nil"/>
              <w:left w:val="nil"/>
              <w:bottom w:val="nil"/>
              <w:right w:val="nil"/>
              <w:tl2br w:val="nil"/>
              <w:tr2bl w:val="nil"/>
            </w:tcBorders>
          </w:tcPr>
          <w:p w:rsidR="008F58A3" w:rsidRDefault="008F58A3" w:rsidP="008F58A3">
            <w:pPr>
              <w:ind w:left="240"/>
              <w:rPr>
                <w:b/>
                <w:color w:val="000000"/>
                <w:sz w:val="16"/>
              </w:rPr>
            </w:pPr>
            <w:r>
              <w:rPr>
                <w:rFonts w:ascii="Times New Roman" w:eastAsia="Times New Roman" w:hAnsi="Times New Roman" w:cs="Times New Roman"/>
                <w:b/>
                <w:color w:val="000000"/>
                <w:sz w:val="16"/>
              </w:rPr>
              <w:t>Total non-interest expense</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59,523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52,186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48,302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159,184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150,028</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240"/>
              <w:rPr>
                <w:b/>
                <w:color w:val="000000"/>
                <w:sz w:val="16"/>
              </w:rPr>
            </w:pPr>
            <w:r>
              <w:rPr>
                <w:rFonts w:ascii="Times New Roman" w:eastAsia="Times New Roman" w:hAnsi="Times New Roman" w:cs="Times New Roman"/>
                <w:b/>
                <w:color w:val="000000"/>
                <w:sz w:val="16"/>
              </w:rPr>
              <w:t>Income before taxes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23,078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37,546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54,911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111,550</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156,681</w:t>
            </w: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Income tax expense</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8,093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10,048</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15,430</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31,764</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44,184</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b/>
                <w:color w:val="000000"/>
                <w:sz w:val="16"/>
              </w:rPr>
            </w:pPr>
            <w:r>
              <w:rPr>
                <w:rFonts w:ascii="Times New Roman" w:eastAsia="Times New Roman" w:hAnsi="Times New Roman" w:cs="Times New Roman"/>
                <w:b/>
                <w:color w:val="000000"/>
                <w:sz w:val="16"/>
              </w:rPr>
              <w:t>Net income</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14,985</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27,498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39,481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79,786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112,497</w:t>
            </w:r>
          </w:p>
        </w:tc>
      </w:tr>
      <w:tr w:rsidR="008F58A3" w:rsidTr="008F58A3">
        <w:tc>
          <w:tcPr>
            <w:tcW w:w="2356" w:type="pct"/>
            <w:tcBorders>
              <w:top w:val="nil"/>
              <w:left w:val="nil"/>
              <w:bottom w:val="nil"/>
              <w:right w:val="nil"/>
              <w:tl2br w:val="nil"/>
              <w:tr2bl w:val="nil"/>
            </w:tcBorders>
          </w:tcPr>
          <w:p w:rsidR="008F58A3" w:rsidRDefault="008F58A3" w:rsidP="008F58A3">
            <w:pPr>
              <w:rPr>
                <w:color w:val="000000"/>
                <w:sz w:val="16"/>
              </w:rPr>
            </w:pPr>
            <w:r>
              <w:rPr>
                <w:rFonts w:ascii="Times New Roman" w:eastAsia="Times New Roman" w:hAnsi="Times New Roman" w:cs="Times New Roman"/>
                <w:color w:val="000000"/>
                <w:sz w:val="16"/>
              </w:rPr>
              <w:t>Preferred stock dividends</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1,822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1,822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1,822</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5,465</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5,465</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b/>
                <w:color w:val="000000"/>
                <w:sz w:val="16"/>
              </w:rPr>
            </w:pPr>
            <w:r>
              <w:rPr>
                <w:rFonts w:ascii="Times New Roman" w:eastAsia="Times New Roman" w:hAnsi="Times New Roman" w:cs="Times New Roman"/>
                <w:b/>
                <w:color w:val="000000"/>
                <w:sz w:val="16"/>
              </w:rPr>
              <w:t>Net income available to common stockholders</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13,163</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25,676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37,659</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74,321</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107,032</w:t>
            </w: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Earnings per common share ("EPS"):</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ind w:left="120"/>
              <w:rPr>
                <w:b/>
                <w:color w:val="000000"/>
                <w:sz w:val="16"/>
              </w:rPr>
            </w:pPr>
            <w:r>
              <w:rPr>
                <w:rFonts w:ascii="Times New Roman" w:eastAsia="Times New Roman" w:hAnsi="Times New Roman" w:cs="Times New Roman"/>
                <w:b/>
                <w:color w:val="000000"/>
                <w:sz w:val="16"/>
              </w:rPr>
              <w:t>Basic</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0.34</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0.66</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0.98</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1.92</w:t>
            </w: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2.74</w:t>
            </w:r>
          </w:p>
        </w:tc>
      </w:tr>
      <w:tr w:rsidR="008F58A3" w:rsidTr="008F58A3">
        <w:tc>
          <w:tcPr>
            <w:tcW w:w="2356" w:type="pct"/>
            <w:tcBorders>
              <w:top w:val="nil"/>
              <w:left w:val="nil"/>
              <w:bottom w:val="nil"/>
              <w:right w:val="nil"/>
              <w:tl2br w:val="nil"/>
              <w:tr2bl w:val="nil"/>
            </w:tcBorders>
          </w:tcPr>
          <w:p w:rsidR="008F58A3" w:rsidRDefault="008F58A3" w:rsidP="008F58A3">
            <w:pPr>
              <w:ind w:left="120"/>
              <w:rPr>
                <w:b/>
                <w:color w:val="000000"/>
                <w:sz w:val="16"/>
              </w:rPr>
            </w:pPr>
            <w:r>
              <w:rPr>
                <w:rFonts w:ascii="Times New Roman" w:eastAsia="Times New Roman" w:hAnsi="Times New Roman" w:cs="Times New Roman"/>
                <w:b/>
                <w:color w:val="000000"/>
                <w:sz w:val="16"/>
              </w:rPr>
              <w:t>Diluted</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0.34</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0.66</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8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0.98</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1.92</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80"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2.74</w:t>
            </w:r>
          </w:p>
        </w:tc>
      </w:tr>
      <w:tr w:rsidR="008F58A3" w:rsidTr="008F58A3">
        <w:tc>
          <w:tcPr>
            <w:tcW w:w="2356" w:type="pct"/>
            <w:tcBorders>
              <w:top w:val="nil"/>
              <w:left w:val="nil"/>
              <w:bottom w:val="nil"/>
              <w:right w:val="nil"/>
              <w:tl2br w:val="nil"/>
              <w:tr2bl w:val="nil"/>
            </w:tcBorders>
            <w:shd w:val="clear" w:color="auto" w:fill="CCEEFF"/>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80"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56" w:type="pct"/>
            <w:tcBorders>
              <w:top w:val="nil"/>
              <w:left w:val="nil"/>
              <w:bottom w:val="nil"/>
              <w:right w:val="nil"/>
              <w:tl2br w:val="nil"/>
              <w:tr2bl w:val="nil"/>
            </w:tcBorders>
          </w:tcPr>
          <w:p w:rsidR="008F58A3" w:rsidRDefault="008F58A3" w:rsidP="008F58A3">
            <w:pPr>
              <w:rPr>
                <w:b/>
                <w:color w:val="000000"/>
                <w:sz w:val="16"/>
              </w:rPr>
            </w:pPr>
            <w:r>
              <w:rPr>
                <w:rFonts w:ascii="Times New Roman" w:eastAsia="Times New Roman" w:hAnsi="Times New Roman" w:cs="Times New Roman"/>
                <w:b/>
                <w:color w:val="000000"/>
                <w:sz w:val="16"/>
              </w:rPr>
              <w:t>Average common shares outstanding for diluted EPS</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38,203,961</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38,175,993</w:t>
            </w:r>
          </w:p>
        </w:tc>
        <w:tc>
          <w:tcPr>
            <w:tcW w:w="9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38,165,681</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38,177,704</w:t>
            </w:r>
          </w:p>
        </w:tc>
        <w:tc>
          <w:tcPr>
            <w:tcW w:w="9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80"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38,678,894</w:t>
            </w:r>
          </w:p>
        </w:tc>
      </w:tr>
    </w:tbl>
    <w:p w:rsidR="001B3D85" w:rsidRDefault="001B3D85">
      <w:pPr>
        <w:rPr>
          <w:rFonts w:asciiTheme="majorHAnsi" w:hAnsiTheme="majorHAnsi" w:cstheme="majorHAnsi"/>
        </w:rPr>
      </w:pPr>
    </w:p>
    <w:p w:rsidR="00632232" w:rsidRPr="009313EB" w:rsidRDefault="00632232">
      <w:pPr>
        <w:rPr>
          <w:rFonts w:asciiTheme="majorHAnsi" w:hAnsiTheme="majorHAnsi" w:cstheme="majorHAnsi"/>
          <w:b/>
        </w:rPr>
      </w:pPr>
      <w:r w:rsidRPr="009313EB">
        <w:rPr>
          <w:rFonts w:asciiTheme="majorHAnsi" w:hAnsiTheme="majorHAnsi" w:cstheme="majorHAnsi"/>
          <w:b/>
        </w:rPr>
        <w:br w:type="page"/>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DIME COMMUNITY BANCSHARES, INC. AND SUBSIDIARIES</w:t>
      </w:r>
    </w:p>
    <w:p w:rsidR="00632232" w:rsidRPr="00CA14D0" w:rsidRDefault="00632232" w:rsidP="00632232">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UNAUDITED SELECTED FINANCIAL HIGHLIGHTS</w:t>
      </w:r>
    </w:p>
    <w:p w:rsidR="00632232" w:rsidRPr="00CA14D0" w:rsidRDefault="00632232" w:rsidP="00632232">
      <w:pPr>
        <w:ind w:left="108"/>
        <w:jc w:val="center"/>
        <w:rPr>
          <w:rFonts w:ascii="Times New Roman" w:eastAsia="Times New Roman" w:hAnsi="Times New Roman" w:cs="Times New Roman"/>
        </w:rPr>
      </w:pPr>
      <w:r w:rsidRPr="00CA14D0">
        <w:rPr>
          <w:rFonts w:ascii="Times New Roman" w:eastAsia="Times New Roman" w:hAnsi="Times New Roman" w:cs="Times New Roman"/>
        </w:rPr>
        <w:t>(Dollars in thousands except per share amounts)</w:t>
      </w:r>
    </w:p>
    <w:p w:rsidR="00632232" w:rsidRDefault="00632232">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0"/>
        <w:gridCol w:w="160"/>
        <w:gridCol w:w="132"/>
        <w:gridCol w:w="886"/>
        <w:gridCol w:w="240"/>
        <w:gridCol w:w="80"/>
        <w:gridCol w:w="820"/>
        <w:gridCol w:w="214"/>
        <w:gridCol w:w="132"/>
        <w:gridCol w:w="886"/>
        <w:gridCol w:w="214"/>
        <w:gridCol w:w="136"/>
        <w:gridCol w:w="911"/>
        <w:gridCol w:w="220"/>
        <w:gridCol w:w="135"/>
        <w:gridCol w:w="910"/>
        <w:gridCol w:w="134"/>
      </w:tblGrid>
      <w:tr w:rsidR="008F58A3" w:rsidTr="008F58A3">
        <w:trPr>
          <w:trHeight w:hRule="exact" w:val="20"/>
        </w:trPr>
        <w:tc>
          <w:tcPr>
            <w:tcW w:w="2332" w:type="pct"/>
            <w:tcBorders>
              <w:top w:val="nil"/>
              <w:left w:val="nil"/>
              <w:bottom w:val="nil"/>
              <w:right w:val="nil"/>
            </w:tcBorders>
            <w:vAlign w:val="bottom"/>
          </w:tcPr>
          <w:p w:rsidR="008F58A3" w:rsidRDefault="008F58A3" w:rsidP="008F58A3">
            <w:pPr>
              <w:keepNext/>
              <w:rPr>
                <w:sz w:val="2"/>
              </w:rPr>
            </w:pPr>
          </w:p>
        </w:tc>
        <w:tc>
          <w:tcPr>
            <w:tcW w:w="91"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76" w:type="pct"/>
            <w:tcBorders>
              <w:top w:val="nil"/>
              <w:left w:val="nil"/>
              <w:bottom w:val="nil"/>
              <w:right w:val="nil"/>
            </w:tcBorders>
            <w:noWrap/>
            <w:vAlign w:val="bottom"/>
          </w:tcPr>
          <w:p w:rsidR="008F58A3" w:rsidRDefault="008F58A3" w:rsidP="008F58A3">
            <w:pPr>
              <w:keepNext/>
              <w:rPr>
                <w:sz w:val="2"/>
              </w:rPr>
            </w:pPr>
          </w:p>
        </w:tc>
        <w:tc>
          <w:tcPr>
            <w:tcW w:w="91"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76" w:type="pct"/>
            <w:tcBorders>
              <w:top w:val="nil"/>
              <w:left w:val="nil"/>
              <w:bottom w:val="nil"/>
              <w:right w:val="nil"/>
            </w:tcBorders>
            <w:noWrap/>
            <w:vAlign w:val="bottom"/>
          </w:tcPr>
          <w:p w:rsidR="008F58A3" w:rsidRDefault="008F58A3" w:rsidP="008F58A3">
            <w:pPr>
              <w:keepNext/>
              <w:rPr>
                <w:sz w:val="2"/>
              </w:rPr>
            </w:pPr>
          </w:p>
        </w:tc>
        <w:tc>
          <w:tcPr>
            <w:tcW w:w="91"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76" w:type="pct"/>
            <w:tcBorders>
              <w:top w:val="nil"/>
              <w:left w:val="nil"/>
              <w:bottom w:val="nil"/>
              <w:right w:val="nil"/>
            </w:tcBorders>
            <w:noWrap/>
            <w:vAlign w:val="bottom"/>
          </w:tcPr>
          <w:p w:rsidR="008F58A3" w:rsidRDefault="008F58A3" w:rsidP="008F58A3">
            <w:pPr>
              <w:keepNext/>
              <w:rPr>
                <w:sz w:val="2"/>
              </w:rPr>
            </w:pPr>
          </w:p>
        </w:tc>
        <w:tc>
          <w:tcPr>
            <w:tcW w:w="91"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76" w:type="pct"/>
            <w:tcBorders>
              <w:top w:val="nil"/>
              <w:left w:val="nil"/>
              <w:bottom w:val="nil"/>
              <w:right w:val="nil"/>
            </w:tcBorders>
            <w:noWrap/>
            <w:vAlign w:val="bottom"/>
          </w:tcPr>
          <w:p w:rsidR="008F58A3" w:rsidRDefault="008F58A3" w:rsidP="008F58A3">
            <w:pPr>
              <w:keepNext/>
              <w:rPr>
                <w:sz w:val="2"/>
              </w:rPr>
            </w:pPr>
          </w:p>
        </w:tc>
        <w:tc>
          <w:tcPr>
            <w:tcW w:w="91" w:type="pct"/>
            <w:tcBorders>
              <w:top w:val="nil"/>
              <w:left w:val="nil"/>
              <w:bottom w:val="nil"/>
              <w:right w:val="nil"/>
            </w:tcBorders>
            <w:noWrap/>
            <w:vAlign w:val="bottom"/>
          </w:tcPr>
          <w:p w:rsidR="008F58A3" w:rsidRDefault="008F58A3" w:rsidP="008F58A3">
            <w:pPr>
              <w:keepNext/>
              <w:rPr>
                <w:sz w:val="2"/>
              </w:rPr>
            </w:pPr>
          </w:p>
        </w:tc>
        <w:tc>
          <w:tcPr>
            <w:tcW w:w="56" w:type="pct"/>
            <w:tcBorders>
              <w:top w:val="nil"/>
              <w:left w:val="nil"/>
              <w:bottom w:val="nil"/>
              <w:right w:val="nil"/>
            </w:tcBorders>
            <w:noWrap/>
            <w:vAlign w:val="bottom"/>
          </w:tcPr>
          <w:p w:rsidR="008F58A3" w:rsidRDefault="008F58A3" w:rsidP="008F58A3">
            <w:pPr>
              <w:keepNext/>
              <w:rPr>
                <w:sz w:val="2"/>
              </w:rPr>
            </w:pPr>
          </w:p>
        </w:tc>
        <w:tc>
          <w:tcPr>
            <w:tcW w:w="376" w:type="pct"/>
            <w:tcBorders>
              <w:top w:val="nil"/>
              <w:left w:val="nil"/>
              <w:bottom w:val="nil"/>
              <w:right w:val="nil"/>
            </w:tcBorders>
            <w:noWrap/>
            <w:vAlign w:val="bottom"/>
          </w:tcPr>
          <w:p w:rsidR="008F58A3" w:rsidRDefault="008F58A3" w:rsidP="008F58A3">
            <w:pPr>
              <w:keepNext/>
              <w:rPr>
                <w:sz w:val="2"/>
              </w:rPr>
            </w:pPr>
          </w:p>
        </w:tc>
        <w:tc>
          <w:tcPr>
            <w:tcW w:w="51"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2332" w:type="pct"/>
            <w:tcBorders>
              <w:top w:val="nil"/>
              <w:left w:val="nil"/>
              <w:bottom w:val="nil"/>
              <w:right w:val="nil"/>
              <w:tl2br w:val="nil"/>
              <w:tr2bl w:val="nil"/>
            </w:tcBorders>
            <w:shd w:val="clear" w:color="auto" w:fill="auto"/>
          </w:tcPr>
          <w:p w:rsidR="008F58A3" w:rsidRDefault="008F58A3" w:rsidP="008F58A3">
            <w:pPr>
              <w:rPr>
                <w:b/>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1479" w:type="pct"/>
            <w:gridSpan w:val="8"/>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At or For the Three Months Ended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955" w:type="pct"/>
            <w:gridSpan w:val="5"/>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At or For the Nine Months Ended </w:t>
            </w:r>
          </w:p>
        </w:tc>
        <w:tc>
          <w:tcPr>
            <w:tcW w:w="5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r>
      <w:tr w:rsidR="008F58A3" w:rsidTr="008F58A3">
        <w:tc>
          <w:tcPr>
            <w:tcW w:w="2332" w:type="pct"/>
            <w:tcBorders>
              <w:top w:val="nil"/>
              <w:left w:val="nil"/>
              <w:bottom w:val="nil"/>
              <w:right w:val="nil"/>
              <w:tl2br w:val="nil"/>
              <w:tr2bl w:val="nil"/>
            </w:tcBorders>
            <w:shd w:val="clear" w:color="auto" w:fill="auto"/>
          </w:tcPr>
          <w:p w:rsidR="008F58A3" w:rsidRDefault="008F58A3" w:rsidP="008F58A3">
            <w:pPr>
              <w:rPr>
                <w:b/>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June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5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r>
      <w:tr w:rsidR="008F58A3" w:rsidTr="008F58A3">
        <w:tc>
          <w:tcPr>
            <w:tcW w:w="2332" w:type="pct"/>
            <w:tcBorders>
              <w:top w:val="nil"/>
              <w:left w:val="nil"/>
              <w:bottom w:val="nil"/>
              <w:right w:val="nil"/>
              <w:tl2br w:val="nil"/>
              <w:tr2bl w:val="nil"/>
            </w:tcBorders>
            <w:shd w:val="clear" w:color="auto" w:fill="auto"/>
          </w:tcPr>
          <w:p w:rsidR="008F58A3" w:rsidRDefault="008F58A3" w:rsidP="008F58A3">
            <w:pPr>
              <w:rPr>
                <w:b/>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2022</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2022</w:t>
            </w:r>
          </w:p>
        </w:tc>
        <w:tc>
          <w:tcPr>
            <w:tcW w:w="5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b/>
                <w:color w:val="000000"/>
                <w:sz w:val="16"/>
                <w:u w:val="single"/>
              </w:rPr>
            </w:pPr>
            <w:r>
              <w:rPr>
                <w:rFonts w:ascii="Times New Roman" w:eastAsia="Times New Roman" w:hAnsi="Times New Roman" w:cs="Times New Roman"/>
                <w:b/>
                <w:color w:val="000000"/>
                <w:sz w:val="16"/>
                <w:u w:val="single"/>
              </w:rPr>
              <w:t>Per Share Data:</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Reported EPS (Diluted)</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0.34</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0.66</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0.98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1.92</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2.74</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Cash dividends paid per common share</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0.25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0.25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0.24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0.74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0.72</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Book value per common share</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28.03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27.99</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26.55</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28.03</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26.55</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common book value per share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23.87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23.82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22.34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23.87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22.34</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common book value per share excluding AOCI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26.63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26.51</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24.75</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26.63</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24.75</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Common shares outstanding</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38,811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38,803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38,572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38,811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38,572</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Dividend payout ratio</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73.53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37.88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24.49</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38.54</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26.28</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b/>
                <w:color w:val="000000"/>
                <w:sz w:val="16"/>
                <w:u w:val="single"/>
              </w:rPr>
            </w:pPr>
            <w:r>
              <w:rPr>
                <w:rFonts w:ascii="Times New Roman" w:eastAsia="Times New Roman" w:hAnsi="Times New Roman" w:cs="Times New Roman"/>
                <w:b/>
                <w:color w:val="000000"/>
                <w:sz w:val="16"/>
                <w:u w:val="single"/>
              </w:rPr>
              <w:t>Performance Ratios (Based upon Reported Net Income):</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Return on average assets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0.44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0.81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0.78</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1.22</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Return on average equity</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4.91</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9.03</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13.56</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8.78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12.83</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Return on average tangible common equity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5.69</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11.04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17.15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10.73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16.20</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Net interest margin</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2.34</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2.50</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3.38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2.52</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3.29</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Non-interest expense to average assets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1.73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1.63</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Efficiency ratio </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70.5</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57.6</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44.0</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59.0</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48.1</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Effective tax rate</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35.07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26.76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28.10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28.48</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28.20</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b/>
                <w:color w:val="000000"/>
                <w:sz w:val="16"/>
                <w:u w:val="single"/>
              </w:rPr>
            </w:pPr>
            <w:r>
              <w:rPr>
                <w:rFonts w:ascii="Times New Roman" w:eastAsia="Times New Roman" w:hAnsi="Times New Roman" w:cs="Times New Roman"/>
                <w:b/>
                <w:color w:val="000000"/>
                <w:sz w:val="16"/>
                <w:u w:val="single"/>
              </w:rPr>
              <w:t>Balance Sheet Data:</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Average assets</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13,759,493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13,658,068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12,550,626</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13,623,570</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12,292,051</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Average interest-earning assets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12,984,061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12,888,522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11,782,361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12,853,701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11,511,149</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Average tangible common equity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943,805</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940,054</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885,182</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933,072</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889,044</w:t>
            </w: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Loan-to-deposit ratio at end of period</w:t>
            </w:r>
            <w:r>
              <w:rPr>
                <w:rFonts w:ascii="Times New Roman" w:eastAsia="Times New Roman" w:hAnsi="Times New Roman" w:cs="Times New Roman"/>
                <w:color w:val="000000"/>
                <w:sz w:val="16"/>
                <w:vertAlign w:val="superscript"/>
              </w:rPr>
              <w:t xml:space="preserve"> (2)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102.0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103.4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96.5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102.0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96.5</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b/>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b/>
                <w:color w:val="000000"/>
                <w:sz w:val="16"/>
                <w:u w:val="single"/>
              </w:rPr>
            </w:pPr>
            <w:r>
              <w:rPr>
                <w:rFonts w:ascii="Times New Roman" w:eastAsia="Times New Roman" w:hAnsi="Times New Roman" w:cs="Times New Roman"/>
                <w:b/>
                <w:color w:val="000000"/>
                <w:sz w:val="16"/>
                <w:u w:val="single"/>
              </w:rPr>
              <w:t xml:space="preserve">Capital Ratios and Reserves - Consolidated: </w:t>
            </w:r>
            <w:r>
              <w:rPr>
                <w:rFonts w:ascii="Times New Roman" w:eastAsia="Times New Roman" w:hAnsi="Times New Roman" w:cs="Times New Roman"/>
                <w:b/>
                <w:color w:val="000000"/>
                <w:sz w:val="16"/>
                <w:u w:val="single"/>
                <w:vertAlign w:val="superscript"/>
              </w:rPr>
              <w:t>(3)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common equity to tangible assets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6.87</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6.78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6.77</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common equity excluding AOCI to tangible assets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7.66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7.54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7.45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equity to tangible assets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7.73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7.63</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7.69</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Tangible equity excluding AOCI to tangible assets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8.53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8.40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8.36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Tier 1 common equity ratio</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9.67</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9.44</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9.13</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Tier 1 risk-based capital ratio</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10.76</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10.50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10.25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Total risk-based capital ratio</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13.33</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13.06</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12.98</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Tier 1 leverage ratio</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8.38</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8.42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8.61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Consolidated CRE concentration ratio </w:t>
            </w:r>
            <w:r>
              <w:rPr>
                <w:rFonts w:ascii="Times New Roman" w:eastAsia="Times New Roman" w:hAnsi="Times New Roman" w:cs="Times New Roman"/>
                <w:color w:val="000000"/>
                <w:sz w:val="16"/>
                <w:vertAlign w:val="superscript"/>
              </w:rPr>
              <w:t>(4)</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547</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555</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555</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Allowance for credit losses/ Total loans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0.67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0.70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0.81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2332"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Allowance for credit losses/ Non-performing loans</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311.16</w:t>
            </w:r>
          </w:p>
        </w:tc>
        <w:tc>
          <w:tcPr>
            <w:tcW w:w="9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273.42</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199.45</w:t>
            </w: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51" w:type="pct"/>
            <w:tcBorders>
              <w:top w:val="nil"/>
              <w:left w:val="nil"/>
              <w:bottom w:val="nil"/>
              <w:right w:val="nil"/>
              <w:tl2br w:val="nil"/>
              <w:tr2bl w:val="nil"/>
            </w:tcBorders>
            <w:noWrap/>
            <w:vAlign w:val="bottom"/>
          </w:tcPr>
          <w:p w:rsidR="008F58A3" w:rsidRDefault="008F58A3" w:rsidP="008F58A3">
            <w:pPr>
              <w:rPr>
                <w:color w:val="000000"/>
                <w:sz w:val="16"/>
              </w:rPr>
            </w:pPr>
          </w:p>
        </w:tc>
      </w:tr>
    </w:tbl>
    <w:p w:rsidR="001B3D85" w:rsidRDefault="007D008B">
      <w:pPr>
        <w:rPr>
          <w:rFonts w:asciiTheme="majorHAnsi" w:hAnsiTheme="majorHAnsi" w:cstheme="majorHAnsi"/>
        </w:rPr>
      </w:pPr>
      <w:r>
        <w:rPr>
          <w:rFonts w:ascii="Times New Roman" w:hAnsi="Times New Roman" w:cs="Times New Roman"/>
          <w:szCs w:val="24"/>
        </w:rPr>
        <w:pict w14:anchorId="59C8E788">
          <v:rect id="_x0000_i1028" style="width:135pt;height:.6pt" o:hrpct="250" o:hrstd="t" o:hrnoshade="t" o:hr="t" fillcolor="black [3213]" stroked="f"/>
        </w:pict>
      </w:r>
    </w:p>
    <w:p w:rsidR="00632232" w:rsidRDefault="00632232" w:rsidP="00FF6A46">
      <w:pPr>
        <w:ind w:left="360" w:hanging="360"/>
        <w:jc w:val="both"/>
        <w:rPr>
          <w:rFonts w:ascii="Times New Roman" w:eastAsia="Times New Roman" w:hAnsi="Times New Roman" w:cs="Times New Roman"/>
        </w:rPr>
      </w:pPr>
      <w:r w:rsidRPr="008F3C67">
        <w:rPr>
          <w:rFonts w:ascii="Times New Roman" w:eastAsia="Times New Roman" w:hAnsi="Times New Roman" w:cs="Times New Roman"/>
          <w:vertAlign w:val="superscript"/>
        </w:rPr>
        <w:t>(1)</w:t>
      </w:r>
      <w:r w:rsidRPr="00CA14D0">
        <w:rPr>
          <w:rFonts w:ascii="Times New Roman" w:eastAsia="Times New Roman" w:hAnsi="Times New Roman" w:cs="Times New Roman"/>
        </w:rPr>
        <w:t>   </w:t>
      </w:r>
      <w:r w:rsidR="00CF1A89">
        <w:rPr>
          <w:rFonts w:ascii="Times New Roman" w:eastAsia="Times New Roman" w:hAnsi="Times New Roman" w:cs="Times New Roman"/>
        </w:rPr>
        <w:t xml:space="preserve"> </w:t>
      </w:r>
      <w:r w:rsidRPr="00CA14D0">
        <w:rPr>
          <w:rFonts w:ascii="Times New Roman" w:eastAsia="Times New Roman" w:hAnsi="Times New Roman" w:cs="Times New Roman"/>
        </w:rPr>
        <w:t>See "Non-GAAP Reconciliation" table</w:t>
      </w:r>
      <w:r w:rsidR="002328BA">
        <w:rPr>
          <w:rFonts w:ascii="Times New Roman" w:eastAsia="Times New Roman" w:hAnsi="Times New Roman" w:cs="Times New Roman"/>
        </w:rPr>
        <w:t>s</w:t>
      </w:r>
      <w:r w:rsidRPr="00CA14D0">
        <w:rPr>
          <w:rFonts w:ascii="Times New Roman" w:eastAsia="Times New Roman" w:hAnsi="Times New Roman" w:cs="Times New Roman"/>
        </w:rPr>
        <w:t xml:space="preserve"> for reconciliation of tangible equity, tangible common equity, and tangible assets. </w:t>
      </w:r>
    </w:p>
    <w:p w:rsidR="001D6D97" w:rsidRPr="00CA14D0" w:rsidRDefault="001D6D97" w:rsidP="001D6D97">
      <w:pPr>
        <w:ind w:left="360" w:hanging="360"/>
        <w:jc w:val="both"/>
        <w:rPr>
          <w:rFonts w:ascii="Times New Roman" w:eastAsia="Times New Roman" w:hAnsi="Times New Roman" w:cs="Times New Roman"/>
        </w:rPr>
      </w:pPr>
      <w:r w:rsidRPr="008F3C67">
        <w:rPr>
          <w:rFonts w:ascii="Times New Roman" w:eastAsia="Times New Roman" w:hAnsi="Times New Roman" w:cs="Times New Roman"/>
          <w:vertAlign w:val="superscript"/>
        </w:rPr>
        <w:t>(</w:t>
      </w:r>
      <w:r>
        <w:rPr>
          <w:rFonts w:ascii="Times New Roman" w:eastAsia="Times New Roman" w:hAnsi="Times New Roman" w:cs="Times New Roman"/>
          <w:vertAlign w:val="superscript"/>
        </w:rPr>
        <w:t>2</w:t>
      </w:r>
      <w:r w:rsidRPr="008F3C67">
        <w:rPr>
          <w:rFonts w:ascii="Times New Roman" w:eastAsia="Times New Roman" w:hAnsi="Times New Roman" w:cs="Times New Roman"/>
          <w:vertAlign w:val="superscript"/>
        </w:rPr>
        <w:t>)</w:t>
      </w:r>
      <w:r w:rsidRPr="00CA14D0">
        <w:rPr>
          <w:rFonts w:ascii="Times New Roman" w:eastAsia="Times New Roman" w:hAnsi="Times New Roman" w:cs="Times New Roman"/>
        </w:rPr>
        <w:t>   </w:t>
      </w:r>
      <w:r>
        <w:rPr>
          <w:rFonts w:ascii="Times New Roman" w:eastAsia="Times New Roman" w:hAnsi="Times New Roman" w:cs="Times New Roman"/>
        </w:rPr>
        <w:t xml:space="preserve"> Total deposits include mortgage escrow deposits</w:t>
      </w:r>
      <w:r w:rsidR="00B65040">
        <w:rPr>
          <w:rFonts w:ascii="Times New Roman" w:eastAsia="Times New Roman" w:hAnsi="Times New Roman" w:cs="Times New Roman"/>
        </w:rPr>
        <w:t>, which fluctuate seasonally.</w:t>
      </w:r>
    </w:p>
    <w:p w:rsidR="001D6D97" w:rsidRPr="00CA14D0" w:rsidRDefault="001D6D97" w:rsidP="001D6D97">
      <w:pPr>
        <w:ind w:left="360" w:hanging="360"/>
        <w:rPr>
          <w:rFonts w:ascii="Times New Roman" w:eastAsia="Times New Roman" w:hAnsi="Times New Roman" w:cs="Times New Roman"/>
        </w:rPr>
      </w:pPr>
      <w:r w:rsidRPr="008F3C67">
        <w:rPr>
          <w:rFonts w:ascii="Times New Roman" w:eastAsia="Times New Roman" w:hAnsi="Times New Roman" w:cs="Times New Roman"/>
          <w:vertAlign w:val="superscript"/>
        </w:rPr>
        <w:t>(3)</w:t>
      </w:r>
      <w:r w:rsidRPr="008F3C67">
        <w:rPr>
          <w:rFonts w:ascii="Times New Roman" w:eastAsia="Times New Roman" w:hAnsi="Times New Roman" w:cs="Times New Roman"/>
          <w:vertAlign w:val="superscript"/>
        </w:rPr>
        <w:tab/>
      </w:r>
      <w:r w:rsidR="004D4EDF">
        <w:rPr>
          <w:rFonts w:ascii="Times New Roman" w:eastAsia="Times New Roman" w:hAnsi="Times New Roman" w:cs="Times New Roman"/>
        </w:rPr>
        <w:t>September</w:t>
      </w:r>
      <w:r>
        <w:rPr>
          <w:rFonts w:ascii="Times New Roman" w:eastAsia="Times New Roman" w:hAnsi="Times New Roman" w:cs="Times New Roman"/>
        </w:rPr>
        <w:t xml:space="preserve"> 30, 2023 amounts are preliminary pending completion and filing of the Company’s regulatory reports. </w:t>
      </w:r>
    </w:p>
    <w:p w:rsidR="00632232" w:rsidRDefault="00632232" w:rsidP="00FF6A46">
      <w:pPr>
        <w:ind w:left="360" w:hanging="360"/>
        <w:jc w:val="both"/>
        <w:rPr>
          <w:rFonts w:ascii="Times New Roman" w:eastAsia="Times New Roman" w:hAnsi="Times New Roman" w:cs="Times New Roman"/>
        </w:rPr>
      </w:pPr>
      <w:r w:rsidRPr="008F3C67">
        <w:rPr>
          <w:rFonts w:ascii="Times New Roman" w:eastAsia="Times New Roman" w:hAnsi="Times New Roman" w:cs="Times New Roman"/>
          <w:vertAlign w:val="superscript"/>
        </w:rPr>
        <w:t>(</w:t>
      </w:r>
      <w:r w:rsidR="001D6D97">
        <w:rPr>
          <w:rFonts w:ascii="Times New Roman" w:eastAsia="Times New Roman" w:hAnsi="Times New Roman" w:cs="Times New Roman"/>
          <w:vertAlign w:val="superscript"/>
        </w:rPr>
        <w:t>4</w:t>
      </w:r>
      <w:r w:rsidRPr="008F3C67">
        <w:rPr>
          <w:rFonts w:ascii="Times New Roman" w:eastAsia="Times New Roman" w:hAnsi="Times New Roman" w:cs="Times New Roman"/>
          <w:vertAlign w:val="superscript"/>
        </w:rPr>
        <w:t>)</w:t>
      </w:r>
      <w:r w:rsidRPr="00CA14D0">
        <w:rPr>
          <w:rFonts w:ascii="Times New Roman" w:eastAsia="Times New Roman" w:hAnsi="Times New Roman" w:cs="Times New Roman"/>
        </w:rPr>
        <w:t>  </w:t>
      </w:r>
      <w:r w:rsidR="00CF1A89">
        <w:rPr>
          <w:rFonts w:ascii="Times New Roman" w:eastAsia="Times New Roman" w:hAnsi="Times New Roman" w:cs="Times New Roman"/>
        </w:rPr>
        <w:t xml:space="preserve"> </w:t>
      </w:r>
      <w:r w:rsidRPr="00CA14D0">
        <w:rPr>
          <w:rFonts w:ascii="Times New Roman" w:eastAsia="Times New Roman" w:hAnsi="Times New Roman" w:cs="Times New Roman"/>
        </w:rPr>
        <w:t xml:space="preserve">The </w:t>
      </w:r>
      <w:r w:rsidR="007136FE">
        <w:rPr>
          <w:rFonts w:ascii="Times New Roman" w:eastAsia="Times New Roman" w:hAnsi="Times New Roman" w:cs="Times New Roman"/>
        </w:rPr>
        <w:t xml:space="preserve">Consolidated </w:t>
      </w:r>
      <w:r w:rsidRPr="00CA14D0">
        <w:rPr>
          <w:rFonts w:ascii="Times New Roman" w:eastAsia="Times New Roman" w:hAnsi="Times New Roman" w:cs="Times New Roman"/>
        </w:rPr>
        <w:t>CRE concentration ratio is calculated using the sum of commercial real estate, excluding owner</w:t>
      </w:r>
      <w:r w:rsidR="00556F23">
        <w:rPr>
          <w:rFonts w:ascii="Times New Roman" w:eastAsia="Times New Roman" w:hAnsi="Times New Roman" w:cs="Times New Roman"/>
        </w:rPr>
        <w:t>-</w:t>
      </w:r>
      <w:r w:rsidRPr="00CA14D0">
        <w:rPr>
          <w:rFonts w:ascii="Times New Roman" w:eastAsia="Times New Roman" w:hAnsi="Times New Roman" w:cs="Times New Roman"/>
        </w:rPr>
        <w:t xml:space="preserve">occupied commercial real estate, multifamily, and </w:t>
      </w:r>
      <w:r w:rsidR="00556F23">
        <w:rPr>
          <w:rFonts w:ascii="Times New Roman" w:eastAsia="Times New Roman" w:hAnsi="Times New Roman" w:cs="Times New Roman"/>
        </w:rPr>
        <w:t>acquisition, development, and construction</w:t>
      </w:r>
      <w:r w:rsidRPr="00CA14D0">
        <w:rPr>
          <w:rFonts w:ascii="Times New Roman" w:eastAsia="Times New Roman" w:hAnsi="Times New Roman" w:cs="Times New Roman"/>
        </w:rPr>
        <w:t>, divided by consolidated capital.</w:t>
      </w:r>
      <w:r w:rsidR="00E90EDD">
        <w:rPr>
          <w:rFonts w:ascii="Times New Roman" w:eastAsia="Times New Roman" w:hAnsi="Times New Roman" w:cs="Times New Roman"/>
        </w:rPr>
        <w:t xml:space="preserve"> </w:t>
      </w:r>
      <w:r w:rsidR="00D369C9">
        <w:rPr>
          <w:rFonts w:ascii="Times New Roman" w:eastAsia="Times New Roman" w:hAnsi="Times New Roman" w:cs="Times New Roman"/>
        </w:rPr>
        <w:t>September</w:t>
      </w:r>
      <w:r w:rsidR="006B58FE">
        <w:rPr>
          <w:rFonts w:ascii="Times New Roman" w:eastAsia="Times New Roman" w:hAnsi="Times New Roman" w:cs="Times New Roman"/>
        </w:rPr>
        <w:t xml:space="preserve"> </w:t>
      </w:r>
      <w:r w:rsidR="00AE1C73">
        <w:rPr>
          <w:rFonts w:ascii="Times New Roman" w:eastAsia="Times New Roman" w:hAnsi="Times New Roman" w:cs="Times New Roman"/>
        </w:rPr>
        <w:t>3</w:t>
      </w:r>
      <w:r w:rsidR="00C20A0E">
        <w:rPr>
          <w:rFonts w:ascii="Times New Roman" w:eastAsia="Times New Roman" w:hAnsi="Times New Roman" w:cs="Times New Roman"/>
        </w:rPr>
        <w:t>0</w:t>
      </w:r>
      <w:r w:rsidR="00021467">
        <w:rPr>
          <w:rFonts w:ascii="Times New Roman" w:eastAsia="Times New Roman" w:hAnsi="Times New Roman" w:cs="Times New Roman"/>
        </w:rPr>
        <w:t>,</w:t>
      </w:r>
      <w:r w:rsidR="00E90EDD">
        <w:rPr>
          <w:rFonts w:ascii="Times New Roman" w:eastAsia="Times New Roman" w:hAnsi="Times New Roman" w:cs="Times New Roman"/>
        </w:rPr>
        <w:t xml:space="preserve"> 202</w:t>
      </w:r>
      <w:r w:rsidR="006B58FE">
        <w:rPr>
          <w:rFonts w:ascii="Times New Roman" w:eastAsia="Times New Roman" w:hAnsi="Times New Roman" w:cs="Times New Roman"/>
        </w:rPr>
        <w:t>3</w:t>
      </w:r>
      <w:r w:rsidR="00E90EDD">
        <w:rPr>
          <w:rFonts w:ascii="Times New Roman" w:eastAsia="Times New Roman" w:hAnsi="Times New Roman" w:cs="Times New Roman"/>
        </w:rPr>
        <w:t xml:space="preserve"> amounts are preliminary pending completion and filing of the Company’s regulatory reports.</w:t>
      </w:r>
    </w:p>
    <w:p w:rsidR="008F3C67" w:rsidRDefault="008F3C67" w:rsidP="00632232">
      <w:pPr>
        <w:ind w:left="360" w:hanging="360"/>
        <w:rPr>
          <w:rFonts w:ascii="Times New Roman" w:eastAsia="Times New Roman" w:hAnsi="Times New Roman" w:cs="Times New Roman"/>
        </w:rPr>
      </w:pPr>
      <w:r>
        <w:rPr>
          <w:rFonts w:ascii="Times New Roman" w:eastAsia="Times New Roman" w:hAnsi="Times New Roman" w:cs="Times New Roman"/>
        </w:rPr>
        <w:t xml:space="preserve"> </w:t>
      </w:r>
    </w:p>
    <w:p w:rsidR="008F3C67" w:rsidRPr="00CA14D0" w:rsidRDefault="008F3C67" w:rsidP="00632232">
      <w:pPr>
        <w:ind w:left="360" w:hanging="360"/>
        <w:rPr>
          <w:rFonts w:ascii="Times New Roman" w:eastAsia="Times New Roman" w:hAnsi="Times New Roman" w:cs="Times New Roman"/>
        </w:rPr>
      </w:pPr>
    </w:p>
    <w:p w:rsidR="00632232" w:rsidRPr="009313EB" w:rsidRDefault="00632232">
      <w:pPr>
        <w:rPr>
          <w:rFonts w:asciiTheme="majorHAnsi" w:eastAsia="Times New Roman" w:hAnsiTheme="majorHAnsi" w:cstheme="majorHAnsi"/>
        </w:rPr>
      </w:pPr>
      <w:r w:rsidRPr="009313EB">
        <w:rPr>
          <w:rFonts w:asciiTheme="majorHAnsi" w:eastAsia="Times New Roman" w:hAnsiTheme="majorHAnsi" w:cstheme="majorHAnsi"/>
        </w:rPr>
        <w:br w:type="page"/>
      </w:r>
    </w:p>
    <w:p w:rsidR="00F007E8" w:rsidRPr="00CA14D0" w:rsidRDefault="00F007E8" w:rsidP="00F007E8">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DIME COMMUNITY BANCSHARES, INC. AND SUBSIDIARIES</w:t>
      </w:r>
    </w:p>
    <w:p w:rsidR="00F007E8" w:rsidRPr="00CA14D0" w:rsidRDefault="00F007E8" w:rsidP="00F007E8">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UNAUDITED AVERAGE BALANCES AND NET INTEREST INCOME</w:t>
      </w:r>
    </w:p>
    <w:p w:rsidR="00F007E8" w:rsidRPr="00CA14D0" w:rsidRDefault="00F007E8" w:rsidP="00F007E8">
      <w:pPr>
        <w:ind w:left="108"/>
        <w:jc w:val="center"/>
        <w:rPr>
          <w:rFonts w:ascii="Times New Roman" w:eastAsia="Times New Roman" w:hAnsi="Times New Roman" w:cs="Times New Roman"/>
        </w:rPr>
      </w:pPr>
      <w:r w:rsidRPr="00CA14D0">
        <w:rPr>
          <w:rFonts w:ascii="Times New Roman" w:eastAsia="Times New Roman" w:hAnsi="Times New Roman" w:cs="Times New Roman"/>
        </w:rPr>
        <w:t>(Dollars in thousands)</w:t>
      </w:r>
    </w:p>
    <w:p w:rsidR="00F007E8" w:rsidRDefault="00F007E8">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5"/>
        <w:gridCol w:w="160"/>
        <w:gridCol w:w="160"/>
        <w:gridCol w:w="820"/>
        <w:gridCol w:w="160"/>
        <w:gridCol w:w="160"/>
        <w:gridCol w:w="620"/>
        <w:gridCol w:w="160"/>
        <w:gridCol w:w="569"/>
        <w:gridCol w:w="240"/>
        <w:gridCol w:w="160"/>
        <w:gridCol w:w="820"/>
        <w:gridCol w:w="160"/>
        <w:gridCol w:w="160"/>
        <w:gridCol w:w="620"/>
        <w:gridCol w:w="160"/>
        <w:gridCol w:w="569"/>
        <w:gridCol w:w="214"/>
        <w:gridCol w:w="160"/>
        <w:gridCol w:w="820"/>
        <w:gridCol w:w="160"/>
        <w:gridCol w:w="160"/>
        <w:gridCol w:w="620"/>
        <w:gridCol w:w="160"/>
        <w:gridCol w:w="569"/>
        <w:gridCol w:w="214"/>
      </w:tblGrid>
      <w:tr w:rsidR="008F58A3" w:rsidTr="008F58A3">
        <w:trPr>
          <w:trHeight w:hRule="exact" w:val="20"/>
        </w:trPr>
        <w:tc>
          <w:tcPr>
            <w:tcW w:w="1767" w:type="pct"/>
            <w:tcBorders>
              <w:top w:val="nil"/>
              <w:left w:val="nil"/>
              <w:bottom w:val="nil"/>
              <w:right w:val="nil"/>
            </w:tcBorders>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331"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258"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231"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285"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231"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231"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285"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c>
          <w:tcPr>
            <w:tcW w:w="231" w:type="pct"/>
            <w:tcBorders>
              <w:top w:val="nil"/>
              <w:left w:val="nil"/>
              <w:bottom w:val="nil"/>
              <w:right w:val="nil"/>
            </w:tcBorders>
            <w:noWrap/>
            <w:vAlign w:val="bottom"/>
          </w:tcPr>
          <w:p w:rsidR="008F58A3" w:rsidRDefault="008F58A3" w:rsidP="008F58A3">
            <w:pPr>
              <w:keepNext/>
              <w:rPr>
                <w:sz w:val="2"/>
              </w:rPr>
            </w:pPr>
          </w:p>
        </w:tc>
        <w:tc>
          <w:tcPr>
            <w:tcW w:w="69" w:type="pct"/>
            <w:tcBorders>
              <w:top w:val="nil"/>
              <w:left w:val="nil"/>
              <w:bottom w:val="nil"/>
              <w:right w:val="nil"/>
            </w:tcBorders>
            <w:noWrap/>
            <w:vAlign w:val="bottom"/>
          </w:tcPr>
          <w:p w:rsidR="008F58A3" w:rsidRDefault="008F58A3" w:rsidP="008F58A3">
            <w:pPr>
              <w:keepNext/>
              <w:rPr>
                <w:sz w:val="2"/>
              </w:rPr>
            </w:pPr>
          </w:p>
        </w:tc>
        <w:tc>
          <w:tcPr>
            <w:tcW w:w="231" w:type="pct"/>
            <w:tcBorders>
              <w:top w:val="nil"/>
              <w:left w:val="nil"/>
              <w:bottom w:val="nil"/>
              <w:right w:val="nil"/>
            </w:tcBorders>
            <w:noWrap/>
            <w:vAlign w:val="bottom"/>
          </w:tcPr>
          <w:p w:rsidR="008F58A3" w:rsidRDefault="008F58A3" w:rsidP="008F58A3">
            <w:pPr>
              <w:keepNext/>
              <w:rPr>
                <w:sz w:val="2"/>
              </w:rPr>
            </w:pPr>
          </w:p>
        </w:tc>
        <w:tc>
          <w:tcPr>
            <w:tcW w:w="42"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1767" w:type="pct"/>
            <w:tcBorders>
              <w:top w:val="nil"/>
              <w:left w:val="nil"/>
              <w:bottom w:val="nil"/>
              <w:right w:val="nil"/>
              <w:tl2br w:val="nil"/>
              <w:tr2bl w:val="nil"/>
            </w:tcBorders>
            <w:shd w:val="clear" w:color="auto" w:fill="auto"/>
            <w:vAlign w:val="bottom"/>
          </w:tcPr>
          <w:p w:rsidR="008F58A3" w:rsidRDefault="008F58A3" w:rsidP="008F58A3">
            <w:pP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3122" w:type="pct"/>
            <w:gridSpan w:val="23"/>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Three Months Ended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r>
      <w:tr w:rsidR="008F58A3" w:rsidTr="008F58A3">
        <w:tc>
          <w:tcPr>
            <w:tcW w:w="1767" w:type="pct"/>
            <w:tcBorders>
              <w:top w:val="nil"/>
              <w:left w:val="nil"/>
              <w:bottom w:val="nil"/>
              <w:right w:val="nil"/>
              <w:tl2br w:val="nil"/>
              <w:tr2bl w:val="nil"/>
            </w:tcBorders>
            <w:shd w:val="clear" w:color="auto" w:fill="auto"/>
            <w:vAlign w:val="bottom"/>
          </w:tcPr>
          <w:p w:rsidR="008F58A3" w:rsidRDefault="008F58A3" w:rsidP="008F58A3">
            <w:pP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1043" w:type="pct"/>
            <w:gridSpan w:val="7"/>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2023</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970" w:type="pct"/>
            <w:gridSpan w:val="7"/>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June 30, 2023</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p>
        </w:tc>
        <w:tc>
          <w:tcPr>
            <w:tcW w:w="970" w:type="pct"/>
            <w:gridSpan w:val="7"/>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2022</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r>
      <w:tr w:rsidR="008F58A3" w:rsidTr="008F58A3">
        <w:tc>
          <w:tcPr>
            <w:tcW w:w="1767" w:type="pct"/>
            <w:tcBorders>
              <w:top w:val="nil"/>
              <w:left w:val="nil"/>
              <w:bottom w:val="nil"/>
              <w:right w:val="nil"/>
              <w:tl2br w:val="nil"/>
              <w:tr2bl w:val="nil"/>
            </w:tcBorders>
            <w:shd w:val="clear" w:color="auto" w:fill="auto"/>
            <w:vAlign w:val="bottom"/>
          </w:tcPr>
          <w:p w:rsidR="008F58A3" w:rsidRDefault="008F58A3" w:rsidP="008F58A3">
            <w:pP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r>
      <w:tr w:rsidR="008F58A3" w:rsidTr="008F58A3">
        <w:tc>
          <w:tcPr>
            <w:tcW w:w="1767" w:type="pct"/>
            <w:tcBorders>
              <w:top w:val="nil"/>
              <w:left w:val="nil"/>
              <w:bottom w:val="nil"/>
              <w:right w:val="nil"/>
              <w:tl2br w:val="nil"/>
              <w:tr2bl w:val="nil"/>
            </w:tcBorders>
            <w:shd w:val="clear" w:color="auto" w:fill="auto"/>
            <w:vAlign w:val="bottom"/>
          </w:tcPr>
          <w:p w:rsidR="008F58A3" w:rsidRDefault="008F58A3" w:rsidP="008F58A3">
            <w:pP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373"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Yield/</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327"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Yield/</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327"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Average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Yield/</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r>
      <w:tr w:rsidR="008F58A3" w:rsidTr="008F58A3">
        <w:tc>
          <w:tcPr>
            <w:tcW w:w="1767" w:type="pct"/>
            <w:tcBorders>
              <w:top w:val="nil"/>
              <w:left w:val="nil"/>
              <w:bottom w:val="nil"/>
              <w:right w:val="nil"/>
              <w:tl2br w:val="nil"/>
              <w:tr2bl w:val="nil"/>
            </w:tcBorders>
            <w:shd w:val="clear" w:color="auto" w:fill="auto"/>
            <w:vAlign w:val="bottom"/>
          </w:tcPr>
          <w:p w:rsidR="008F58A3" w:rsidRDefault="008F58A3" w:rsidP="008F58A3">
            <w:pPr>
              <w:rPr>
                <w:color w:val="000000"/>
                <w:sz w:val="16"/>
              </w:rPr>
            </w:pPr>
          </w:p>
        </w:tc>
        <w:tc>
          <w:tcPr>
            <w:tcW w:w="69"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37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300"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Interest</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Cost</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327"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7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Interest</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Cost</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327"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Balance</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7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Interest</w:t>
            </w:r>
          </w:p>
        </w:tc>
        <w:tc>
          <w:tcPr>
            <w:tcW w:w="69"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p>
        </w:tc>
        <w:tc>
          <w:tcPr>
            <w:tcW w:w="231" w:type="pct"/>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Cost</w:t>
            </w:r>
          </w:p>
        </w:tc>
        <w:tc>
          <w:tcPr>
            <w:tcW w:w="42" w:type="pct"/>
            <w:tcBorders>
              <w:top w:val="nil"/>
              <w:left w:val="nil"/>
              <w:bottom w:val="nil"/>
              <w:right w:val="nil"/>
              <w:tl2br w:val="nil"/>
              <w:tr2bl w:val="nil"/>
            </w:tcBorders>
            <w:shd w:val="clear" w:color="auto" w:fill="auto"/>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Assets: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Interest-earning assets: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Business loans </w:t>
            </w:r>
            <w:r>
              <w:rPr>
                <w:rFonts w:ascii="Times New Roman" w:eastAsia="Times New Roman" w:hAnsi="Times New Roman" w:cs="Times New Roman"/>
                <w:color w:val="000000"/>
                <w:sz w:val="16"/>
                <w:vertAlign w:val="superscript"/>
              </w:rPr>
              <w:t>(1)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2,260,203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38,384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6.74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2,259,769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36,715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6.52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2,013,897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26,153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5.15</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One-to-four family residential, including condo and coop</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879,688</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9,165</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4.13</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828,324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8,661</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4.19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706,144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6,294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3.54</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Multifamily residential and residential mixed-use</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4,114,476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46,099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4.45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4,125,119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45,123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4.39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3,831,747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36,423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3.77</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Non-owner-occupied commercial real estate</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3,382,927</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44,184</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5.18</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3,337,689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42,559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5.11</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3,119,262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33,168</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4.22</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Acquisition, development, and construction</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222,039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5,075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9.07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220,795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5,149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9.35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251,426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4,108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6.48</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Other loans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6,156</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88</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5.67</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6,536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103</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6.32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10,566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6.01</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Securities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1,619,960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7,916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1,642,057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7,914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1.93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1,666,398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7,374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1.76</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Other short-term investments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498,612</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6,930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5.51</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468,233</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5,867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5.03</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182,921</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847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1.84</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interest-earning assets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12,984,061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157,841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4.82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12,888,522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152,091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4.73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11,782,361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114,527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3.86</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Non-interest-earning assets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775,432</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769,546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20"/>
              <w:jc w:val="right"/>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768,265</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assets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31"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13,759,493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13,658,068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20"/>
              <w:jc w:val="right"/>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12,550,626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33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58"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120"/>
              <w:jc w:val="right"/>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Liabilities and Stockholders' Equity:</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20"/>
              <w:jc w:val="right"/>
              <w:rPr>
                <w:color w:val="000000"/>
                <w:sz w:val="16"/>
              </w:rPr>
            </w:pP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Interest-bearing liabilities: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258"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231"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285" w:type="pct"/>
            <w:tcBorders>
              <w:top w:val="nil"/>
              <w:left w:val="nil"/>
              <w:bottom w:val="nil"/>
              <w:right w:val="nil"/>
              <w:tl2br w:val="nil"/>
              <w:tr2bl w:val="nil"/>
            </w:tcBorders>
            <w:noWrap/>
            <w:vAlign w:val="bottom"/>
          </w:tcPr>
          <w:p w:rsidR="008F58A3" w:rsidRDefault="008F58A3" w:rsidP="008F58A3">
            <w:pPr>
              <w:rPr>
                <w:color w:val="000000"/>
                <w:sz w:val="22"/>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20"/>
              <w:jc w:val="right"/>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Interest-bearing checking </w:t>
            </w:r>
            <w:r>
              <w:rPr>
                <w:rFonts w:ascii="Times New Roman" w:eastAsia="Times New Roman" w:hAnsi="Times New Roman" w:cs="Times New Roman"/>
                <w:color w:val="000000"/>
                <w:sz w:val="16"/>
                <w:vertAlign w:val="superscript"/>
              </w:rPr>
              <w:t>(2)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786,892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2,896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952,424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3,081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1.30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833,386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970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0.46</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Money market</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2,975,267</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24,275</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3.24</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2,713,816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18,284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2.70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2,651,459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2,046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0.31</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Savings </w:t>
            </w:r>
            <w:r>
              <w:rPr>
                <w:rFonts w:ascii="Times New Roman" w:eastAsia="Times New Roman" w:hAnsi="Times New Roman" w:cs="Times New Roman"/>
                <w:color w:val="000000"/>
                <w:sz w:val="16"/>
                <w:vertAlign w:val="superscript"/>
              </w:rPr>
              <w:t>(2)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2,342,424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20,316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3.44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2,279,670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17,376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3.06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2,243,887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4,951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0.88</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Certificates of deposit</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1,494,491</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15,020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3.99</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1,546,257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13,875</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3.60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988,827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2,187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0.88</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interest-bearing deposits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7,599,074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62,507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3.26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7,492,167</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52,616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2.82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6,717,559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10,154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0.60</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FHLBNY advances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1,250,717</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14,370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4.56</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1,327,121</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15,206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4.60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166,739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1.02</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Subordinated debt, net</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200,232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2,553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5.06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200,254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2,553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5.11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200,320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2,553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5.06</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Other short-term borrowings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6.61</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814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75,975</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500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2.61</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borrowings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1,451,069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16,925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4.63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1,528,189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17,759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4.66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443,034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3,483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3.12</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Derivative cash collateral</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p>
        </w:tc>
        <w:tc>
          <w:tcPr>
            <w:tcW w:w="331"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156,795</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p>
        </w:tc>
        <w:tc>
          <w:tcPr>
            <w:tcW w:w="258"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1,930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4.88</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120,542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1,497</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4.98</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p>
        </w:tc>
        <w:tc>
          <w:tcPr>
            <w:tcW w:w="285"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111,325</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452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1.61</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interest-bearing liabilities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9,206,938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81,362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3.51</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9,140,898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71,872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180"/>
              <w:jc w:val="right"/>
              <w:rPr>
                <w:color w:val="000000"/>
                <w:sz w:val="16"/>
              </w:rPr>
            </w:pPr>
            <w:r>
              <w:rPr>
                <w:rFonts w:ascii="Times New Roman" w:eastAsia="Times New Roman" w:hAnsi="Times New Roman" w:cs="Times New Roman"/>
                <w:color w:val="000000"/>
                <w:sz w:val="16"/>
              </w:rPr>
              <w:t xml:space="preserve"> 3.15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7,271,918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14,089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0.77</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Non-interest-bearing checking </w:t>
            </w:r>
            <w:r>
              <w:rPr>
                <w:rFonts w:ascii="Times New Roman" w:eastAsia="Times New Roman" w:hAnsi="Times New Roman" w:cs="Times New Roman"/>
                <w:color w:val="000000"/>
                <w:sz w:val="16"/>
                <w:vertAlign w:val="superscript"/>
              </w:rPr>
              <w:t>(2)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3,065,186</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3,043,899</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120"/>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3,894,093</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Other non-interest-bearing liabilities</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265,559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254,826</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219,883</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Total liabilities</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12,537,683</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12,439,623</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11,385,894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Stockholders' equity</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1,221,810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1,218,445</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1,164,732</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Total liabilities and stockholders' equity</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31"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13,759,493</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13,658,068</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12,550,626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Net interest income</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258"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76,479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80,219</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100,438</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Net interest rate spread</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1.31</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1.58</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85"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3.09</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1767"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Net interest margin</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3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58"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2.34</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2.50</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85"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69"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3.38</w:t>
            </w:r>
          </w:p>
        </w:tc>
        <w:tc>
          <w:tcPr>
            <w:tcW w:w="4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r w:rsidR="008F58A3" w:rsidTr="008F58A3">
        <w:tc>
          <w:tcPr>
            <w:tcW w:w="1767"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Deposits (including non-interest-bearing checking accounts) </w:t>
            </w:r>
            <w:r>
              <w:rPr>
                <w:rFonts w:ascii="Times New Roman" w:eastAsia="Times New Roman" w:hAnsi="Times New Roman" w:cs="Times New Roman"/>
                <w:color w:val="000000"/>
                <w:sz w:val="16"/>
                <w:vertAlign w:val="superscript"/>
              </w:rPr>
              <w:t>(2)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331"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10,664,260</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258"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62,507</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2.33</w:t>
            </w:r>
          </w:p>
        </w:tc>
        <w:tc>
          <w:tcPr>
            <w:tcW w:w="69"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10,536,066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52,616</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2.00</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85"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10,611,652</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231"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10,154</w:t>
            </w:r>
          </w:p>
        </w:tc>
        <w:tc>
          <w:tcPr>
            <w:tcW w:w="69"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231"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0.38</w:t>
            </w:r>
          </w:p>
        </w:tc>
        <w:tc>
          <w:tcPr>
            <w:tcW w:w="4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r>
    </w:tbl>
    <w:p w:rsidR="001B3D85" w:rsidRDefault="007D008B">
      <w:pPr>
        <w:rPr>
          <w:rFonts w:asciiTheme="majorHAnsi" w:hAnsiTheme="majorHAnsi" w:cstheme="majorHAnsi"/>
        </w:rPr>
      </w:pPr>
      <w:r>
        <w:rPr>
          <w:rFonts w:ascii="Times New Roman" w:hAnsi="Times New Roman" w:cs="Times New Roman"/>
          <w:szCs w:val="24"/>
        </w:rPr>
        <w:pict w14:anchorId="0B6741D3">
          <v:rect id="_x0000_i1029" style="width:135pt;height:.6pt" o:hrpct="250" o:hrstd="t" o:hrnoshade="t" o:hr="t" fillcolor="black [3213]" stroked="f"/>
        </w:pict>
      </w:r>
    </w:p>
    <w:p w:rsidR="001D6D97" w:rsidRDefault="001D6D97" w:rsidP="001D6D97">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(1)</w:t>
      </w:r>
      <w:r w:rsidRPr="009313EB">
        <w:rPr>
          <w:rFonts w:asciiTheme="majorHAnsi" w:eastAsia="Times New Roman" w:hAnsiTheme="majorHAnsi" w:cstheme="majorHAnsi"/>
        </w:rPr>
        <w:t>     </w:t>
      </w:r>
      <w:r>
        <w:rPr>
          <w:rFonts w:ascii="Times New Roman" w:eastAsia="Times New Roman" w:hAnsi="Times New Roman" w:cs="Times New Roman"/>
        </w:rPr>
        <w:t>Business</w:t>
      </w:r>
      <w:r w:rsidRPr="00451633">
        <w:rPr>
          <w:rFonts w:ascii="Times New Roman" w:eastAsia="Times New Roman" w:hAnsi="Times New Roman" w:cs="Times New Roman"/>
        </w:rPr>
        <w:t xml:space="preserve"> </w:t>
      </w:r>
      <w:r>
        <w:rPr>
          <w:rFonts w:ascii="Times New Roman" w:eastAsia="Times New Roman" w:hAnsi="Times New Roman" w:cs="Times New Roman"/>
        </w:rPr>
        <w:t>loans include commercial and industrial loans, owner-occupied commercial real estate loans and PPP loans.</w:t>
      </w:r>
    </w:p>
    <w:p w:rsidR="001D6D97" w:rsidRPr="003874E7" w:rsidRDefault="001D6D97" w:rsidP="001D6D97">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w:t>
      </w:r>
      <w:r>
        <w:rPr>
          <w:rFonts w:asciiTheme="majorHAnsi" w:eastAsia="Times New Roman" w:hAnsiTheme="majorHAnsi" w:cstheme="majorHAnsi"/>
          <w:vertAlign w:val="superscript"/>
        </w:rPr>
        <w:t>2</w:t>
      </w:r>
      <w:r w:rsidRPr="009313EB">
        <w:rPr>
          <w:rFonts w:asciiTheme="majorHAnsi" w:eastAsia="Times New Roman" w:hAnsiTheme="majorHAnsi" w:cstheme="majorHAnsi"/>
          <w:vertAlign w:val="superscript"/>
        </w:rPr>
        <w:t>)</w:t>
      </w:r>
      <w:r w:rsidRPr="009313EB">
        <w:rPr>
          <w:rFonts w:asciiTheme="majorHAnsi" w:eastAsia="Times New Roman" w:hAnsiTheme="majorHAnsi" w:cstheme="majorHAnsi"/>
        </w:rPr>
        <w:t>     </w:t>
      </w:r>
      <w:r w:rsidRPr="003874E7">
        <w:rPr>
          <w:rFonts w:ascii="Times New Roman" w:eastAsia="Times New Roman" w:hAnsi="Times New Roman" w:cs="Times New Roman"/>
        </w:rPr>
        <w:t xml:space="preserve">Includes </w:t>
      </w:r>
      <w:r>
        <w:rPr>
          <w:rFonts w:ascii="Times New Roman" w:eastAsia="Times New Roman" w:hAnsi="Times New Roman" w:cs="Times New Roman"/>
        </w:rPr>
        <w:t>mortgage escrow deposits</w:t>
      </w:r>
      <w:r w:rsidRPr="003874E7">
        <w:rPr>
          <w:rFonts w:ascii="Times New Roman" w:eastAsia="Times New Roman" w:hAnsi="Times New Roman" w:cs="Times New Roman"/>
        </w:rPr>
        <w:t>.</w:t>
      </w:r>
      <w:r w:rsidRPr="00451633">
        <w:rPr>
          <w:rFonts w:ascii="Times New Roman" w:eastAsia="Times New Roman" w:hAnsi="Times New Roman" w:cs="Times New Roman"/>
        </w:rPr>
        <w:t xml:space="preserve"> </w:t>
      </w:r>
    </w:p>
    <w:p w:rsidR="00F007E8" w:rsidRPr="009313EB" w:rsidRDefault="00F007E8">
      <w:pPr>
        <w:rPr>
          <w:rFonts w:asciiTheme="majorHAnsi" w:eastAsia="Times New Roman" w:hAnsiTheme="majorHAnsi" w:cstheme="majorHAnsi"/>
        </w:rPr>
      </w:pPr>
      <w:r w:rsidRPr="009313EB">
        <w:rPr>
          <w:rFonts w:asciiTheme="majorHAnsi" w:eastAsia="Times New Roman" w:hAnsiTheme="majorHAnsi" w:cstheme="majorHAnsi"/>
        </w:rPr>
        <w:br w:type="page"/>
      </w:r>
    </w:p>
    <w:p w:rsidR="003622BB" w:rsidRPr="009313EB" w:rsidRDefault="003622BB">
      <w:pPr>
        <w:rPr>
          <w:rFonts w:asciiTheme="majorHAnsi" w:eastAsia="Times New Roman" w:hAnsiTheme="majorHAnsi" w:cstheme="majorHAnsi"/>
        </w:rPr>
      </w:pPr>
    </w:p>
    <w:p w:rsidR="0095125A" w:rsidRPr="00CA14D0" w:rsidRDefault="0095125A" w:rsidP="0095125A">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DIME COMMUNITY BANCSHARES, INC. AND SUBSIDIARIES</w:t>
      </w:r>
    </w:p>
    <w:p w:rsidR="0095125A" w:rsidRPr="00CA14D0" w:rsidRDefault="0095125A" w:rsidP="0095125A">
      <w:pPr>
        <w:ind w:left="108"/>
        <w:jc w:val="center"/>
        <w:rPr>
          <w:rFonts w:ascii="Times New Roman" w:eastAsia="Times New Roman" w:hAnsi="Times New Roman" w:cs="Times New Roman"/>
          <w:b/>
          <w:bCs/>
        </w:rPr>
      </w:pPr>
      <w:r w:rsidRPr="00CA14D0">
        <w:rPr>
          <w:rFonts w:ascii="Times New Roman" w:eastAsia="Times New Roman" w:hAnsi="Times New Roman" w:cs="Times New Roman"/>
          <w:b/>
          <w:bCs/>
        </w:rPr>
        <w:t>UNAUDITED SCHEDULE OF NON-PERFORMING ASSETS</w:t>
      </w:r>
    </w:p>
    <w:p w:rsidR="0095125A" w:rsidRPr="00CA14D0" w:rsidRDefault="0095125A" w:rsidP="0095125A">
      <w:pPr>
        <w:ind w:left="108"/>
        <w:jc w:val="center"/>
        <w:rPr>
          <w:rFonts w:ascii="Times New Roman" w:eastAsia="Times New Roman" w:hAnsi="Times New Roman" w:cs="Times New Roman"/>
        </w:rPr>
      </w:pPr>
      <w:r w:rsidRPr="00CA14D0">
        <w:rPr>
          <w:rFonts w:ascii="Times New Roman" w:eastAsia="Times New Roman" w:hAnsi="Times New Roman" w:cs="Times New Roman"/>
        </w:rPr>
        <w:t>(Dollars in thousands)</w:t>
      </w:r>
    </w:p>
    <w:p w:rsidR="0095125A" w:rsidRDefault="0095125A">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3"/>
        <w:gridCol w:w="252"/>
        <w:gridCol w:w="156"/>
        <w:gridCol w:w="1041"/>
        <w:gridCol w:w="253"/>
        <w:gridCol w:w="156"/>
        <w:gridCol w:w="1041"/>
        <w:gridCol w:w="253"/>
        <w:gridCol w:w="156"/>
        <w:gridCol w:w="1039"/>
      </w:tblGrid>
      <w:tr w:rsidR="008F58A3" w:rsidTr="008F58A3">
        <w:trPr>
          <w:trHeight w:hRule="exact" w:val="20"/>
        </w:trPr>
        <w:tc>
          <w:tcPr>
            <w:tcW w:w="2988" w:type="pct"/>
            <w:tcBorders>
              <w:top w:val="nil"/>
              <w:left w:val="nil"/>
              <w:bottom w:val="nil"/>
              <w:right w:val="nil"/>
            </w:tcBorders>
            <w:vAlign w:val="bottom"/>
          </w:tcPr>
          <w:p w:rsidR="008F58A3" w:rsidRDefault="008F58A3" w:rsidP="008F58A3">
            <w:pPr>
              <w:keepNext/>
              <w:rPr>
                <w:sz w:val="2"/>
              </w:rPr>
            </w:pPr>
          </w:p>
        </w:tc>
        <w:tc>
          <w:tcPr>
            <w:tcW w:w="117" w:type="pct"/>
            <w:tcBorders>
              <w:top w:val="nil"/>
              <w:left w:val="nil"/>
              <w:bottom w:val="nil"/>
              <w:right w:val="nil"/>
            </w:tcBorders>
            <w:noWrap/>
            <w:vAlign w:val="bottom"/>
          </w:tcPr>
          <w:p w:rsidR="008F58A3" w:rsidRDefault="008F58A3" w:rsidP="008F58A3">
            <w:pPr>
              <w:keepNext/>
              <w:rPr>
                <w:sz w:val="2"/>
              </w:rPr>
            </w:pPr>
          </w:p>
        </w:tc>
        <w:tc>
          <w:tcPr>
            <w:tcW w:w="72" w:type="pct"/>
            <w:tcBorders>
              <w:top w:val="nil"/>
              <w:left w:val="nil"/>
              <w:bottom w:val="nil"/>
              <w:right w:val="nil"/>
            </w:tcBorders>
            <w:noWrap/>
            <w:vAlign w:val="bottom"/>
          </w:tcPr>
          <w:p w:rsidR="008F58A3" w:rsidRDefault="008F58A3" w:rsidP="008F58A3">
            <w:pPr>
              <w:keepNext/>
              <w:rPr>
                <w:sz w:val="2"/>
              </w:rPr>
            </w:pPr>
          </w:p>
        </w:tc>
        <w:tc>
          <w:tcPr>
            <w:tcW w:w="482" w:type="pct"/>
            <w:tcBorders>
              <w:top w:val="nil"/>
              <w:left w:val="nil"/>
              <w:bottom w:val="nil"/>
              <w:right w:val="nil"/>
            </w:tcBorders>
            <w:noWrap/>
            <w:vAlign w:val="bottom"/>
          </w:tcPr>
          <w:p w:rsidR="008F58A3" w:rsidRDefault="008F58A3" w:rsidP="008F58A3">
            <w:pPr>
              <w:keepNext/>
              <w:rPr>
                <w:sz w:val="2"/>
              </w:rPr>
            </w:pPr>
          </w:p>
        </w:tc>
        <w:tc>
          <w:tcPr>
            <w:tcW w:w="117" w:type="pct"/>
            <w:tcBorders>
              <w:top w:val="nil"/>
              <w:left w:val="nil"/>
              <w:bottom w:val="nil"/>
              <w:right w:val="nil"/>
            </w:tcBorders>
            <w:noWrap/>
            <w:vAlign w:val="bottom"/>
          </w:tcPr>
          <w:p w:rsidR="008F58A3" w:rsidRDefault="008F58A3" w:rsidP="008F58A3">
            <w:pPr>
              <w:keepNext/>
              <w:rPr>
                <w:sz w:val="2"/>
              </w:rPr>
            </w:pPr>
          </w:p>
        </w:tc>
        <w:tc>
          <w:tcPr>
            <w:tcW w:w="72" w:type="pct"/>
            <w:tcBorders>
              <w:top w:val="nil"/>
              <w:left w:val="nil"/>
              <w:bottom w:val="nil"/>
              <w:right w:val="nil"/>
            </w:tcBorders>
            <w:noWrap/>
            <w:vAlign w:val="bottom"/>
          </w:tcPr>
          <w:p w:rsidR="008F58A3" w:rsidRDefault="008F58A3" w:rsidP="008F58A3">
            <w:pPr>
              <w:keepNext/>
              <w:rPr>
                <w:sz w:val="2"/>
              </w:rPr>
            </w:pPr>
          </w:p>
        </w:tc>
        <w:tc>
          <w:tcPr>
            <w:tcW w:w="482" w:type="pct"/>
            <w:tcBorders>
              <w:top w:val="nil"/>
              <w:left w:val="nil"/>
              <w:bottom w:val="nil"/>
              <w:right w:val="nil"/>
            </w:tcBorders>
            <w:noWrap/>
            <w:vAlign w:val="bottom"/>
          </w:tcPr>
          <w:p w:rsidR="008F58A3" w:rsidRDefault="008F58A3" w:rsidP="008F58A3">
            <w:pPr>
              <w:keepNext/>
              <w:rPr>
                <w:sz w:val="2"/>
              </w:rPr>
            </w:pPr>
          </w:p>
        </w:tc>
        <w:tc>
          <w:tcPr>
            <w:tcW w:w="117" w:type="pct"/>
            <w:tcBorders>
              <w:top w:val="nil"/>
              <w:left w:val="nil"/>
              <w:bottom w:val="nil"/>
              <w:right w:val="nil"/>
            </w:tcBorders>
            <w:noWrap/>
            <w:vAlign w:val="bottom"/>
          </w:tcPr>
          <w:p w:rsidR="008F58A3" w:rsidRDefault="008F58A3" w:rsidP="008F58A3">
            <w:pPr>
              <w:keepNext/>
              <w:rPr>
                <w:sz w:val="2"/>
              </w:rPr>
            </w:pPr>
          </w:p>
        </w:tc>
        <w:tc>
          <w:tcPr>
            <w:tcW w:w="72" w:type="pct"/>
            <w:tcBorders>
              <w:top w:val="nil"/>
              <w:left w:val="nil"/>
              <w:bottom w:val="nil"/>
              <w:right w:val="nil"/>
            </w:tcBorders>
            <w:noWrap/>
            <w:vAlign w:val="bottom"/>
          </w:tcPr>
          <w:p w:rsidR="008F58A3" w:rsidRDefault="008F58A3" w:rsidP="008F58A3">
            <w:pPr>
              <w:keepNext/>
              <w:rPr>
                <w:sz w:val="2"/>
              </w:rPr>
            </w:pPr>
          </w:p>
        </w:tc>
        <w:tc>
          <w:tcPr>
            <w:tcW w:w="482" w:type="pct"/>
            <w:tcBorders>
              <w:top w:val="nil"/>
              <w:left w:val="nil"/>
              <w:bottom w:val="nil"/>
              <w:right w:val="nil"/>
            </w:tcBorders>
            <w:noWrap/>
            <w:vAlign w:val="bottom"/>
          </w:tcPr>
          <w:p w:rsidR="008F58A3" w:rsidRDefault="008F58A3" w:rsidP="008F58A3">
            <w:pPr>
              <w:keepNext/>
              <w:rPr>
                <w:sz w:val="2"/>
              </w:rPr>
            </w:pPr>
          </w:p>
        </w:tc>
      </w:tr>
      <w:tr w:rsidR="008F58A3" w:rsidTr="008F58A3">
        <w:tc>
          <w:tcPr>
            <w:tcW w:w="2988"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1895" w:type="pct"/>
            <w:gridSpan w:val="8"/>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xml:space="preserve">At or For the Three Months Ended </w:t>
            </w:r>
          </w:p>
        </w:tc>
      </w:tr>
      <w:tr w:rsidR="008F58A3" w:rsidTr="008F58A3">
        <w:tc>
          <w:tcPr>
            <w:tcW w:w="2988" w:type="pct"/>
            <w:tcBorders>
              <w:top w:val="nil"/>
              <w:left w:val="nil"/>
              <w:bottom w:val="nil"/>
              <w:right w:val="nil"/>
              <w:tl2br w:val="nil"/>
              <w:tr2bl w:val="nil"/>
            </w:tcBorders>
            <w:shd w:val="clear" w:color="auto" w:fill="auto"/>
            <w:noWrap/>
            <w:vAlign w:val="bottom"/>
          </w:tcPr>
          <w:p w:rsidR="008F58A3" w:rsidRDefault="008F58A3" w:rsidP="008F58A3">
            <w:pPr>
              <w:jc w:val="center"/>
              <w:rPr>
                <w:color w:val="000000"/>
                <w:sz w:val="16"/>
              </w:rPr>
            </w:pP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553"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553"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June 30, </w:t>
            </w: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    </w:t>
            </w:r>
          </w:p>
        </w:tc>
        <w:tc>
          <w:tcPr>
            <w:tcW w:w="553" w:type="pct"/>
            <w:gridSpan w:val="2"/>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September 30, </w:t>
            </w:r>
          </w:p>
        </w:tc>
      </w:tr>
      <w:tr w:rsidR="008F58A3" w:rsidTr="008F58A3">
        <w:tc>
          <w:tcPr>
            <w:tcW w:w="2988" w:type="pct"/>
            <w:tcBorders>
              <w:top w:val="nil"/>
              <w:left w:val="nil"/>
              <w:bottom w:val="single" w:sz="4" w:space="0" w:color="000000"/>
              <w:right w:val="nil"/>
              <w:tl2br w:val="nil"/>
              <w:tr2bl w:val="nil"/>
            </w:tcBorders>
            <w:shd w:val="clear" w:color="auto" w:fill="auto"/>
            <w:vAlign w:val="bottom"/>
          </w:tcPr>
          <w:p w:rsidR="008F58A3" w:rsidRDefault="008F58A3" w:rsidP="008F58A3">
            <w:pPr>
              <w:rPr>
                <w:b/>
                <w:color w:val="000000"/>
                <w:sz w:val="16"/>
              </w:rPr>
            </w:pPr>
            <w:r>
              <w:rPr>
                <w:rFonts w:ascii="Times New Roman" w:eastAsia="Times New Roman" w:hAnsi="Times New Roman" w:cs="Times New Roman"/>
                <w:b/>
                <w:color w:val="000000"/>
                <w:sz w:val="16"/>
              </w:rPr>
              <w:t>Asset Quality Detail</w:t>
            </w: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55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55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2023</w:t>
            </w:r>
          </w:p>
        </w:tc>
        <w:tc>
          <w:tcPr>
            <w:tcW w:w="117" w:type="pct"/>
            <w:tcBorders>
              <w:top w:val="nil"/>
              <w:left w:val="nil"/>
              <w:bottom w:val="nil"/>
              <w:right w:val="nil"/>
              <w:tl2br w:val="nil"/>
              <w:tr2bl w:val="nil"/>
            </w:tcBorders>
            <w:shd w:val="clear" w:color="auto" w:fill="auto"/>
            <w:noWrap/>
            <w:vAlign w:val="bottom"/>
          </w:tcPr>
          <w:p w:rsidR="008F58A3" w:rsidRDefault="008F58A3" w:rsidP="008F58A3">
            <w:pPr>
              <w:jc w:val="center"/>
              <w:rPr>
                <w:b/>
                <w:color w:val="000000"/>
                <w:sz w:val="16"/>
              </w:rPr>
            </w:pPr>
          </w:p>
        </w:tc>
        <w:tc>
          <w:tcPr>
            <w:tcW w:w="553"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jc w:val="center"/>
              <w:rPr>
                <w:b/>
                <w:color w:val="000000"/>
                <w:sz w:val="16"/>
              </w:rPr>
            </w:pPr>
            <w:r>
              <w:rPr>
                <w:rFonts w:ascii="Times New Roman" w:eastAsia="Times New Roman" w:hAnsi="Times New Roman" w:cs="Times New Roman"/>
                <w:b/>
                <w:color w:val="000000"/>
                <w:sz w:val="16"/>
              </w:rPr>
              <w:t>2022</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Non-performing loans ("NPLs")</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i/>
                <w:color w:val="000000"/>
                <w:sz w:val="16"/>
              </w:rPr>
            </w:pPr>
            <w:r>
              <w:rPr>
                <w:rFonts w:ascii="Times New Roman" w:eastAsia="Times New Roman" w:hAnsi="Times New Roman" w:cs="Times New Roman"/>
                <w:i/>
                <w:color w:val="000000"/>
                <w:sz w:val="16"/>
              </w:rPr>
              <w:t> </w:t>
            </w: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i/>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i/>
                <w:color w:val="000000"/>
                <w:sz w:val="16"/>
              </w:rPr>
            </w:pPr>
            <w:r>
              <w:rPr>
                <w:rFonts w:ascii="Times New Roman" w:eastAsia="Times New Roman" w:hAnsi="Times New Roman" w:cs="Times New Roman"/>
                <w:i/>
                <w:color w:val="000000"/>
                <w:sz w:val="16"/>
              </w:rPr>
              <w:t>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Business loans</w:t>
            </w:r>
            <w:r>
              <w:rPr>
                <w:rFonts w:ascii="Times New Roman" w:eastAsia="Times New Roman" w:hAnsi="Times New Roman" w:cs="Times New Roman"/>
                <w:color w:val="000000"/>
                <w:sz w:val="16"/>
                <w:vertAlign w:val="superscript"/>
              </w:rPr>
              <w:t xml:space="preserve"> (1)</w:t>
            </w:r>
          </w:p>
        </w:tc>
        <w:tc>
          <w:tcPr>
            <w:tcW w:w="117" w:type="pct"/>
            <w:tcBorders>
              <w:top w:val="nil"/>
              <w:left w:val="nil"/>
              <w:bottom w:val="nil"/>
              <w:right w:val="nil"/>
              <w:tl2br w:val="nil"/>
              <w:tr2bl w:val="nil"/>
            </w:tcBorders>
            <w:noWrap/>
            <w:vAlign w:val="bottom"/>
          </w:tcPr>
          <w:p w:rsidR="008F58A3" w:rsidRDefault="008F58A3" w:rsidP="008F58A3">
            <w:pPr>
              <w:rPr>
                <w:i/>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19,555</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23,470</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34,706</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One-to-four family residential, including condominium and cooperative apartment</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2,874</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3,305</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3,219</w:t>
            </w:r>
          </w:p>
        </w:tc>
      </w:tr>
      <w:tr w:rsidR="008F58A3" w:rsidTr="008F58A3">
        <w:tc>
          <w:tcPr>
            <w:tcW w:w="2988"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Multifamily residential and residential mixed-use</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Non-owner-occupied commercial real estate</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15</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15</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2,499</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   Acquisition, development, and construction</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657</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657</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657</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Other loans</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219</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220</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Total Non-accrual loans</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23,320</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27,667</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41,081</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Total Non-performing assets ("NPAs")</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23,320</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27,667</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41,081</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jc w:val="right"/>
              <w:rPr>
                <w:b/>
                <w:color w:val="000000"/>
                <w:sz w:val="16"/>
              </w:rPr>
            </w:pP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jc w:val="right"/>
              <w:rPr>
                <w:color w:val="000000"/>
                <w:sz w:val="16"/>
              </w:rPr>
            </w:pP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Loans 90 days delinquent and accruing ("90+ Delinquent")</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i/>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r>
              <w:rPr>
                <w:rFonts w:ascii="Times New Roman" w:eastAsia="Times New Roman" w:hAnsi="Times New Roman" w:cs="Times New Roman"/>
                <w:b/>
                <w:color w:val="000000"/>
                <w:sz w:val="16"/>
              </w:rPr>
              <w:t>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r>
              <w:rPr>
                <w:rFonts w:ascii="Times New Roman" w:eastAsia="Times New Roman" w:hAnsi="Times New Roman" w:cs="Times New Roman"/>
                <w:color w:val="000000"/>
                <w:sz w:val="16"/>
              </w:rPr>
              <w:t>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Business loans</w:t>
            </w:r>
          </w:p>
        </w:tc>
        <w:tc>
          <w:tcPr>
            <w:tcW w:w="117" w:type="pct"/>
            <w:tcBorders>
              <w:top w:val="nil"/>
              <w:left w:val="nil"/>
              <w:bottom w:val="nil"/>
              <w:right w:val="nil"/>
              <w:tl2br w:val="nil"/>
              <w:tr2bl w:val="nil"/>
            </w:tcBorders>
            <w:noWrap/>
            <w:vAlign w:val="bottom"/>
          </w:tcPr>
          <w:p w:rsidR="008F58A3" w:rsidRDefault="008F58A3" w:rsidP="008F58A3">
            <w:pPr>
              <w:rPr>
                <w:i/>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2,781</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One-to-four family residential, including condominium and cooperative apartment</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Multifamily residential and residential mixed-use</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Non-owner-occupied commercial real estate</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   Acquisition, development, and construction</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ind w:left="120"/>
              <w:rPr>
                <w:color w:val="000000"/>
                <w:sz w:val="16"/>
              </w:rPr>
            </w:pPr>
            <w:r>
              <w:rPr>
                <w:rFonts w:ascii="Times New Roman" w:eastAsia="Times New Roman" w:hAnsi="Times New Roman" w:cs="Times New Roman"/>
                <w:color w:val="000000"/>
                <w:sz w:val="16"/>
              </w:rPr>
              <w:t>Other loans</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 </w:t>
            </w:r>
          </w:p>
        </w:tc>
        <w:tc>
          <w:tcPr>
            <w:tcW w:w="482"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90+ Delinquent</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sing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sing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sing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2,781</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NPAs and 90+ Delinquent</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23,320</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27,667</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double" w:sz="4" w:space="0" w:color="000000"/>
              <w:right w:val="nil"/>
              <w:tl2br w:val="nil"/>
              <w:tr2bl w:val="nil"/>
            </w:tcBorders>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double" w:sz="4" w:space="0" w:color="000000"/>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43,862</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b/>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jc w:val="right"/>
              <w:rPr>
                <w:color w:val="000000"/>
                <w:sz w:val="16"/>
              </w:rPr>
            </w:pP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NPAs and 90+ Delinquent / Total assets</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0.17%</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0.20%</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0.34%</w:t>
            </w:r>
          </w:p>
        </w:tc>
      </w:tr>
      <w:tr w:rsidR="008F58A3" w:rsidTr="008F58A3">
        <w:tc>
          <w:tcPr>
            <w:tcW w:w="2988" w:type="pct"/>
            <w:tcBorders>
              <w:top w:val="nil"/>
              <w:left w:val="nil"/>
              <w:bottom w:val="nil"/>
              <w:right w:val="nil"/>
              <w:tl2br w:val="nil"/>
              <w:tr2bl w:val="nil"/>
            </w:tcBorders>
            <w:shd w:val="clear" w:color="auto" w:fill="CCEEFF"/>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Net charge-offs ("NCOs") </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b/>
                <w:color w:val="000000"/>
                <w:sz w:val="16"/>
              </w:rPr>
            </w:pPr>
            <w:r>
              <w:rPr>
                <w:rFonts w:ascii="Times New Roman" w:eastAsia="Times New Roman" w:hAnsi="Times New Roman" w:cs="Times New Roman"/>
                <w:b/>
                <w:color w:val="000000"/>
                <w:sz w:val="16"/>
              </w:rPr>
              <w:t>$</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 xml:space="preserve"> 4,864</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3,679</w:t>
            </w:r>
          </w:p>
        </w:tc>
        <w:tc>
          <w:tcPr>
            <w:tcW w:w="117"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shd w:val="clear" w:color="auto" w:fill="CCEEFF"/>
            <w:noWrap/>
            <w:vAlign w:val="bottom"/>
          </w:tcPr>
          <w:p w:rsidR="008F58A3" w:rsidRDefault="008F58A3" w:rsidP="008F58A3">
            <w:pPr>
              <w:rPr>
                <w:color w:val="000000"/>
                <w:sz w:val="16"/>
              </w:rPr>
            </w:pPr>
            <w:r>
              <w:rPr>
                <w:rFonts w:ascii="Times New Roman" w:eastAsia="Times New Roman" w:hAnsi="Times New Roman" w:cs="Times New Roman"/>
                <w:color w:val="000000"/>
                <w:sz w:val="16"/>
              </w:rPr>
              <w:t>$</w:t>
            </w:r>
          </w:p>
        </w:tc>
        <w:tc>
          <w:tcPr>
            <w:tcW w:w="482" w:type="pct"/>
            <w:tcBorders>
              <w:top w:val="nil"/>
              <w:left w:val="nil"/>
              <w:bottom w:val="nil"/>
              <w:right w:val="nil"/>
              <w:tl2br w:val="nil"/>
              <w:tr2bl w:val="nil"/>
            </w:tcBorders>
            <w:shd w:val="clear" w:color="auto" w:fill="CCEEFF"/>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 xml:space="preserve"> 3,932</w:t>
            </w:r>
          </w:p>
        </w:tc>
      </w:tr>
      <w:tr w:rsidR="008F58A3" w:rsidTr="008F58A3">
        <w:tc>
          <w:tcPr>
            <w:tcW w:w="2988" w:type="pct"/>
            <w:tcBorders>
              <w:top w:val="nil"/>
              <w:left w:val="nil"/>
              <w:bottom w:val="nil"/>
              <w:right w:val="nil"/>
              <w:tl2br w:val="nil"/>
              <w:tr2bl w:val="nil"/>
            </w:tcBorders>
            <w:vAlign w:val="bottom"/>
          </w:tcPr>
          <w:p w:rsidR="008F58A3" w:rsidRDefault="008F58A3" w:rsidP="008F58A3">
            <w:pPr>
              <w:rPr>
                <w:color w:val="000000"/>
                <w:sz w:val="16"/>
              </w:rPr>
            </w:pPr>
            <w:r>
              <w:rPr>
                <w:rFonts w:ascii="Times New Roman" w:eastAsia="Times New Roman" w:hAnsi="Times New Roman" w:cs="Times New Roman"/>
                <w:color w:val="000000"/>
                <w:sz w:val="16"/>
              </w:rPr>
              <w:t xml:space="preserve">NCOs / Average loans </w:t>
            </w:r>
            <w:r>
              <w:rPr>
                <w:rFonts w:ascii="Times New Roman" w:eastAsia="Times New Roman" w:hAnsi="Times New Roman" w:cs="Times New Roman"/>
                <w:color w:val="000000"/>
                <w:sz w:val="16"/>
                <w:vertAlign w:val="superscript"/>
              </w:rPr>
              <w:t>(2)</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b/>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b/>
                <w:color w:val="000000"/>
                <w:sz w:val="16"/>
              </w:rPr>
            </w:pPr>
            <w:r>
              <w:rPr>
                <w:rFonts w:ascii="Times New Roman" w:eastAsia="Times New Roman" w:hAnsi="Times New Roman" w:cs="Times New Roman"/>
                <w:b/>
                <w:color w:val="000000"/>
                <w:sz w:val="16"/>
              </w:rPr>
              <w:t>0.18%</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0.14%</w:t>
            </w:r>
          </w:p>
        </w:tc>
        <w:tc>
          <w:tcPr>
            <w:tcW w:w="117"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72" w:type="pct"/>
            <w:tcBorders>
              <w:top w:val="nil"/>
              <w:left w:val="nil"/>
              <w:bottom w:val="nil"/>
              <w:right w:val="nil"/>
              <w:tl2br w:val="nil"/>
              <w:tr2bl w:val="nil"/>
            </w:tcBorders>
            <w:noWrap/>
            <w:vAlign w:val="bottom"/>
          </w:tcPr>
          <w:p w:rsidR="008F58A3" w:rsidRDefault="008F58A3" w:rsidP="008F58A3">
            <w:pPr>
              <w:rPr>
                <w:color w:val="000000"/>
                <w:sz w:val="16"/>
              </w:rPr>
            </w:pPr>
          </w:p>
        </w:tc>
        <w:tc>
          <w:tcPr>
            <w:tcW w:w="482" w:type="pct"/>
            <w:tcBorders>
              <w:top w:val="nil"/>
              <w:left w:val="nil"/>
              <w:bottom w:val="nil"/>
              <w:right w:val="nil"/>
              <w:tl2br w:val="nil"/>
              <w:tr2bl w:val="nil"/>
            </w:tcBorders>
            <w:noWrap/>
            <w:vAlign w:val="bottom"/>
          </w:tcPr>
          <w:p w:rsidR="008F58A3" w:rsidRDefault="008F58A3" w:rsidP="008F58A3">
            <w:pPr>
              <w:ind w:right="60"/>
              <w:jc w:val="right"/>
              <w:rPr>
                <w:color w:val="000000"/>
                <w:sz w:val="16"/>
              </w:rPr>
            </w:pPr>
            <w:r>
              <w:rPr>
                <w:rFonts w:ascii="Times New Roman" w:eastAsia="Times New Roman" w:hAnsi="Times New Roman" w:cs="Times New Roman"/>
                <w:color w:val="000000"/>
                <w:sz w:val="16"/>
              </w:rPr>
              <w:t>0.16%</w:t>
            </w:r>
          </w:p>
        </w:tc>
      </w:tr>
    </w:tbl>
    <w:p w:rsidR="001B3D85" w:rsidRDefault="007D008B">
      <w:pPr>
        <w:rPr>
          <w:rFonts w:asciiTheme="majorHAnsi" w:hAnsiTheme="majorHAnsi" w:cstheme="majorHAnsi"/>
        </w:rPr>
      </w:pPr>
      <w:r>
        <w:rPr>
          <w:rFonts w:ascii="Times New Roman" w:hAnsi="Times New Roman" w:cs="Times New Roman"/>
          <w:szCs w:val="24"/>
        </w:rPr>
        <w:pict w14:anchorId="1354E0F8">
          <v:rect id="_x0000_i1030" style="width:135pt;height:.6pt" o:hrpct="250" o:hrstd="t" o:hrnoshade="t" o:hr="t" fillcolor="black [3213]" stroked="f"/>
        </w:pict>
      </w:r>
    </w:p>
    <w:p w:rsidR="001D6D97" w:rsidRDefault="001D6D97" w:rsidP="001D6D97">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(1)</w:t>
      </w:r>
      <w:r w:rsidRPr="009313EB">
        <w:rPr>
          <w:rFonts w:asciiTheme="majorHAnsi" w:eastAsia="Times New Roman" w:hAnsiTheme="majorHAnsi" w:cstheme="majorHAnsi"/>
        </w:rPr>
        <w:t>     </w:t>
      </w:r>
      <w:r>
        <w:rPr>
          <w:rFonts w:ascii="Times New Roman" w:eastAsia="Times New Roman" w:hAnsi="Times New Roman" w:cs="Times New Roman"/>
        </w:rPr>
        <w:t>Business</w:t>
      </w:r>
      <w:r w:rsidRPr="00451633">
        <w:rPr>
          <w:rFonts w:ascii="Times New Roman" w:eastAsia="Times New Roman" w:hAnsi="Times New Roman" w:cs="Times New Roman"/>
        </w:rPr>
        <w:t xml:space="preserve"> </w:t>
      </w:r>
      <w:r>
        <w:rPr>
          <w:rFonts w:ascii="Times New Roman" w:eastAsia="Times New Roman" w:hAnsi="Times New Roman" w:cs="Times New Roman"/>
        </w:rPr>
        <w:t>loans include commercial and industrial loans, owner-occupied commercial real estate loans and PPP loans.</w:t>
      </w:r>
    </w:p>
    <w:p w:rsidR="001D6D97" w:rsidRPr="003874E7" w:rsidRDefault="001D6D97" w:rsidP="001D6D97">
      <w:pPr>
        <w:tabs>
          <w:tab w:val="left" w:pos="7171"/>
          <w:tab w:val="left" w:pos="8310"/>
          <w:tab w:val="left" w:pos="8532"/>
          <w:tab w:val="left" w:pos="9607"/>
          <w:tab w:val="left" w:pos="9829"/>
        </w:tabs>
        <w:ind w:left="360" w:hanging="360"/>
        <w:rPr>
          <w:rFonts w:ascii="Times New Roman" w:eastAsia="Times New Roman" w:hAnsi="Times New Roman" w:cs="Times New Roman"/>
        </w:rPr>
      </w:pPr>
      <w:r w:rsidRPr="009313EB">
        <w:rPr>
          <w:rFonts w:asciiTheme="majorHAnsi" w:eastAsia="Times New Roman" w:hAnsiTheme="majorHAnsi" w:cstheme="majorHAnsi"/>
          <w:vertAlign w:val="superscript"/>
        </w:rPr>
        <w:t>(</w:t>
      </w:r>
      <w:r>
        <w:rPr>
          <w:rFonts w:asciiTheme="majorHAnsi" w:eastAsia="Times New Roman" w:hAnsiTheme="majorHAnsi" w:cstheme="majorHAnsi"/>
          <w:vertAlign w:val="superscript"/>
        </w:rPr>
        <w:t>2</w:t>
      </w:r>
      <w:r w:rsidRPr="009313EB">
        <w:rPr>
          <w:rFonts w:asciiTheme="majorHAnsi" w:eastAsia="Times New Roman" w:hAnsiTheme="majorHAnsi" w:cstheme="majorHAnsi"/>
          <w:vertAlign w:val="superscript"/>
        </w:rPr>
        <w:t>)</w:t>
      </w:r>
      <w:r w:rsidRPr="009313EB">
        <w:rPr>
          <w:rFonts w:asciiTheme="majorHAnsi" w:eastAsia="Times New Roman" w:hAnsiTheme="majorHAnsi" w:cstheme="majorHAnsi"/>
        </w:rPr>
        <w:t>     </w:t>
      </w:r>
      <w:r>
        <w:rPr>
          <w:rFonts w:ascii="Times New Roman" w:eastAsia="Times New Roman" w:hAnsi="Times New Roman" w:cs="Times New Roman"/>
        </w:rPr>
        <w:t>Calculated based on annualized NCOs to average loans, e</w:t>
      </w:r>
      <w:r w:rsidRPr="00DC0EA5">
        <w:rPr>
          <w:rFonts w:ascii="Times New Roman" w:eastAsia="Times New Roman" w:hAnsi="Times New Roman" w:cs="Times New Roman"/>
        </w:rPr>
        <w:t>xclud</w:t>
      </w:r>
      <w:r>
        <w:rPr>
          <w:rFonts w:ascii="Times New Roman" w:eastAsia="Times New Roman" w:hAnsi="Times New Roman" w:cs="Times New Roman"/>
        </w:rPr>
        <w:t>ing</w:t>
      </w:r>
      <w:r w:rsidRPr="00DC0EA5">
        <w:rPr>
          <w:rFonts w:ascii="Times New Roman" w:eastAsia="Times New Roman" w:hAnsi="Times New Roman" w:cs="Times New Roman"/>
        </w:rPr>
        <w:t xml:space="preserve"> loans held for sale</w:t>
      </w:r>
      <w:r w:rsidRPr="003874E7">
        <w:rPr>
          <w:rFonts w:ascii="Times New Roman" w:eastAsia="Times New Roman" w:hAnsi="Times New Roman" w:cs="Times New Roman"/>
        </w:rPr>
        <w:t>.</w:t>
      </w:r>
      <w:r w:rsidRPr="00451633">
        <w:rPr>
          <w:rFonts w:ascii="Times New Roman" w:eastAsia="Times New Roman" w:hAnsi="Times New Roman" w:cs="Times New Roman"/>
        </w:rPr>
        <w:t xml:space="preserve"> </w:t>
      </w:r>
    </w:p>
    <w:p w:rsidR="0095125A" w:rsidRDefault="00A30F3F">
      <w:pPr>
        <w:rPr>
          <w:rFonts w:ascii="Times New Roman" w:hAnsi="Times New Roman" w:cs="Times New Roman"/>
        </w:rPr>
      </w:pPr>
      <w:r>
        <w:rPr>
          <w:rFonts w:ascii="Times New Roman" w:eastAsia="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28"/>
        <w:gridCol w:w="254"/>
        <w:gridCol w:w="158"/>
        <w:gridCol w:w="1026"/>
        <w:gridCol w:w="255"/>
        <w:gridCol w:w="158"/>
        <w:gridCol w:w="1026"/>
        <w:gridCol w:w="255"/>
        <w:gridCol w:w="158"/>
        <w:gridCol w:w="1026"/>
        <w:gridCol w:w="156"/>
      </w:tblGrid>
      <w:tr w:rsidR="00EB54F0" w:rsidTr="00DC0EA5">
        <w:trPr>
          <w:trHeight w:hRule="exact" w:val="20"/>
        </w:trPr>
        <w:tc>
          <w:tcPr>
            <w:tcW w:w="2930" w:type="pct"/>
            <w:tcBorders>
              <w:top w:val="nil"/>
              <w:left w:val="nil"/>
              <w:bottom w:val="nil"/>
              <w:right w:val="nil"/>
            </w:tcBorders>
            <w:vAlign w:val="bottom"/>
          </w:tcPr>
          <w:p w:rsidR="00EB54F0" w:rsidRDefault="00EB54F0" w:rsidP="00EB54F0">
            <w:pPr>
              <w:keepNext/>
              <w:rPr>
                <w:sz w:val="2"/>
              </w:rPr>
            </w:pPr>
          </w:p>
        </w:tc>
        <w:tc>
          <w:tcPr>
            <w:tcW w:w="118" w:type="pct"/>
            <w:tcBorders>
              <w:top w:val="nil"/>
              <w:left w:val="nil"/>
              <w:bottom w:val="nil"/>
              <w:right w:val="nil"/>
            </w:tcBorders>
            <w:noWrap/>
            <w:vAlign w:val="bottom"/>
          </w:tcPr>
          <w:p w:rsidR="00EB54F0" w:rsidRDefault="00EB54F0" w:rsidP="00EB54F0">
            <w:pPr>
              <w:keepNext/>
              <w:rPr>
                <w:sz w:val="2"/>
              </w:rPr>
            </w:pPr>
          </w:p>
        </w:tc>
        <w:tc>
          <w:tcPr>
            <w:tcW w:w="73" w:type="pct"/>
            <w:tcBorders>
              <w:top w:val="nil"/>
              <w:left w:val="nil"/>
              <w:bottom w:val="nil"/>
              <w:right w:val="nil"/>
            </w:tcBorders>
            <w:noWrap/>
            <w:vAlign w:val="bottom"/>
          </w:tcPr>
          <w:p w:rsidR="00EB54F0" w:rsidRDefault="00EB54F0" w:rsidP="00EB54F0">
            <w:pPr>
              <w:keepNext/>
              <w:rPr>
                <w:sz w:val="2"/>
              </w:rPr>
            </w:pPr>
          </w:p>
        </w:tc>
        <w:tc>
          <w:tcPr>
            <w:tcW w:w="475" w:type="pct"/>
            <w:tcBorders>
              <w:top w:val="nil"/>
              <w:left w:val="nil"/>
              <w:bottom w:val="nil"/>
              <w:right w:val="nil"/>
            </w:tcBorders>
            <w:noWrap/>
            <w:vAlign w:val="bottom"/>
          </w:tcPr>
          <w:p w:rsidR="00EB54F0" w:rsidRDefault="00EB54F0" w:rsidP="00EB54F0">
            <w:pPr>
              <w:keepNext/>
              <w:rPr>
                <w:sz w:val="2"/>
              </w:rPr>
            </w:pPr>
          </w:p>
        </w:tc>
        <w:tc>
          <w:tcPr>
            <w:tcW w:w="118" w:type="pct"/>
            <w:tcBorders>
              <w:top w:val="nil"/>
              <w:left w:val="nil"/>
              <w:bottom w:val="nil"/>
              <w:right w:val="nil"/>
            </w:tcBorders>
            <w:noWrap/>
            <w:vAlign w:val="bottom"/>
          </w:tcPr>
          <w:p w:rsidR="00EB54F0" w:rsidRDefault="00EB54F0" w:rsidP="00EB54F0">
            <w:pPr>
              <w:keepNext/>
              <w:rPr>
                <w:sz w:val="2"/>
              </w:rPr>
            </w:pPr>
          </w:p>
        </w:tc>
        <w:tc>
          <w:tcPr>
            <w:tcW w:w="73" w:type="pct"/>
            <w:tcBorders>
              <w:top w:val="nil"/>
              <w:left w:val="nil"/>
              <w:bottom w:val="nil"/>
              <w:right w:val="nil"/>
            </w:tcBorders>
            <w:noWrap/>
            <w:vAlign w:val="bottom"/>
          </w:tcPr>
          <w:p w:rsidR="00EB54F0" w:rsidRDefault="00EB54F0" w:rsidP="00EB54F0">
            <w:pPr>
              <w:keepNext/>
              <w:rPr>
                <w:sz w:val="2"/>
              </w:rPr>
            </w:pPr>
          </w:p>
        </w:tc>
        <w:tc>
          <w:tcPr>
            <w:tcW w:w="475" w:type="pct"/>
            <w:tcBorders>
              <w:top w:val="nil"/>
              <w:left w:val="nil"/>
              <w:bottom w:val="nil"/>
              <w:right w:val="nil"/>
            </w:tcBorders>
            <w:noWrap/>
            <w:vAlign w:val="bottom"/>
          </w:tcPr>
          <w:p w:rsidR="00EB54F0" w:rsidRDefault="00EB54F0" w:rsidP="00EB54F0">
            <w:pPr>
              <w:keepNext/>
              <w:rPr>
                <w:sz w:val="2"/>
              </w:rPr>
            </w:pPr>
          </w:p>
        </w:tc>
        <w:tc>
          <w:tcPr>
            <w:tcW w:w="118" w:type="pct"/>
            <w:tcBorders>
              <w:top w:val="nil"/>
              <w:left w:val="nil"/>
              <w:bottom w:val="nil"/>
              <w:right w:val="nil"/>
            </w:tcBorders>
            <w:noWrap/>
            <w:vAlign w:val="bottom"/>
          </w:tcPr>
          <w:p w:rsidR="00EB54F0" w:rsidRDefault="00EB54F0" w:rsidP="00EB54F0">
            <w:pPr>
              <w:keepNext/>
              <w:rPr>
                <w:sz w:val="2"/>
              </w:rPr>
            </w:pPr>
          </w:p>
        </w:tc>
        <w:tc>
          <w:tcPr>
            <w:tcW w:w="73" w:type="pct"/>
            <w:tcBorders>
              <w:top w:val="nil"/>
              <w:left w:val="nil"/>
              <w:bottom w:val="nil"/>
              <w:right w:val="nil"/>
            </w:tcBorders>
            <w:noWrap/>
            <w:vAlign w:val="bottom"/>
          </w:tcPr>
          <w:p w:rsidR="00EB54F0" w:rsidRDefault="00EB54F0" w:rsidP="00EB54F0">
            <w:pPr>
              <w:keepNext/>
              <w:rPr>
                <w:sz w:val="2"/>
              </w:rPr>
            </w:pPr>
          </w:p>
        </w:tc>
        <w:tc>
          <w:tcPr>
            <w:tcW w:w="475" w:type="pct"/>
            <w:tcBorders>
              <w:top w:val="nil"/>
              <w:left w:val="nil"/>
              <w:bottom w:val="nil"/>
              <w:right w:val="nil"/>
            </w:tcBorders>
            <w:noWrap/>
            <w:vAlign w:val="bottom"/>
          </w:tcPr>
          <w:p w:rsidR="00EB54F0" w:rsidRDefault="00EB54F0" w:rsidP="00EB54F0">
            <w:pPr>
              <w:keepNext/>
              <w:rPr>
                <w:sz w:val="2"/>
              </w:rPr>
            </w:pPr>
          </w:p>
        </w:tc>
        <w:tc>
          <w:tcPr>
            <w:tcW w:w="72" w:type="pct"/>
            <w:tcBorders>
              <w:top w:val="nil"/>
              <w:left w:val="nil"/>
              <w:bottom w:val="nil"/>
              <w:right w:val="nil"/>
            </w:tcBorders>
            <w:noWrap/>
            <w:vAlign w:val="bottom"/>
          </w:tcPr>
          <w:p w:rsidR="00EB54F0" w:rsidRDefault="00EB54F0" w:rsidP="00EB54F0">
            <w:pPr>
              <w:keepNext/>
              <w:rPr>
                <w:sz w:val="2"/>
              </w:rPr>
            </w:pPr>
          </w:p>
        </w:tc>
      </w:tr>
    </w:tbl>
    <w:p w:rsidR="005515B5" w:rsidRPr="00666BA8" w:rsidRDefault="005515B5" w:rsidP="00A30F3F">
      <w:pPr>
        <w:keepNext/>
        <w:keepLines/>
        <w:ind w:left="108"/>
        <w:jc w:val="center"/>
        <w:rPr>
          <w:rFonts w:ascii="Times New Roman" w:eastAsia="Times New Roman" w:hAnsi="Times New Roman" w:cs="Times New Roman"/>
          <w:b/>
          <w:bCs/>
        </w:rPr>
      </w:pPr>
      <w:r w:rsidRPr="00666BA8">
        <w:rPr>
          <w:rFonts w:ascii="Times New Roman" w:eastAsia="Times New Roman" w:hAnsi="Times New Roman" w:cs="Times New Roman"/>
          <w:b/>
          <w:bCs/>
        </w:rPr>
        <w:t>DIME COMMUNITY BANCSHARES, INC. AND SUBSIDIARIES</w:t>
      </w:r>
    </w:p>
    <w:p w:rsidR="005515B5" w:rsidRPr="00666BA8" w:rsidRDefault="005515B5" w:rsidP="00A30F3F">
      <w:pPr>
        <w:keepNext/>
        <w:keepLines/>
        <w:ind w:left="108"/>
        <w:jc w:val="center"/>
        <w:rPr>
          <w:rFonts w:ascii="Times New Roman" w:eastAsia="Times New Roman" w:hAnsi="Times New Roman" w:cs="Times New Roman"/>
          <w:b/>
          <w:bCs/>
        </w:rPr>
      </w:pPr>
      <w:r w:rsidRPr="00666BA8">
        <w:rPr>
          <w:rFonts w:ascii="Times New Roman" w:eastAsia="Times New Roman" w:hAnsi="Times New Roman" w:cs="Times New Roman"/>
          <w:b/>
          <w:bCs/>
        </w:rPr>
        <w:t>NON-GAAP RECONCILIATION</w:t>
      </w:r>
    </w:p>
    <w:p w:rsidR="005515B5" w:rsidRDefault="005515B5" w:rsidP="00A30F3F">
      <w:pPr>
        <w:keepNext/>
        <w:keepLines/>
        <w:ind w:left="108"/>
        <w:jc w:val="center"/>
        <w:rPr>
          <w:rFonts w:ascii="Times New Roman" w:eastAsia="Times New Roman" w:hAnsi="Times New Roman" w:cs="Times New Roman"/>
        </w:rPr>
      </w:pPr>
      <w:r w:rsidRPr="00666BA8">
        <w:rPr>
          <w:rFonts w:ascii="Times New Roman" w:eastAsia="Times New Roman" w:hAnsi="Times New Roman" w:cs="Times New Roman"/>
        </w:rPr>
        <w:t>(Dollars in thousands except per share amounts)</w:t>
      </w:r>
    </w:p>
    <w:p w:rsidR="00166ABC" w:rsidRDefault="00166ABC" w:rsidP="00A30F3F">
      <w:pPr>
        <w:keepNext/>
        <w:keepLines/>
        <w:ind w:left="108"/>
        <w:jc w:val="center"/>
        <w:rPr>
          <w:rFonts w:ascii="Times New Roman" w:eastAsia="Times New Roman" w:hAnsi="Times New Roman" w:cs="Times New Roman"/>
        </w:rPr>
      </w:pPr>
    </w:p>
    <w:p w:rsidR="00166ABC" w:rsidRDefault="00166ABC" w:rsidP="00A30F3F">
      <w:pPr>
        <w:keepNext/>
        <w:keepLines/>
        <w:ind w:left="108"/>
        <w:jc w:val="center"/>
        <w:rPr>
          <w:rFonts w:ascii="Times New Roman" w:eastAsia="Times New Roman" w:hAnsi="Times New Roman" w:cs="Times New Roman"/>
        </w:rPr>
      </w:pPr>
    </w:p>
    <w:p w:rsidR="00166ABC" w:rsidRDefault="00166ABC" w:rsidP="00A30F3F">
      <w:pPr>
        <w:keepNext/>
        <w:keepLines/>
        <w:jc w:val="both"/>
        <w:rPr>
          <w:rFonts w:ascii="Times New Roman" w:eastAsia="Times New Roman" w:hAnsi="Times New Roman" w:cs="Times New Roman"/>
          <w:szCs w:val="24"/>
        </w:rPr>
      </w:pPr>
      <w:r w:rsidRPr="00166ABC">
        <w:rPr>
          <w:rFonts w:ascii="Times New Roman" w:eastAsia="Times New Roman" w:hAnsi="Times New Roman" w:cs="Times New Roman"/>
          <w:szCs w:val="24"/>
        </w:rPr>
        <w:t>The following tables below provide a reconciliation of certain financial measures calculated under generally accepted accounting principles ("GAAP") (as reported) and non-GAAP</w:t>
      </w:r>
      <w:r w:rsidR="006478A2">
        <w:rPr>
          <w:rFonts w:ascii="Times New Roman" w:eastAsia="Times New Roman" w:hAnsi="Times New Roman" w:cs="Times New Roman"/>
          <w:szCs w:val="24"/>
        </w:rPr>
        <w:t xml:space="preserve"> measures</w:t>
      </w:r>
      <w:r w:rsidRPr="00166ABC">
        <w:rPr>
          <w:rFonts w:ascii="Times New Roman" w:eastAsia="Times New Roman" w:hAnsi="Times New Roman" w:cs="Times New Roman"/>
          <w:szCs w:val="24"/>
        </w:rPr>
        <w:t>. A non-GAAP financial measure is a numerical measure of historical or future financial performance, financial position or cash flows that excludes or includes amounts that are required to be disclosed in the most directly comparable measure calculated and presented in accordance with GAAP in the United States. The Company’s management believes the presentation of non-GAAP financial measures provide</w:t>
      </w:r>
      <w:r w:rsidR="00B65040">
        <w:rPr>
          <w:rFonts w:ascii="Times New Roman" w:eastAsia="Times New Roman" w:hAnsi="Times New Roman" w:cs="Times New Roman"/>
          <w:szCs w:val="24"/>
        </w:rPr>
        <w:t>s</w:t>
      </w:r>
      <w:r w:rsidRPr="00166ABC">
        <w:rPr>
          <w:rFonts w:ascii="Times New Roman" w:eastAsia="Times New Roman" w:hAnsi="Times New Roman" w:cs="Times New Roman"/>
          <w:szCs w:val="24"/>
        </w:rPr>
        <w:t xml:space="preserve"> investors with a greater understanding of the Company’s operating results in addition to the results measured in accordance with GAAP. While management uses these non-GAAP measures in its analysis of the Company’s performance, this information should not be viewed as a substitute for financial results determined in accordance with GAAP or considered to be more important than financial results determined in accordance with GAAP.</w:t>
      </w:r>
    </w:p>
    <w:p w:rsidR="00166ABC" w:rsidRDefault="00166ABC" w:rsidP="00A30F3F">
      <w:pPr>
        <w:keepNext/>
        <w:keepLines/>
        <w:jc w:val="both"/>
        <w:rPr>
          <w:rFonts w:ascii="Times New Roman" w:eastAsia="Times New Roman" w:hAnsi="Times New Roman" w:cs="Times New Roman"/>
          <w:szCs w:val="24"/>
        </w:rPr>
      </w:pPr>
    </w:p>
    <w:p w:rsidR="00166ABC" w:rsidRPr="00166ABC" w:rsidRDefault="00166ABC" w:rsidP="00A30F3F">
      <w:pPr>
        <w:keepNext/>
        <w:keepLines/>
        <w:jc w:val="both"/>
        <w:rPr>
          <w:rFonts w:ascii="Times New Roman" w:eastAsia="Times New Roman" w:hAnsi="Times New Roman" w:cs="Times New Roman"/>
          <w:szCs w:val="24"/>
        </w:rPr>
      </w:pPr>
      <w:r w:rsidRPr="00166ABC">
        <w:rPr>
          <w:rFonts w:ascii="Times New Roman" w:eastAsia="Times New Roman" w:hAnsi="Times New Roman" w:cs="Times New Roman"/>
          <w:szCs w:val="24"/>
        </w:rPr>
        <w:t xml:space="preserve">The following non-GAAP financial measures exclude </w:t>
      </w:r>
      <w:r>
        <w:rPr>
          <w:rFonts w:ascii="Times New Roman" w:eastAsia="Times New Roman" w:hAnsi="Times New Roman" w:cs="Times New Roman"/>
          <w:szCs w:val="24"/>
        </w:rPr>
        <w:t xml:space="preserve">pre-tax income and </w:t>
      </w:r>
      <w:r w:rsidRPr="00166ABC">
        <w:rPr>
          <w:rFonts w:ascii="Times New Roman" w:eastAsia="Times New Roman" w:hAnsi="Times New Roman" w:cs="Times New Roman"/>
          <w:szCs w:val="24"/>
        </w:rPr>
        <w:t>expenses associated</w:t>
      </w:r>
      <w:r w:rsidR="006B58FE">
        <w:rPr>
          <w:rFonts w:ascii="Times New Roman" w:eastAsia="Times New Roman" w:hAnsi="Times New Roman" w:cs="Times New Roman"/>
          <w:szCs w:val="24"/>
        </w:rPr>
        <w:t xml:space="preserve"> with </w:t>
      </w:r>
      <w:r w:rsidR="007136FE">
        <w:rPr>
          <w:rFonts w:ascii="Times New Roman" w:eastAsia="Times New Roman" w:hAnsi="Times New Roman" w:cs="Times New Roman"/>
          <w:szCs w:val="24"/>
        </w:rPr>
        <w:t xml:space="preserve">loss on equity securities, </w:t>
      </w:r>
      <w:r w:rsidR="00A23656">
        <w:rPr>
          <w:rFonts w:ascii="Times New Roman" w:eastAsia="Times New Roman" w:hAnsi="Times New Roman" w:cs="Times New Roman"/>
          <w:szCs w:val="24"/>
        </w:rPr>
        <w:t xml:space="preserve">net loss on sale of securities and other assets, </w:t>
      </w:r>
      <w:r w:rsidR="003A06A1">
        <w:rPr>
          <w:rFonts w:ascii="Times New Roman" w:eastAsia="Times New Roman" w:hAnsi="Times New Roman" w:cs="Times New Roman"/>
          <w:szCs w:val="24"/>
        </w:rPr>
        <w:t>severance</w:t>
      </w:r>
      <w:r w:rsidR="00A23656">
        <w:rPr>
          <w:rFonts w:ascii="Times New Roman" w:eastAsia="Times New Roman" w:hAnsi="Times New Roman" w:cs="Times New Roman"/>
          <w:szCs w:val="24"/>
        </w:rPr>
        <w:t xml:space="preserve"> and loss on extinguishment of debt</w:t>
      </w:r>
      <w:r w:rsidR="00072562">
        <w:rPr>
          <w:rFonts w:ascii="Times New Roman" w:eastAsia="Times New Roman" w:hAnsi="Times New Roman" w:cs="Times New Roman"/>
          <w:szCs w:val="24"/>
        </w:rPr>
        <w:t>:</w:t>
      </w:r>
      <w:r w:rsidRPr="00166ABC">
        <w:rPr>
          <w:rFonts w:ascii="Times New Roman" w:eastAsia="Times New Roman" w:hAnsi="Times New Roman" w:cs="Times New Roman"/>
          <w:szCs w:val="24"/>
        </w:rPr>
        <w:t xml:space="preserve">  </w:t>
      </w:r>
    </w:p>
    <w:p w:rsidR="00166ABC" w:rsidRDefault="00166ABC" w:rsidP="00A30F3F">
      <w:pPr>
        <w:keepNext/>
        <w:keepLines/>
        <w:jc w:val="both"/>
        <w:rPr>
          <w:rFonts w:ascii="Times New Roman" w:eastAsia="Times New Roman"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0"/>
        <w:gridCol w:w="160"/>
        <w:gridCol w:w="132"/>
        <w:gridCol w:w="886"/>
        <w:gridCol w:w="240"/>
        <w:gridCol w:w="80"/>
        <w:gridCol w:w="618"/>
        <w:gridCol w:w="214"/>
        <w:gridCol w:w="132"/>
        <w:gridCol w:w="886"/>
        <w:gridCol w:w="214"/>
        <w:gridCol w:w="132"/>
        <w:gridCol w:w="886"/>
        <w:gridCol w:w="187"/>
        <w:gridCol w:w="132"/>
        <w:gridCol w:w="886"/>
        <w:gridCol w:w="115"/>
      </w:tblGrid>
      <w:tr w:rsidR="008F58A3" w:rsidTr="008F58A3">
        <w:trPr>
          <w:trHeight w:hRule="exact" w:val="20"/>
        </w:trPr>
        <w:tc>
          <w:tcPr>
            <w:tcW w:w="2330" w:type="pct"/>
            <w:tcBorders>
              <w:top w:val="nil"/>
              <w:left w:val="nil"/>
              <w:bottom w:val="nil"/>
              <w:right w:val="nil"/>
            </w:tcBorders>
          </w:tcPr>
          <w:p w:rsidR="008F58A3" w:rsidRDefault="008F58A3" w:rsidP="008F58A3">
            <w:pPr>
              <w:keepNext/>
              <w:keepLines/>
              <w:rPr>
                <w:sz w:val="2"/>
              </w:rPr>
            </w:pPr>
          </w:p>
        </w:tc>
        <w:tc>
          <w:tcPr>
            <w:tcW w:w="91"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91"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91"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91"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91"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r>
      <w:tr w:rsidR="008F58A3" w:rsidTr="008F58A3">
        <w:tc>
          <w:tcPr>
            <w:tcW w:w="2330" w:type="pct"/>
            <w:tcBorders>
              <w:top w:val="nil"/>
              <w:left w:val="nil"/>
              <w:bottom w:val="nil"/>
              <w:right w:val="nil"/>
              <w:tl2br w:val="nil"/>
              <w:tr2bl w:val="nil"/>
            </w:tcBorders>
            <w:shd w:val="clear" w:color="auto" w:fill="auto"/>
          </w:tcPr>
          <w:p w:rsidR="008F58A3" w:rsidRDefault="008F58A3" w:rsidP="008F58A3">
            <w:pPr>
              <w:keepNext/>
              <w:keepLines/>
              <w:rPr>
                <w:b/>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p>
        </w:tc>
        <w:tc>
          <w:tcPr>
            <w:tcW w:w="1477" w:type="pct"/>
            <w:gridSpan w:val="8"/>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xml:space="preserve">Three Months Ended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954" w:type="pct"/>
            <w:gridSpan w:val="5"/>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xml:space="preserve">Nine Months Ended </w:t>
            </w:r>
          </w:p>
        </w:tc>
        <w:tc>
          <w:tcPr>
            <w:tcW w:w="56"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b/>
                <w:color w:val="000000"/>
                <w:sz w:val="16"/>
              </w:rPr>
              <w:t> </w:t>
            </w:r>
          </w:p>
        </w:tc>
      </w:tr>
      <w:tr w:rsidR="008F58A3" w:rsidTr="008F58A3">
        <w:tc>
          <w:tcPr>
            <w:tcW w:w="2330" w:type="pct"/>
            <w:tcBorders>
              <w:top w:val="nil"/>
              <w:left w:val="nil"/>
              <w:bottom w:val="nil"/>
              <w:right w:val="nil"/>
              <w:tl2br w:val="nil"/>
              <w:tr2bl w:val="nil"/>
            </w:tcBorders>
            <w:shd w:val="clear" w:color="auto" w:fill="auto"/>
          </w:tcPr>
          <w:p w:rsidR="008F58A3" w:rsidRDefault="008F58A3" w:rsidP="008F58A3">
            <w:pPr>
              <w:keepNext/>
              <w:keepLines/>
              <w:rPr>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June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1"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1"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56"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b/>
                <w:color w:val="000000"/>
                <w:sz w:val="16"/>
              </w:rPr>
              <w:t> </w:t>
            </w:r>
          </w:p>
        </w:tc>
      </w:tr>
      <w:tr w:rsidR="008F58A3" w:rsidTr="008F58A3">
        <w:tc>
          <w:tcPr>
            <w:tcW w:w="2330" w:type="pct"/>
            <w:tcBorders>
              <w:top w:val="nil"/>
              <w:left w:val="nil"/>
              <w:bottom w:val="nil"/>
              <w:right w:val="nil"/>
              <w:tl2br w:val="nil"/>
              <w:tr2bl w:val="nil"/>
            </w:tcBorders>
            <w:shd w:val="clear" w:color="auto" w:fill="auto"/>
          </w:tcPr>
          <w:p w:rsidR="008F58A3" w:rsidRDefault="008F58A3" w:rsidP="008F58A3">
            <w:pPr>
              <w:keepNext/>
              <w:keepLines/>
              <w:rPr>
                <w:color w:val="000000"/>
                <w:sz w:val="16"/>
              </w:rPr>
            </w:pP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p>
        </w:tc>
        <w:tc>
          <w:tcPr>
            <w:tcW w:w="43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2022</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91"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1"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2022</w:t>
            </w:r>
          </w:p>
        </w:tc>
        <w:tc>
          <w:tcPr>
            <w:tcW w:w="56"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b/>
                <w:color w:val="000000"/>
                <w:sz w:val="16"/>
              </w:rPr>
              <w:t> </w:t>
            </w: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b/>
                <w:color w:val="000000"/>
                <w:sz w:val="16"/>
                <w:u w:val="single"/>
              </w:rPr>
            </w:pPr>
            <w:r>
              <w:rPr>
                <w:rFonts w:ascii="Times New Roman" w:eastAsia="Times New Roman" w:hAnsi="Times New Roman" w:cs="Times New Roman"/>
                <w:b/>
                <w:color w:val="000000"/>
                <w:sz w:val="16"/>
                <w:u w:val="single"/>
              </w:rPr>
              <w:t>Reconciliation of Reported and Adjusted (non-GAAP) Net Income Available to Common Stockholders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center"/>
              <w:rPr>
                <w:b/>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Reported net income available to common stockholders</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13,163</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25,676</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37,659</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74,321</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107,032</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Adjustments to net income </w:t>
            </w:r>
            <w:r>
              <w:rPr>
                <w:rFonts w:ascii="Times New Roman" w:eastAsia="Times New Roman" w:hAnsi="Times New Roman" w:cs="Times New Roman"/>
                <w:color w:val="000000"/>
                <w:sz w:val="16"/>
                <w:vertAlign w:val="superscript"/>
              </w:rPr>
              <w:t>(1):</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Loss on equity securities</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299</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780</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1,079</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Net loss (gain) on sale of securities and other assets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(1,397)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1,469</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(1,397)</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Severance</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8,562</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481</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9,068</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2,193</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Loss on extinguishment of debt</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740</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Income tax effect of adjustments and other tax adjustments</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(176)</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(373)</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440</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(985)</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145</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net income available to common stockholders (non-GAAP)</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21,870</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26,564</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36,702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84,952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108,713</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b/>
                <w:color w:val="000000"/>
                <w:sz w:val="16"/>
                <w:u w:val="single"/>
              </w:rPr>
            </w:pPr>
            <w:r>
              <w:rPr>
                <w:rFonts w:ascii="Times New Roman" w:eastAsia="Times New Roman" w:hAnsi="Times New Roman" w:cs="Times New Roman"/>
                <w:b/>
                <w:color w:val="000000"/>
                <w:sz w:val="16"/>
                <w:u w:val="single"/>
              </w:rPr>
              <w:t>Adjusted Ratios (Based upon Adjusted (non-GAAP) Net Income as calculated above)</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u w:val="single"/>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u w:val="single"/>
              </w:rPr>
            </w:pP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color w:val="000000"/>
                <w:sz w:val="16"/>
              </w:rPr>
              <w:t>  </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Adjusted EPS (Diluted) </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0.56</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0.68</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0.95</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2.19</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2.78</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return on average assets</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0.69</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0.83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1.23</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0.88</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1.24</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w:t>
            </w: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return on average equity</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7.76</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9.32</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13.23</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9.95</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13.02</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return on average tangible common equity</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9.38</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11.42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16.72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12.25</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16.45</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non-interest expense to average assets</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1.48</w:t>
            </w:r>
          </w:p>
        </w:tc>
        <w:tc>
          <w:tcPr>
            <w:tcW w:w="91"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1.51</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1.53</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1.46</w:t>
            </w:r>
          </w:p>
        </w:tc>
        <w:tc>
          <w:tcPr>
            <w:tcW w:w="9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1.58</w:t>
            </w: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0"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efficiency ratio</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59.7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56.2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44.2</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54.7</w:t>
            </w:r>
          </w:p>
        </w:tc>
        <w:tc>
          <w:tcPr>
            <w:tcW w:w="9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46.9</w:t>
            </w: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bl>
    <w:p w:rsidR="001B3D85" w:rsidRDefault="007D008B" w:rsidP="00A30F3F">
      <w:pPr>
        <w:keepNext/>
        <w:keepLines/>
        <w:rPr>
          <w:rFonts w:asciiTheme="majorHAnsi" w:hAnsiTheme="majorHAnsi" w:cstheme="majorHAnsi"/>
        </w:rPr>
      </w:pPr>
      <w:r>
        <w:rPr>
          <w:rFonts w:ascii="Times New Roman" w:hAnsi="Times New Roman" w:cs="Times New Roman"/>
          <w:szCs w:val="24"/>
        </w:rPr>
        <w:pict w14:anchorId="3A474F1A">
          <v:rect id="_x0000_i1031" style="width:135pt;height:.6pt" o:hrpct="250" o:hrstd="t" o:hrnoshade="t" o:hr="t" fillcolor="black [3213]" stroked="f"/>
        </w:pict>
      </w:r>
    </w:p>
    <w:p w:rsidR="00F94AD4" w:rsidRPr="006B58FE" w:rsidRDefault="00F94AD4" w:rsidP="00A30F3F">
      <w:pPr>
        <w:keepNext/>
        <w:keepLines/>
        <w:tabs>
          <w:tab w:val="left" w:pos="5542"/>
          <w:tab w:val="left" w:pos="5764"/>
          <w:tab w:val="left" w:pos="6775"/>
          <w:tab w:val="left" w:pos="6997"/>
          <w:tab w:val="left" w:pos="8137"/>
          <w:tab w:val="left" w:pos="8359"/>
          <w:tab w:val="left" w:pos="9510"/>
          <w:tab w:val="left" w:pos="9732"/>
        </w:tabs>
        <w:ind w:left="360" w:hanging="360"/>
        <w:rPr>
          <w:rFonts w:ascii="Times New Roman" w:eastAsia="Times New Roman" w:hAnsi="Times New Roman" w:cs="Times New Roman"/>
        </w:rPr>
      </w:pPr>
      <w:r w:rsidRPr="00666BA8">
        <w:rPr>
          <w:rFonts w:ascii="Times New Roman" w:eastAsia="Times New Roman" w:hAnsi="Times New Roman" w:cs="Times New Roman"/>
          <w:color w:val="000000"/>
          <w:vertAlign w:val="superscript"/>
        </w:rPr>
        <w:t>(1)</w:t>
      </w:r>
      <w:r w:rsidRPr="00666BA8">
        <w:rPr>
          <w:rFonts w:ascii="Times New Roman" w:eastAsia="Times New Roman" w:hAnsi="Times New Roman" w:cs="Times New Roman"/>
          <w:color w:val="000000"/>
        </w:rPr>
        <w:t xml:space="preserve">    Adjustments to net income are taxed at the Company's statutory tax rate of approximately </w:t>
      </w:r>
      <w:r w:rsidR="008C383D">
        <w:rPr>
          <w:rFonts w:ascii="Times New Roman" w:eastAsia="Times New Roman" w:hAnsi="Times New Roman" w:cs="Times New Roman"/>
          <w:color w:val="000000"/>
        </w:rPr>
        <w:t>30</w:t>
      </w:r>
      <w:r w:rsidRPr="00666BA8">
        <w:rPr>
          <w:rFonts w:ascii="Times New Roman" w:eastAsia="Times New Roman" w:hAnsi="Times New Roman" w:cs="Times New Roman"/>
          <w:color w:val="000000"/>
        </w:rPr>
        <w:t>% unless otherwise noted.</w:t>
      </w: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166ABC" w:rsidRDefault="00166ABC" w:rsidP="00166ABC">
      <w:pPr>
        <w:jc w:val="both"/>
        <w:rPr>
          <w:rFonts w:ascii="Times New Roman" w:hAnsi="Times New Roman" w:cs="Times New Roman"/>
        </w:rPr>
      </w:pPr>
    </w:p>
    <w:p w:rsidR="00756C7E" w:rsidRDefault="00756C7E" w:rsidP="00756C7E">
      <w:pPr>
        <w:jc w:val="both"/>
        <w:rPr>
          <w:rFonts w:ascii="Times New Roman" w:hAnsi="Times New Roman" w:cs="Times New Roman"/>
        </w:rPr>
      </w:pPr>
    </w:p>
    <w:p w:rsidR="002C5194" w:rsidRDefault="002C5194">
      <w:pPr>
        <w:rPr>
          <w:rFonts w:asciiTheme="majorHAnsi" w:hAnsiTheme="majorHAnsi" w:cstheme="majorHAnsi"/>
        </w:rPr>
      </w:pPr>
    </w:p>
    <w:p w:rsidR="00166ABC" w:rsidRPr="00166ABC" w:rsidRDefault="00166ABC" w:rsidP="008262DF">
      <w:pPr>
        <w:keepNext/>
        <w:keepLines/>
        <w:jc w:val="both"/>
        <w:rPr>
          <w:rFonts w:ascii="Times New Roman" w:eastAsia="Times New Roman" w:hAnsi="Times New Roman" w:cs="Times New Roman"/>
          <w:szCs w:val="24"/>
        </w:rPr>
      </w:pPr>
      <w:r w:rsidRPr="00166ABC">
        <w:rPr>
          <w:rFonts w:ascii="Times New Roman" w:eastAsia="Times New Roman" w:hAnsi="Times New Roman" w:cs="Times New Roman"/>
          <w:szCs w:val="24"/>
        </w:rPr>
        <w:t>The following table presents a reconciliation of operating expense as a percentage of average assets (as reported) and adjusted operating expense as a percentage of average assets (non-GAAP):</w:t>
      </w:r>
    </w:p>
    <w:p w:rsidR="002C5194" w:rsidRDefault="002C5194" w:rsidP="008262DF">
      <w:pPr>
        <w:keepNext/>
        <w:keepLines/>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0"/>
        <w:gridCol w:w="58"/>
        <w:gridCol w:w="160"/>
        <w:gridCol w:w="1018"/>
        <w:gridCol w:w="240"/>
        <w:gridCol w:w="6"/>
        <w:gridCol w:w="644"/>
        <w:gridCol w:w="214"/>
        <w:gridCol w:w="6"/>
        <w:gridCol w:w="1018"/>
        <w:gridCol w:w="214"/>
        <w:gridCol w:w="6"/>
        <w:gridCol w:w="1018"/>
        <w:gridCol w:w="240"/>
        <w:gridCol w:w="6"/>
        <w:gridCol w:w="1018"/>
        <w:gridCol w:w="214"/>
      </w:tblGrid>
      <w:tr w:rsidR="00FC6DD6" w:rsidTr="00FC6DD6">
        <w:trPr>
          <w:trHeight w:hRule="exact" w:val="20"/>
        </w:trPr>
        <w:tc>
          <w:tcPr>
            <w:tcW w:w="2241" w:type="pct"/>
            <w:tcBorders>
              <w:top w:val="nil"/>
              <w:left w:val="nil"/>
              <w:bottom w:val="nil"/>
              <w:right w:val="nil"/>
            </w:tcBorders>
            <w:vAlign w:val="bottom"/>
          </w:tcPr>
          <w:p w:rsidR="00FC6DD6" w:rsidRDefault="00FC6DD6" w:rsidP="00FC6DD6">
            <w:pPr>
              <w:keepNext/>
              <w:keepLines/>
              <w:rPr>
                <w:sz w:val="2"/>
              </w:rPr>
            </w:pPr>
          </w:p>
        </w:tc>
        <w:tc>
          <w:tcPr>
            <w:tcW w:w="83" w:type="pct"/>
            <w:tcBorders>
              <w:top w:val="nil"/>
              <w:left w:val="nil"/>
              <w:bottom w:val="nil"/>
              <w:right w:val="nil"/>
            </w:tcBorders>
            <w:vAlign w:val="bottom"/>
          </w:tcPr>
          <w:p w:rsidR="00FC6DD6" w:rsidRDefault="00FC6DD6" w:rsidP="00FC6DD6">
            <w:pPr>
              <w:keepNext/>
              <w:keepLines/>
              <w:rPr>
                <w:sz w:val="2"/>
              </w:rPr>
            </w:pPr>
          </w:p>
        </w:tc>
        <w:tc>
          <w:tcPr>
            <w:tcW w:w="83" w:type="pct"/>
            <w:tcBorders>
              <w:top w:val="nil"/>
              <w:left w:val="nil"/>
              <w:bottom w:val="nil"/>
              <w:right w:val="nil"/>
            </w:tcBorders>
            <w:noWrap/>
            <w:vAlign w:val="bottom"/>
          </w:tcPr>
          <w:p w:rsidR="00FC6DD6" w:rsidRDefault="00FC6DD6" w:rsidP="00FC6DD6">
            <w:pPr>
              <w:keepNext/>
              <w:keepLines/>
              <w:rPr>
                <w:sz w:val="2"/>
              </w:rPr>
            </w:pPr>
          </w:p>
        </w:tc>
        <w:tc>
          <w:tcPr>
            <w:tcW w:w="425" w:type="pct"/>
            <w:tcBorders>
              <w:top w:val="nil"/>
              <w:left w:val="nil"/>
              <w:bottom w:val="nil"/>
              <w:right w:val="nil"/>
            </w:tcBorders>
            <w:noWrap/>
            <w:vAlign w:val="bottom"/>
          </w:tcPr>
          <w:p w:rsidR="00FC6DD6" w:rsidRDefault="00FC6DD6" w:rsidP="00FC6DD6">
            <w:pPr>
              <w:keepNext/>
              <w:keepLines/>
              <w:rPr>
                <w:sz w:val="2"/>
              </w:rPr>
            </w:pPr>
          </w:p>
        </w:tc>
        <w:tc>
          <w:tcPr>
            <w:tcW w:w="83" w:type="pct"/>
            <w:tcBorders>
              <w:top w:val="nil"/>
              <w:left w:val="nil"/>
              <w:bottom w:val="nil"/>
              <w:right w:val="nil"/>
            </w:tcBorders>
            <w:noWrap/>
            <w:vAlign w:val="bottom"/>
          </w:tcPr>
          <w:p w:rsidR="00FC6DD6" w:rsidRDefault="00FC6DD6" w:rsidP="00FC6DD6">
            <w:pPr>
              <w:keepNext/>
              <w:keepLines/>
              <w:rPr>
                <w:sz w:val="2"/>
              </w:rPr>
            </w:pPr>
          </w:p>
        </w:tc>
        <w:tc>
          <w:tcPr>
            <w:tcW w:w="20" w:type="pct"/>
            <w:tcBorders>
              <w:top w:val="nil"/>
              <w:left w:val="nil"/>
              <w:bottom w:val="nil"/>
              <w:right w:val="nil"/>
            </w:tcBorders>
            <w:noWrap/>
            <w:vAlign w:val="bottom"/>
          </w:tcPr>
          <w:p w:rsidR="00FC6DD6" w:rsidRDefault="00FC6DD6" w:rsidP="00FC6DD6">
            <w:pPr>
              <w:keepNext/>
              <w:keepLines/>
              <w:rPr>
                <w:sz w:val="2"/>
              </w:rPr>
            </w:pPr>
          </w:p>
        </w:tc>
        <w:tc>
          <w:tcPr>
            <w:tcW w:w="410" w:type="pct"/>
            <w:tcBorders>
              <w:top w:val="nil"/>
              <w:left w:val="nil"/>
              <w:bottom w:val="nil"/>
              <w:right w:val="nil"/>
            </w:tcBorders>
            <w:noWrap/>
            <w:vAlign w:val="bottom"/>
          </w:tcPr>
          <w:p w:rsidR="00FC6DD6" w:rsidRDefault="00FC6DD6" w:rsidP="00FC6DD6">
            <w:pPr>
              <w:keepNext/>
              <w:keepLines/>
              <w:rPr>
                <w:sz w:val="2"/>
              </w:rPr>
            </w:pPr>
          </w:p>
        </w:tc>
        <w:tc>
          <w:tcPr>
            <w:tcW w:w="83" w:type="pct"/>
            <w:tcBorders>
              <w:top w:val="nil"/>
              <w:left w:val="nil"/>
              <w:bottom w:val="nil"/>
              <w:right w:val="nil"/>
            </w:tcBorders>
            <w:noWrap/>
            <w:vAlign w:val="bottom"/>
          </w:tcPr>
          <w:p w:rsidR="00FC6DD6" w:rsidRDefault="00FC6DD6" w:rsidP="00FC6DD6">
            <w:pPr>
              <w:keepNext/>
              <w:keepLines/>
              <w:rPr>
                <w:sz w:val="2"/>
              </w:rPr>
            </w:pPr>
          </w:p>
        </w:tc>
        <w:tc>
          <w:tcPr>
            <w:tcW w:w="20" w:type="pct"/>
            <w:tcBorders>
              <w:top w:val="nil"/>
              <w:left w:val="nil"/>
              <w:bottom w:val="nil"/>
              <w:right w:val="nil"/>
            </w:tcBorders>
            <w:noWrap/>
            <w:vAlign w:val="bottom"/>
          </w:tcPr>
          <w:p w:rsidR="00FC6DD6" w:rsidRDefault="00FC6DD6" w:rsidP="00FC6DD6">
            <w:pPr>
              <w:keepNext/>
              <w:keepLines/>
              <w:rPr>
                <w:sz w:val="2"/>
              </w:rPr>
            </w:pPr>
          </w:p>
        </w:tc>
        <w:tc>
          <w:tcPr>
            <w:tcW w:w="410" w:type="pct"/>
            <w:tcBorders>
              <w:top w:val="nil"/>
              <w:left w:val="nil"/>
              <w:bottom w:val="nil"/>
              <w:right w:val="nil"/>
            </w:tcBorders>
            <w:noWrap/>
            <w:vAlign w:val="bottom"/>
          </w:tcPr>
          <w:p w:rsidR="00FC6DD6" w:rsidRDefault="00FC6DD6" w:rsidP="00FC6DD6">
            <w:pPr>
              <w:keepNext/>
              <w:keepLines/>
              <w:rPr>
                <w:sz w:val="2"/>
              </w:rPr>
            </w:pPr>
          </w:p>
        </w:tc>
        <w:tc>
          <w:tcPr>
            <w:tcW w:w="83" w:type="pct"/>
            <w:tcBorders>
              <w:top w:val="nil"/>
              <w:left w:val="nil"/>
              <w:bottom w:val="nil"/>
              <w:right w:val="nil"/>
            </w:tcBorders>
            <w:noWrap/>
            <w:vAlign w:val="bottom"/>
          </w:tcPr>
          <w:p w:rsidR="00FC6DD6" w:rsidRDefault="00FC6DD6" w:rsidP="00FC6DD6">
            <w:pPr>
              <w:keepNext/>
              <w:keepLines/>
              <w:rPr>
                <w:sz w:val="2"/>
              </w:rPr>
            </w:pPr>
          </w:p>
        </w:tc>
        <w:tc>
          <w:tcPr>
            <w:tcW w:w="49" w:type="pct"/>
            <w:tcBorders>
              <w:top w:val="nil"/>
              <w:left w:val="nil"/>
              <w:bottom w:val="nil"/>
              <w:right w:val="nil"/>
            </w:tcBorders>
            <w:noWrap/>
            <w:vAlign w:val="bottom"/>
          </w:tcPr>
          <w:p w:rsidR="00FC6DD6" w:rsidRDefault="00FC6DD6" w:rsidP="00FC6DD6">
            <w:pPr>
              <w:keepNext/>
              <w:keepLines/>
              <w:rPr>
                <w:sz w:val="2"/>
              </w:rPr>
            </w:pPr>
          </w:p>
        </w:tc>
        <w:tc>
          <w:tcPr>
            <w:tcW w:w="430" w:type="pct"/>
            <w:tcBorders>
              <w:top w:val="nil"/>
              <w:left w:val="nil"/>
              <w:bottom w:val="nil"/>
              <w:right w:val="nil"/>
            </w:tcBorders>
            <w:noWrap/>
            <w:vAlign w:val="bottom"/>
          </w:tcPr>
          <w:p w:rsidR="00FC6DD6" w:rsidRDefault="00FC6DD6" w:rsidP="00FC6DD6">
            <w:pPr>
              <w:keepNext/>
              <w:keepLines/>
              <w:rPr>
                <w:sz w:val="2"/>
              </w:rPr>
            </w:pPr>
          </w:p>
        </w:tc>
        <w:tc>
          <w:tcPr>
            <w:tcW w:w="83" w:type="pct"/>
            <w:tcBorders>
              <w:top w:val="nil"/>
              <w:left w:val="nil"/>
              <w:bottom w:val="nil"/>
              <w:right w:val="nil"/>
            </w:tcBorders>
            <w:noWrap/>
            <w:vAlign w:val="bottom"/>
          </w:tcPr>
          <w:p w:rsidR="00FC6DD6" w:rsidRDefault="00FC6DD6" w:rsidP="00FC6DD6">
            <w:pPr>
              <w:keepNext/>
              <w:keepLines/>
              <w:rPr>
                <w:sz w:val="2"/>
              </w:rPr>
            </w:pPr>
          </w:p>
        </w:tc>
        <w:tc>
          <w:tcPr>
            <w:tcW w:w="20" w:type="pct"/>
            <w:tcBorders>
              <w:top w:val="nil"/>
              <w:left w:val="nil"/>
              <w:bottom w:val="nil"/>
              <w:right w:val="nil"/>
            </w:tcBorders>
            <w:noWrap/>
            <w:vAlign w:val="bottom"/>
          </w:tcPr>
          <w:p w:rsidR="00FC6DD6" w:rsidRDefault="00FC6DD6" w:rsidP="00FC6DD6">
            <w:pPr>
              <w:keepNext/>
              <w:keepLines/>
              <w:rPr>
                <w:sz w:val="2"/>
              </w:rPr>
            </w:pPr>
          </w:p>
        </w:tc>
        <w:tc>
          <w:tcPr>
            <w:tcW w:w="410" w:type="pct"/>
            <w:tcBorders>
              <w:top w:val="nil"/>
              <w:left w:val="nil"/>
              <w:bottom w:val="nil"/>
              <w:right w:val="nil"/>
            </w:tcBorders>
            <w:noWrap/>
            <w:vAlign w:val="bottom"/>
          </w:tcPr>
          <w:p w:rsidR="00FC6DD6" w:rsidRDefault="00FC6DD6" w:rsidP="00FC6DD6">
            <w:pPr>
              <w:keepNext/>
              <w:keepLines/>
              <w:rPr>
                <w:sz w:val="2"/>
              </w:rPr>
            </w:pPr>
          </w:p>
        </w:tc>
        <w:tc>
          <w:tcPr>
            <w:tcW w:w="68" w:type="pct"/>
            <w:tcBorders>
              <w:top w:val="nil"/>
              <w:left w:val="nil"/>
              <w:bottom w:val="nil"/>
              <w:right w:val="nil"/>
            </w:tcBorders>
            <w:noWrap/>
            <w:vAlign w:val="bottom"/>
          </w:tcPr>
          <w:p w:rsidR="00FC6DD6" w:rsidRDefault="00FC6DD6" w:rsidP="00FC6DD6">
            <w:pPr>
              <w:keepNext/>
              <w:keepLines/>
              <w:rPr>
                <w:sz w:val="2"/>
              </w:rPr>
            </w:pPr>
          </w:p>
        </w:tc>
      </w:tr>
      <w:tr w:rsidR="00FC6DD6" w:rsidTr="00FC6DD6">
        <w:tc>
          <w:tcPr>
            <w:tcW w:w="2241"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1450" w:type="pct"/>
            <w:gridSpan w:val="7"/>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 xml:space="preserve">Three Months Ended </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9"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1011" w:type="pct"/>
            <w:gridSpan w:val="5"/>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 xml:space="preserve">Nine Months Ended </w:t>
            </w:r>
          </w:p>
        </w:tc>
      </w:tr>
      <w:tr w:rsidR="00FC6DD6" w:rsidTr="00FC6DD6">
        <w:tc>
          <w:tcPr>
            <w:tcW w:w="2241"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xml:space="preserve"> </w:t>
            </w:r>
          </w:p>
        </w:tc>
        <w:tc>
          <w:tcPr>
            <w:tcW w:w="83"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425" w:type="pct"/>
            <w:tcBorders>
              <w:top w:val="nil"/>
              <w:left w:val="nil"/>
              <w:bottom w:val="nil"/>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September 30, </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June 30, </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September 30, </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9"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30" w:type="pct"/>
            <w:tcBorders>
              <w:top w:val="nil"/>
              <w:left w:val="nil"/>
              <w:bottom w:val="nil"/>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September 30, </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20"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September 30, </w:t>
            </w:r>
          </w:p>
        </w:tc>
        <w:tc>
          <w:tcPr>
            <w:tcW w:w="68" w:type="pct"/>
            <w:tcBorders>
              <w:top w:val="nil"/>
              <w:left w:val="nil"/>
              <w:bottom w:val="nil"/>
              <w:right w:val="nil"/>
              <w:tl2br w:val="nil"/>
              <w:tr2bl w:val="nil"/>
            </w:tcBorders>
            <w:shd w:val="clear" w:color="auto" w:fill="auto"/>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r>
      <w:tr w:rsidR="00FC6DD6" w:rsidTr="00FC6DD6">
        <w:tc>
          <w:tcPr>
            <w:tcW w:w="2241"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xml:space="preserve"> </w:t>
            </w:r>
          </w:p>
        </w:tc>
        <w:tc>
          <w:tcPr>
            <w:tcW w:w="83" w:type="pct"/>
            <w:tcBorders>
              <w:top w:val="nil"/>
              <w:left w:val="nil"/>
              <w:bottom w:val="nil"/>
              <w:right w:val="nil"/>
              <w:tl2br w:val="nil"/>
              <w:tr2bl w:val="nil"/>
            </w:tcBorders>
            <w:shd w:val="clear" w:color="auto" w:fill="auto"/>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25"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2023</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2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2023</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2022</w:t>
            </w:r>
          </w:p>
        </w:tc>
        <w:tc>
          <w:tcPr>
            <w:tcW w:w="83"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9" w:type="pct"/>
            <w:tcBorders>
              <w:top w:val="nil"/>
              <w:left w:val="nil"/>
              <w:bottom w:val="nil"/>
              <w:right w:val="nil"/>
              <w:tl2br w:val="nil"/>
              <w:tr2bl w:val="nil"/>
            </w:tcBorders>
            <w:shd w:val="clear" w:color="auto" w:fill="auto"/>
            <w:noWrap/>
            <w:vAlign w:val="bottom"/>
          </w:tcPr>
          <w:p w:rsidR="00FC6DD6" w:rsidRDefault="00FC6DD6" w:rsidP="00FC6DD6">
            <w:pPr>
              <w:keepNext/>
              <w:keepLines/>
              <w:rPr>
                <w:b/>
                <w:color w:val="000000"/>
                <w:sz w:val="16"/>
              </w:rPr>
            </w:pPr>
          </w:p>
        </w:tc>
        <w:tc>
          <w:tcPr>
            <w:tcW w:w="43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2023</w:t>
            </w:r>
          </w:p>
        </w:tc>
        <w:tc>
          <w:tcPr>
            <w:tcW w:w="83"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rPr>
                <w:b/>
                <w:color w:val="000000"/>
                <w:sz w:val="16"/>
              </w:rPr>
            </w:pPr>
          </w:p>
        </w:tc>
        <w:tc>
          <w:tcPr>
            <w:tcW w:w="2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rPr>
                <w:b/>
                <w:color w:val="000000"/>
                <w:sz w:val="16"/>
              </w:rPr>
            </w:pPr>
          </w:p>
        </w:tc>
        <w:tc>
          <w:tcPr>
            <w:tcW w:w="410" w:type="pct"/>
            <w:tcBorders>
              <w:top w:val="nil"/>
              <w:left w:val="nil"/>
              <w:bottom w:val="single" w:sz="4" w:space="0" w:color="000000"/>
              <w:right w:val="nil"/>
              <w:tl2br w:val="nil"/>
              <w:tr2bl w:val="nil"/>
            </w:tcBorders>
            <w:shd w:val="clear" w:color="auto" w:fill="auto"/>
            <w:noWrap/>
            <w:vAlign w:val="bottom"/>
          </w:tcPr>
          <w:p w:rsidR="00FC6DD6" w:rsidRDefault="00FC6DD6" w:rsidP="00FC6DD6">
            <w:pPr>
              <w:keepNext/>
              <w:keepLines/>
              <w:jc w:val="center"/>
              <w:rPr>
                <w:b/>
                <w:color w:val="000000"/>
                <w:sz w:val="16"/>
              </w:rPr>
            </w:pPr>
            <w:r>
              <w:rPr>
                <w:rFonts w:ascii="Times New Roman" w:eastAsia="Times New Roman" w:hAnsi="Times New Roman" w:cs="Times New Roman"/>
                <w:b/>
                <w:color w:val="000000"/>
                <w:sz w:val="16"/>
              </w:rPr>
              <w:t>2022</w:t>
            </w:r>
          </w:p>
        </w:tc>
        <w:tc>
          <w:tcPr>
            <w:tcW w:w="68" w:type="pct"/>
            <w:tcBorders>
              <w:top w:val="nil"/>
              <w:left w:val="nil"/>
              <w:bottom w:val="nil"/>
              <w:right w:val="nil"/>
              <w:tl2br w:val="nil"/>
              <w:tr2bl w:val="nil"/>
            </w:tcBorders>
            <w:shd w:val="clear" w:color="auto" w:fill="auto"/>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r>
      <w:tr w:rsidR="00FC6DD6" w:rsidTr="00FC6DD6">
        <w:tc>
          <w:tcPr>
            <w:tcW w:w="2241" w:type="pct"/>
            <w:tcBorders>
              <w:top w:val="nil"/>
              <w:left w:val="nil"/>
              <w:bottom w:val="nil"/>
              <w:right w:val="nil"/>
              <w:tl2br w:val="nil"/>
              <w:tr2bl w:val="nil"/>
            </w:tcBorders>
            <w:shd w:val="clear" w:color="auto" w:fill="CCEEFF"/>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Operating expense as a % of average assets - as reported</w:t>
            </w:r>
          </w:p>
        </w:tc>
        <w:tc>
          <w:tcPr>
            <w:tcW w:w="83" w:type="pct"/>
            <w:tcBorders>
              <w:top w:val="nil"/>
              <w:left w:val="nil"/>
              <w:bottom w:val="nil"/>
              <w:right w:val="nil"/>
              <w:tl2br w:val="nil"/>
              <w:tr2bl w:val="nil"/>
            </w:tcBorders>
            <w:shd w:val="clear" w:color="auto" w:fill="CCEEFF"/>
            <w:vAlign w:val="bottom"/>
          </w:tcPr>
          <w:p w:rsidR="00FC6DD6" w:rsidRDefault="00FC6DD6" w:rsidP="00FC6DD6">
            <w:pPr>
              <w:keepNext/>
              <w:keepLines/>
              <w:rPr>
                <w:b/>
                <w:color w:val="000000"/>
                <w:sz w:val="16"/>
              </w:rPr>
            </w:pP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425"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1.73</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1.53</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1.54</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c>
          <w:tcPr>
            <w:tcW w:w="49"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30"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1.56</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1.63</w:t>
            </w:r>
          </w:p>
        </w:tc>
        <w:tc>
          <w:tcPr>
            <w:tcW w:w="68"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w:t>
            </w:r>
          </w:p>
        </w:tc>
      </w:tr>
      <w:tr w:rsidR="00FC6DD6" w:rsidTr="00FC6DD6">
        <w:tc>
          <w:tcPr>
            <w:tcW w:w="2241" w:type="pct"/>
            <w:tcBorders>
              <w:top w:val="nil"/>
              <w:left w:val="nil"/>
              <w:bottom w:val="nil"/>
              <w:right w:val="nil"/>
              <w:tl2br w:val="nil"/>
              <w:tr2bl w:val="nil"/>
            </w:tcBorders>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Loss on extinguishment of debt</w:t>
            </w:r>
          </w:p>
        </w:tc>
        <w:tc>
          <w:tcPr>
            <w:tcW w:w="83" w:type="pct"/>
            <w:tcBorders>
              <w:top w:val="nil"/>
              <w:left w:val="nil"/>
              <w:bottom w:val="nil"/>
              <w:right w:val="nil"/>
              <w:tl2br w:val="nil"/>
              <w:tr2bl w:val="nil"/>
            </w:tcBorders>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25" w:type="pct"/>
            <w:tcBorders>
              <w:top w:val="nil"/>
              <w:left w:val="nil"/>
              <w:bottom w:val="nil"/>
              <w:right w:val="nil"/>
              <w:tl2br w:val="nil"/>
              <w:tr2bl w:val="nil"/>
            </w:tcBorders>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3"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10" w:type="pct"/>
            <w:tcBorders>
              <w:top w:val="nil"/>
              <w:left w:val="nil"/>
              <w:bottom w:val="nil"/>
              <w:right w:val="nil"/>
              <w:tl2br w:val="nil"/>
              <w:tr2bl w:val="nil"/>
            </w:tcBorders>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3"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9"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30" w:type="pct"/>
            <w:tcBorders>
              <w:top w:val="nil"/>
              <w:left w:val="nil"/>
              <w:bottom w:val="nil"/>
              <w:right w:val="nil"/>
              <w:tl2br w:val="nil"/>
              <w:tr2bl w:val="nil"/>
            </w:tcBorders>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(0.01)</w:t>
            </w:r>
          </w:p>
        </w:tc>
        <w:tc>
          <w:tcPr>
            <w:tcW w:w="68"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r>
      <w:tr w:rsidR="00FC6DD6" w:rsidTr="00FC6DD6">
        <w:tc>
          <w:tcPr>
            <w:tcW w:w="2241" w:type="pct"/>
            <w:tcBorders>
              <w:top w:val="nil"/>
              <w:left w:val="nil"/>
              <w:bottom w:val="nil"/>
              <w:right w:val="nil"/>
              <w:tl2br w:val="nil"/>
              <w:tr2bl w:val="nil"/>
            </w:tcBorders>
            <w:shd w:val="clear" w:color="auto" w:fill="CCEEFF"/>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Severance</w:t>
            </w:r>
          </w:p>
        </w:tc>
        <w:tc>
          <w:tcPr>
            <w:tcW w:w="83" w:type="pct"/>
            <w:tcBorders>
              <w:top w:val="nil"/>
              <w:left w:val="nil"/>
              <w:bottom w:val="nil"/>
              <w:right w:val="nil"/>
              <w:tl2br w:val="nil"/>
              <w:tr2bl w:val="nil"/>
            </w:tcBorders>
            <w:shd w:val="clear" w:color="auto" w:fill="CCEEFF"/>
          </w:tcPr>
          <w:p w:rsidR="00FC6DD6" w:rsidRDefault="00FC6DD6" w:rsidP="00FC6DD6">
            <w:pPr>
              <w:keepNext/>
              <w:keepLines/>
              <w:rPr>
                <w:color w:val="000000"/>
                <w:sz w:val="16"/>
              </w:rPr>
            </w:pP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25" w:type="pct"/>
            <w:tcBorders>
              <w:top w:val="nil"/>
              <w:left w:val="nil"/>
              <w:bottom w:val="nil"/>
              <w:right w:val="nil"/>
              <w:tl2br w:val="nil"/>
              <w:tr2bl w:val="nil"/>
            </w:tcBorders>
            <w:shd w:val="clear" w:color="auto" w:fill="CCEEFF"/>
            <w:noWrap/>
            <w:vAlign w:val="bottom"/>
          </w:tcPr>
          <w:p w:rsidR="00FC6DD6" w:rsidRDefault="00FC6DD6" w:rsidP="00FC6DD6">
            <w:pPr>
              <w:keepNext/>
              <w:keepLines/>
              <w:jc w:val="right"/>
              <w:rPr>
                <w:b/>
                <w:color w:val="000000"/>
                <w:sz w:val="16"/>
              </w:rPr>
            </w:pPr>
            <w:r>
              <w:rPr>
                <w:rFonts w:ascii="Times New Roman" w:eastAsia="Times New Roman" w:hAnsi="Times New Roman" w:cs="Times New Roman"/>
                <w:b/>
                <w:color w:val="000000"/>
                <w:sz w:val="16"/>
              </w:rPr>
              <w:t xml:space="preserve"> (0.25)</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(0.01)</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9"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30" w:type="pct"/>
            <w:tcBorders>
              <w:top w:val="nil"/>
              <w:left w:val="nil"/>
              <w:bottom w:val="nil"/>
              <w:right w:val="nil"/>
              <w:tl2br w:val="nil"/>
              <w:tr2bl w:val="nil"/>
            </w:tcBorders>
            <w:shd w:val="clear" w:color="auto" w:fill="CCEEFF"/>
            <w:noWrap/>
            <w:vAlign w:val="bottom"/>
          </w:tcPr>
          <w:p w:rsidR="00FC6DD6" w:rsidRDefault="00FC6DD6" w:rsidP="00FC6DD6">
            <w:pPr>
              <w:keepNext/>
              <w:keepLines/>
              <w:jc w:val="right"/>
              <w:rPr>
                <w:b/>
                <w:color w:val="000000"/>
                <w:sz w:val="16"/>
              </w:rPr>
            </w:pPr>
            <w:r>
              <w:rPr>
                <w:rFonts w:ascii="Times New Roman" w:eastAsia="Times New Roman" w:hAnsi="Times New Roman" w:cs="Times New Roman"/>
                <w:b/>
                <w:color w:val="000000"/>
                <w:sz w:val="16"/>
              </w:rPr>
              <w:t xml:space="preserve"> (0.09)</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nil"/>
              <w:right w:val="nil"/>
              <w:tl2br w:val="nil"/>
              <w:tr2bl w:val="nil"/>
            </w:tcBorders>
            <w:shd w:val="clear" w:color="auto" w:fill="CCEEFF"/>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(0.02)</w:t>
            </w:r>
          </w:p>
        </w:tc>
        <w:tc>
          <w:tcPr>
            <w:tcW w:w="68"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r>
      <w:tr w:rsidR="00FC6DD6" w:rsidTr="00FC6DD6">
        <w:tc>
          <w:tcPr>
            <w:tcW w:w="2241" w:type="pct"/>
            <w:tcBorders>
              <w:top w:val="nil"/>
              <w:left w:val="nil"/>
              <w:bottom w:val="nil"/>
              <w:right w:val="nil"/>
              <w:tl2br w:val="nil"/>
              <w:tr2bl w:val="nil"/>
            </w:tcBorders>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Amortization of other intangible assets</w:t>
            </w:r>
          </w:p>
        </w:tc>
        <w:tc>
          <w:tcPr>
            <w:tcW w:w="83" w:type="pct"/>
            <w:tcBorders>
              <w:top w:val="nil"/>
              <w:left w:val="nil"/>
              <w:bottom w:val="nil"/>
              <w:right w:val="nil"/>
              <w:tl2br w:val="nil"/>
              <w:tr2bl w:val="nil"/>
            </w:tcBorders>
            <w:vAlign w:val="bottom"/>
          </w:tcPr>
          <w:p w:rsidR="00FC6DD6" w:rsidRDefault="00FC6DD6" w:rsidP="00FC6DD6">
            <w:pPr>
              <w:keepNext/>
              <w:keepLines/>
              <w:rPr>
                <w:color w:val="000000"/>
                <w:sz w:val="16"/>
              </w:rPr>
            </w:pP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25" w:type="pct"/>
            <w:tcBorders>
              <w:top w:val="nil"/>
              <w:left w:val="nil"/>
              <w:bottom w:val="single" w:sz="4" w:space="0" w:color="000000"/>
              <w:right w:val="nil"/>
              <w:tl2br w:val="nil"/>
              <w:tr2bl w:val="nil"/>
            </w:tcBorders>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10" w:type="pct"/>
            <w:tcBorders>
              <w:top w:val="nil"/>
              <w:left w:val="nil"/>
              <w:bottom w:val="single" w:sz="4" w:space="0" w:color="000000"/>
              <w:right w:val="nil"/>
              <w:tl2br w:val="nil"/>
              <w:tr2bl w:val="nil"/>
            </w:tcBorders>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(0.01)</w:t>
            </w:r>
          </w:p>
        </w:tc>
        <w:tc>
          <w:tcPr>
            <w:tcW w:w="83"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10" w:type="pct"/>
            <w:tcBorders>
              <w:top w:val="nil"/>
              <w:left w:val="nil"/>
              <w:bottom w:val="single" w:sz="4" w:space="0" w:color="000000"/>
              <w:right w:val="nil"/>
              <w:tl2br w:val="nil"/>
              <w:tr2bl w:val="nil"/>
            </w:tcBorders>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(0.01)</w:t>
            </w:r>
          </w:p>
        </w:tc>
        <w:tc>
          <w:tcPr>
            <w:tcW w:w="83"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9"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c>
          <w:tcPr>
            <w:tcW w:w="430" w:type="pct"/>
            <w:tcBorders>
              <w:top w:val="nil"/>
              <w:left w:val="nil"/>
              <w:bottom w:val="single" w:sz="4" w:space="0" w:color="000000"/>
              <w:right w:val="nil"/>
              <w:tl2br w:val="nil"/>
              <w:tr2bl w:val="nil"/>
            </w:tcBorders>
            <w:noWrap/>
            <w:vAlign w:val="bottom"/>
          </w:tcPr>
          <w:p w:rsidR="00FC6DD6" w:rsidRDefault="00FC6DD6" w:rsidP="00FC6DD6">
            <w:pPr>
              <w:keepNext/>
              <w:keepLines/>
              <w:jc w:val="right"/>
              <w:rPr>
                <w:b/>
                <w:color w:val="000000"/>
                <w:sz w:val="16"/>
              </w:rPr>
            </w:pPr>
            <w:r>
              <w:rPr>
                <w:rFonts w:ascii="Times New Roman" w:eastAsia="Times New Roman" w:hAnsi="Times New Roman" w:cs="Times New Roman"/>
                <w:b/>
                <w:color w:val="000000"/>
                <w:sz w:val="16"/>
              </w:rPr>
              <w:t xml:space="preserve"> (0.01)</w:t>
            </w:r>
          </w:p>
        </w:tc>
        <w:tc>
          <w:tcPr>
            <w:tcW w:w="83"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20" w:type="pct"/>
            <w:tcBorders>
              <w:top w:val="nil"/>
              <w:left w:val="nil"/>
              <w:bottom w:val="nil"/>
              <w:right w:val="nil"/>
              <w:tl2br w:val="nil"/>
              <w:tr2bl w:val="nil"/>
            </w:tcBorders>
            <w:noWrap/>
            <w:vAlign w:val="bottom"/>
          </w:tcPr>
          <w:p w:rsidR="00FC6DD6" w:rsidRDefault="00FC6DD6" w:rsidP="00FC6DD6">
            <w:pPr>
              <w:keepNext/>
              <w:keepLines/>
              <w:rPr>
                <w:b/>
                <w:color w:val="000000"/>
                <w:sz w:val="16"/>
              </w:rPr>
            </w:pPr>
          </w:p>
        </w:tc>
        <w:tc>
          <w:tcPr>
            <w:tcW w:w="410" w:type="pct"/>
            <w:tcBorders>
              <w:top w:val="nil"/>
              <w:left w:val="nil"/>
              <w:bottom w:val="single" w:sz="4" w:space="0" w:color="000000"/>
              <w:right w:val="nil"/>
              <w:tl2br w:val="nil"/>
              <w:tr2bl w:val="nil"/>
            </w:tcBorders>
            <w:noWrap/>
            <w:vAlign w:val="bottom"/>
          </w:tcPr>
          <w:p w:rsidR="00FC6DD6" w:rsidRDefault="00FC6DD6" w:rsidP="00FC6DD6">
            <w:pPr>
              <w:keepNext/>
              <w:keepLines/>
              <w:jc w:val="right"/>
              <w:rPr>
                <w:color w:val="000000"/>
                <w:sz w:val="16"/>
              </w:rPr>
            </w:pPr>
            <w:r>
              <w:rPr>
                <w:rFonts w:ascii="Times New Roman" w:eastAsia="Times New Roman" w:hAnsi="Times New Roman" w:cs="Times New Roman"/>
                <w:color w:val="000000"/>
                <w:sz w:val="16"/>
              </w:rPr>
              <w:t xml:space="preserve"> (0.02)</w:t>
            </w:r>
          </w:p>
        </w:tc>
        <w:tc>
          <w:tcPr>
            <w:tcW w:w="68" w:type="pct"/>
            <w:tcBorders>
              <w:top w:val="nil"/>
              <w:left w:val="nil"/>
              <w:bottom w:val="nil"/>
              <w:right w:val="nil"/>
              <w:tl2br w:val="nil"/>
              <w:tr2bl w:val="nil"/>
            </w:tcBorders>
            <w:noWrap/>
            <w:vAlign w:val="bottom"/>
          </w:tcPr>
          <w:p w:rsidR="00FC6DD6" w:rsidRDefault="00FC6DD6" w:rsidP="00FC6DD6">
            <w:pPr>
              <w:keepNext/>
              <w:keepLines/>
              <w:rPr>
                <w:color w:val="000000"/>
                <w:sz w:val="16"/>
              </w:rPr>
            </w:pPr>
          </w:p>
        </w:tc>
      </w:tr>
      <w:tr w:rsidR="00FC6DD6" w:rsidTr="00FC6DD6">
        <w:tc>
          <w:tcPr>
            <w:tcW w:w="2241" w:type="pct"/>
            <w:tcBorders>
              <w:top w:val="nil"/>
              <w:left w:val="nil"/>
              <w:bottom w:val="nil"/>
              <w:right w:val="nil"/>
              <w:tl2br w:val="nil"/>
              <w:tr2bl w:val="nil"/>
            </w:tcBorders>
            <w:shd w:val="clear" w:color="auto" w:fill="CCEEFF"/>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Adjusted operating expense as a % of average assets (non-GAAP)</w:t>
            </w:r>
          </w:p>
        </w:tc>
        <w:tc>
          <w:tcPr>
            <w:tcW w:w="83" w:type="pct"/>
            <w:tcBorders>
              <w:top w:val="nil"/>
              <w:left w:val="nil"/>
              <w:bottom w:val="nil"/>
              <w:right w:val="nil"/>
              <w:tl2br w:val="nil"/>
              <w:tr2bl w:val="nil"/>
            </w:tcBorders>
            <w:shd w:val="clear" w:color="auto" w:fill="CCEEFF"/>
            <w:vAlign w:val="bottom"/>
          </w:tcPr>
          <w:p w:rsidR="00FC6DD6" w:rsidRDefault="00FC6DD6" w:rsidP="00FC6DD6">
            <w:pPr>
              <w:keepNext/>
              <w:keepLines/>
              <w:rPr>
                <w:b/>
                <w:color w:val="000000"/>
                <w:sz w:val="16"/>
              </w:rPr>
            </w:pP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425" w:type="pct"/>
            <w:tcBorders>
              <w:top w:val="nil"/>
              <w:left w:val="nil"/>
              <w:bottom w:val="double" w:sz="4" w:space="0" w:color="000000"/>
              <w:right w:val="nil"/>
              <w:tl2br w:val="nil"/>
              <w:tr2bl w:val="nil"/>
            </w:tcBorders>
            <w:shd w:val="clear" w:color="auto" w:fill="CCEEFF"/>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1.48</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r>
              <w:rPr>
                <w:rFonts w:ascii="Times New Roman" w:eastAsia="Times New Roman" w:hAnsi="Times New Roman" w:cs="Times New Roman"/>
                <w:b/>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double" w:sz="4" w:space="0" w:color="000000"/>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1.51</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10" w:type="pct"/>
            <w:tcBorders>
              <w:top w:val="nil"/>
              <w:left w:val="nil"/>
              <w:bottom w:val="double" w:sz="4" w:space="0" w:color="000000"/>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1.53</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c>
          <w:tcPr>
            <w:tcW w:w="49"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p>
        </w:tc>
        <w:tc>
          <w:tcPr>
            <w:tcW w:w="430" w:type="pct"/>
            <w:tcBorders>
              <w:top w:val="nil"/>
              <w:left w:val="nil"/>
              <w:bottom w:val="double" w:sz="4" w:space="0" w:color="000000"/>
              <w:right w:val="nil"/>
              <w:tl2br w:val="nil"/>
              <w:tr2bl w:val="nil"/>
            </w:tcBorders>
            <w:shd w:val="clear" w:color="auto" w:fill="CCEEFF"/>
            <w:noWrap/>
            <w:vAlign w:val="bottom"/>
          </w:tcPr>
          <w:p w:rsidR="00FC6DD6" w:rsidRDefault="00FC6DD6" w:rsidP="00FC6DD6">
            <w:pPr>
              <w:keepNext/>
              <w:keepLines/>
              <w:ind w:right="60"/>
              <w:jc w:val="right"/>
              <w:rPr>
                <w:b/>
                <w:color w:val="000000"/>
                <w:sz w:val="16"/>
              </w:rPr>
            </w:pPr>
            <w:r>
              <w:rPr>
                <w:rFonts w:ascii="Times New Roman" w:eastAsia="Times New Roman" w:hAnsi="Times New Roman" w:cs="Times New Roman"/>
                <w:b/>
                <w:color w:val="000000"/>
                <w:sz w:val="16"/>
              </w:rPr>
              <w:t xml:space="preserve"> 1.46</w:t>
            </w:r>
          </w:p>
        </w:tc>
        <w:tc>
          <w:tcPr>
            <w:tcW w:w="83"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c>
          <w:tcPr>
            <w:tcW w:w="20" w:type="pct"/>
            <w:tcBorders>
              <w:top w:val="nil"/>
              <w:left w:val="nil"/>
              <w:bottom w:val="nil"/>
              <w:right w:val="nil"/>
              <w:tl2br w:val="nil"/>
              <w:tr2bl w:val="nil"/>
            </w:tcBorders>
            <w:shd w:val="clear" w:color="auto" w:fill="CCEEFF"/>
            <w:noWrap/>
            <w:vAlign w:val="bottom"/>
          </w:tcPr>
          <w:p w:rsidR="00FC6DD6" w:rsidRDefault="00FC6DD6" w:rsidP="00FC6DD6">
            <w:pPr>
              <w:keepNext/>
              <w:keepLines/>
              <w:rPr>
                <w:b/>
                <w:color w:val="000000"/>
                <w:sz w:val="16"/>
              </w:rPr>
            </w:pPr>
          </w:p>
        </w:tc>
        <w:tc>
          <w:tcPr>
            <w:tcW w:w="410" w:type="pct"/>
            <w:tcBorders>
              <w:top w:val="nil"/>
              <w:left w:val="nil"/>
              <w:bottom w:val="double" w:sz="4" w:space="0" w:color="000000"/>
              <w:right w:val="nil"/>
              <w:tl2br w:val="nil"/>
              <w:tr2bl w:val="nil"/>
            </w:tcBorders>
            <w:shd w:val="clear" w:color="auto" w:fill="CCEEFF"/>
            <w:noWrap/>
            <w:vAlign w:val="bottom"/>
          </w:tcPr>
          <w:p w:rsidR="00FC6DD6" w:rsidRDefault="00FC6DD6" w:rsidP="00FC6DD6">
            <w:pPr>
              <w:keepNext/>
              <w:keepLines/>
              <w:ind w:right="60"/>
              <w:jc w:val="right"/>
              <w:rPr>
                <w:color w:val="000000"/>
                <w:sz w:val="16"/>
              </w:rPr>
            </w:pPr>
            <w:r>
              <w:rPr>
                <w:rFonts w:ascii="Times New Roman" w:eastAsia="Times New Roman" w:hAnsi="Times New Roman" w:cs="Times New Roman"/>
                <w:color w:val="000000"/>
                <w:sz w:val="16"/>
              </w:rPr>
              <w:t xml:space="preserve"> 1.58</w:t>
            </w:r>
          </w:p>
        </w:tc>
        <w:tc>
          <w:tcPr>
            <w:tcW w:w="68" w:type="pct"/>
            <w:tcBorders>
              <w:top w:val="nil"/>
              <w:left w:val="nil"/>
              <w:bottom w:val="nil"/>
              <w:right w:val="nil"/>
              <w:tl2br w:val="nil"/>
              <w:tr2bl w:val="nil"/>
            </w:tcBorders>
            <w:shd w:val="clear" w:color="auto" w:fill="CCEEFF"/>
            <w:noWrap/>
            <w:vAlign w:val="bottom"/>
          </w:tcPr>
          <w:p w:rsidR="00FC6DD6" w:rsidRDefault="00FC6DD6" w:rsidP="00FC6DD6">
            <w:pPr>
              <w:keepNext/>
              <w:keepLines/>
              <w:rPr>
                <w:color w:val="000000"/>
                <w:sz w:val="16"/>
              </w:rPr>
            </w:pPr>
            <w:r>
              <w:rPr>
                <w:rFonts w:ascii="Times New Roman" w:eastAsia="Times New Roman" w:hAnsi="Times New Roman" w:cs="Times New Roman"/>
                <w:color w:val="000000"/>
                <w:sz w:val="16"/>
              </w:rPr>
              <w:t>%  </w:t>
            </w:r>
          </w:p>
        </w:tc>
      </w:tr>
    </w:tbl>
    <w:p w:rsidR="00D409E6" w:rsidRDefault="00D409E6" w:rsidP="008262DF">
      <w:pPr>
        <w:keepNext/>
        <w:keepLines/>
        <w:jc w:val="both"/>
        <w:rPr>
          <w:rFonts w:ascii="Times New Roman" w:eastAsia="Times New Roman" w:hAnsi="Times New Roman" w:cs="Times New Roman"/>
          <w:szCs w:val="24"/>
        </w:rPr>
      </w:pPr>
    </w:p>
    <w:p w:rsidR="001B3D85" w:rsidRDefault="00166ABC" w:rsidP="008262DF">
      <w:pPr>
        <w:keepNext/>
        <w:keepLines/>
        <w:jc w:val="both"/>
        <w:rPr>
          <w:rFonts w:ascii="Times New Roman" w:eastAsia="Times New Roman" w:hAnsi="Times New Roman" w:cs="Times New Roman"/>
          <w:szCs w:val="24"/>
        </w:rPr>
      </w:pPr>
      <w:r w:rsidRPr="00166ABC">
        <w:rPr>
          <w:rFonts w:ascii="Times New Roman" w:eastAsia="Times New Roman" w:hAnsi="Times New Roman" w:cs="Times New Roman"/>
          <w:szCs w:val="24"/>
        </w:rPr>
        <w:t>The following table presents a reconciliation of efficiency ratio (non-GAAP) and adjusted efficiency ratio (non-GAAP):</w:t>
      </w:r>
    </w:p>
    <w:p w:rsidR="008F3C67" w:rsidRDefault="008F3C67" w:rsidP="008262DF">
      <w:pPr>
        <w:keepNext/>
        <w:keepLines/>
        <w:jc w:val="both"/>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04"/>
        <w:gridCol w:w="160"/>
        <w:gridCol w:w="132"/>
        <w:gridCol w:w="886"/>
        <w:gridCol w:w="240"/>
        <w:gridCol w:w="80"/>
        <w:gridCol w:w="542"/>
        <w:gridCol w:w="214"/>
        <w:gridCol w:w="132"/>
        <w:gridCol w:w="886"/>
        <w:gridCol w:w="214"/>
        <w:gridCol w:w="132"/>
        <w:gridCol w:w="886"/>
        <w:gridCol w:w="240"/>
        <w:gridCol w:w="132"/>
        <w:gridCol w:w="886"/>
        <w:gridCol w:w="134"/>
      </w:tblGrid>
      <w:tr w:rsidR="008F58A3" w:rsidTr="008F58A3">
        <w:trPr>
          <w:trHeight w:hRule="exact" w:val="20"/>
        </w:trPr>
        <w:tc>
          <w:tcPr>
            <w:tcW w:w="2335" w:type="pct"/>
            <w:tcBorders>
              <w:top w:val="nil"/>
              <w:left w:val="nil"/>
              <w:bottom w:val="nil"/>
              <w:right w:val="nil"/>
            </w:tcBorders>
            <w:vAlign w:val="bottom"/>
          </w:tcPr>
          <w:p w:rsidR="008F58A3" w:rsidRDefault="008F58A3" w:rsidP="008F58A3">
            <w:pPr>
              <w:keepNext/>
              <w:keepLines/>
              <w:rPr>
                <w:sz w:val="2"/>
              </w:rPr>
            </w:pPr>
          </w:p>
        </w:tc>
        <w:tc>
          <w:tcPr>
            <w:tcW w:w="8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8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8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8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86" w:type="pct"/>
            <w:tcBorders>
              <w:top w:val="nil"/>
              <w:left w:val="nil"/>
              <w:bottom w:val="nil"/>
              <w:right w:val="nil"/>
            </w:tcBorders>
            <w:noWrap/>
            <w:vAlign w:val="bottom"/>
          </w:tcPr>
          <w:p w:rsidR="008F58A3" w:rsidRDefault="008F58A3" w:rsidP="008F58A3">
            <w:pPr>
              <w:keepNext/>
              <w:keepLines/>
              <w:rPr>
                <w:sz w:val="2"/>
              </w:rPr>
            </w:pPr>
          </w:p>
        </w:tc>
        <w:tc>
          <w:tcPr>
            <w:tcW w:w="56" w:type="pct"/>
            <w:tcBorders>
              <w:top w:val="nil"/>
              <w:left w:val="nil"/>
              <w:bottom w:val="nil"/>
              <w:right w:val="nil"/>
            </w:tcBorders>
            <w:noWrap/>
            <w:vAlign w:val="bottom"/>
          </w:tcPr>
          <w:p w:rsidR="008F58A3" w:rsidRDefault="008F58A3" w:rsidP="008F58A3">
            <w:pPr>
              <w:keepNext/>
              <w:keepLines/>
              <w:rPr>
                <w:sz w:val="2"/>
              </w:rPr>
            </w:pPr>
          </w:p>
        </w:tc>
        <w:tc>
          <w:tcPr>
            <w:tcW w:w="376" w:type="pct"/>
            <w:tcBorders>
              <w:top w:val="nil"/>
              <w:left w:val="nil"/>
              <w:bottom w:val="nil"/>
              <w:right w:val="nil"/>
            </w:tcBorders>
            <w:noWrap/>
            <w:vAlign w:val="bottom"/>
          </w:tcPr>
          <w:p w:rsidR="008F58A3" w:rsidRDefault="008F58A3" w:rsidP="008F58A3">
            <w:pPr>
              <w:keepNext/>
              <w:keepLines/>
              <w:rPr>
                <w:sz w:val="2"/>
              </w:rPr>
            </w:pPr>
          </w:p>
        </w:tc>
        <w:tc>
          <w:tcPr>
            <w:tcW w:w="71" w:type="pct"/>
            <w:tcBorders>
              <w:top w:val="nil"/>
              <w:left w:val="nil"/>
              <w:bottom w:val="nil"/>
              <w:right w:val="nil"/>
            </w:tcBorders>
            <w:noWrap/>
            <w:vAlign w:val="bottom"/>
          </w:tcPr>
          <w:p w:rsidR="008F58A3" w:rsidRDefault="008F58A3" w:rsidP="008F58A3">
            <w:pPr>
              <w:keepNext/>
              <w:keepLines/>
              <w:rPr>
                <w:sz w:val="2"/>
              </w:rPr>
            </w:pPr>
          </w:p>
        </w:tc>
      </w:tr>
      <w:tr w:rsidR="008F58A3" w:rsidTr="008F58A3">
        <w:tc>
          <w:tcPr>
            <w:tcW w:w="2335" w:type="pct"/>
            <w:tcBorders>
              <w:top w:val="nil"/>
              <w:left w:val="nil"/>
              <w:bottom w:val="nil"/>
              <w:right w:val="nil"/>
              <w:tl2br w:val="nil"/>
              <w:tr2bl w:val="nil"/>
            </w:tcBorders>
            <w:shd w:val="clear" w:color="auto" w:fill="auto"/>
            <w:vAlign w:val="bottom"/>
          </w:tcPr>
          <w:p w:rsidR="008F58A3" w:rsidRDefault="008F58A3" w:rsidP="008F58A3">
            <w:pPr>
              <w:keepNext/>
              <w:keepLines/>
              <w:rPr>
                <w:color w:val="000000"/>
                <w:sz w:val="16"/>
              </w:rPr>
            </w:pP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1470" w:type="pct"/>
            <w:gridSpan w:val="8"/>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xml:space="preserve">Three Months Ended </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951" w:type="pct"/>
            <w:gridSpan w:val="5"/>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xml:space="preserve">Nine Months Ended </w:t>
            </w:r>
          </w:p>
        </w:tc>
        <w:tc>
          <w:tcPr>
            <w:tcW w:w="7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6"/>
              </w:rPr>
            </w:pPr>
            <w:r>
              <w:rPr>
                <w:rFonts w:ascii="Times New Roman" w:eastAsia="Times New Roman" w:hAnsi="Times New Roman" w:cs="Times New Roman"/>
                <w:color w:val="000000"/>
                <w:sz w:val="16"/>
              </w:rPr>
              <w:t> </w:t>
            </w:r>
          </w:p>
        </w:tc>
      </w:tr>
      <w:tr w:rsidR="008F58A3" w:rsidTr="008F58A3">
        <w:tc>
          <w:tcPr>
            <w:tcW w:w="2335" w:type="pct"/>
            <w:tcBorders>
              <w:top w:val="nil"/>
              <w:left w:val="nil"/>
              <w:bottom w:val="nil"/>
              <w:right w:val="nil"/>
              <w:tl2br w:val="nil"/>
              <w:tr2bl w:val="nil"/>
            </w:tcBorders>
            <w:shd w:val="clear" w:color="auto" w:fill="auto"/>
            <w:vAlign w:val="bottom"/>
          </w:tcPr>
          <w:p w:rsidR="008F58A3" w:rsidRDefault="008F58A3" w:rsidP="008F58A3">
            <w:pPr>
              <w:keepNext/>
              <w:keepLines/>
              <w:rPr>
                <w:color w:val="000000"/>
                <w:sz w:val="16"/>
              </w:rPr>
            </w:pP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June 30, </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32"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7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6"/>
              </w:rPr>
            </w:pPr>
            <w:r>
              <w:rPr>
                <w:rFonts w:ascii="Times New Roman" w:eastAsia="Times New Roman" w:hAnsi="Times New Roman" w:cs="Times New Roman"/>
                <w:color w:val="000000"/>
                <w:sz w:val="16"/>
              </w:rPr>
              <w:t> </w:t>
            </w:r>
          </w:p>
        </w:tc>
      </w:tr>
      <w:tr w:rsidR="008F58A3" w:rsidTr="008F58A3">
        <w:tc>
          <w:tcPr>
            <w:tcW w:w="2335" w:type="pct"/>
            <w:tcBorders>
              <w:top w:val="nil"/>
              <w:left w:val="nil"/>
              <w:bottom w:val="nil"/>
              <w:right w:val="nil"/>
              <w:tl2br w:val="nil"/>
              <w:tr2bl w:val="nil"/>
            </w:tcBorders>
            <w:shd w:val="clear" w:color="auto" w:fill="auto"/>
            <w:vAlign w:val="bottom"/>
          </w:tcPr>
          <w:p w:rsidR="008F58A3" w:rsidRDefault="008F58A3" w:rsidP="008F58A3">
            <w:pPr>
              <w:keepNext/>
              <w:keepLines/>
              <w:rPr>
                <w:color w:val="000000"/>
                <w:sz w:val="16"/>
              </w:rPr>
            </w:pP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2022</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b/>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86" w:type="pct"/>
            <w:tcBorders>
              <w:top w:val="nil"/>
              <w:left w:val="nil"/>
              <w:bottom w:val="nil"/>
              <w:right w:val="nil"/>
              <w:tl2br w:val="nil"/>
              <w:tr2bl w:val="nil"/>
            </w:tcBorders>
            <w:shd w:val="clear" w:color="auto" w:fill="auto"/>
            <w:noWrap/>
            <w:vAlign w:val="bottom"/>
          </w:tcPr>
          <w:p w:rsidR="008F58A3" w:rsidRDefault="008F58A3" w:rsidP="008F58A3">
            <w:pPr>
              <w:keepNext/>
              <w:keepLines/>
              <w:rPr>
                <w:color w:val="000000"/>
                <w:sz w:val="16"/>
              </w:rPr>
            </w:pPr>
          </w:p>
        </w:tc>
        <w:tc>
          <w:tcPr>
            <w:tcW w:w="432"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2022</w:t>
            </w:r>
          </w:p>
        </w:tc>
        <w:tc>
          <w:tcPr>
            <w:tcW w:w="71"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color w:val="000000"/>
                <w:sz w:val="16"/>
              </w:rPr>
            </w:pPr>
            <w:r>
              <w:rPr>
                <w:rFonts w:ascii="Times New Roman" w:eastAsia="Times New Roman" w:hAnsi="Times New Roman" w:cs="Times New Roman"/>
                <w:color w:val="000000"/>
                <w:sz w:val="16"/>
              </w:rPr>
              <w:t> </w:t>
            </w: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Efficiency ratio - as reported (non-GAAP)</w:t>
            </w:r>
            <w:r>
              <w:rPr>
                <w:rFonts w:ascii="Times New Roman" w:eastAsia="Times New Roman" w:hAnsi="Times New Roman" w:cs="Times New Roman"/>
                <w:b/>
                <w:color w:val="000000"/>
                <w:sz w:val="16"/>
                <w:vertAlign w:val="superscript"/>
              </w:rPr>
              <w:t xml:space="preserve"> (1)</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70.5</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57.6</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44.0</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59.0</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48.1</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Non-interest expense - as reported</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59,523</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52,186</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48,302</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159,184</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150,028</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Severance</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(8,562)</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(481)</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(9,068)</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(2,193)</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Loss on extinguishment of debt</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376"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(740)</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Amortization of other intangible assets</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(349)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(349)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(431)</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(1,075)</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(1,447)</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non-interest expense (non-GAAP)</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50,612</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51,356</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47,871</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149,041</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145,648</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Net interest income - as reported</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76,479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80,219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100,438</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242,450</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283,059</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Non-interest income - as reported</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7,928</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10,405</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9,362</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27,334</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28,689</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Loss on equity securities</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299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780</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1,079</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Net loss (gain) on sale of securities and other assets</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22</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(1,397)</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1,469</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(1,397)</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ind w:left="120"/>
              <w:rPr>
                <w:color w:val="000000"/>
                <w:sz w:val="16"/>
              </w:rPr>
            </w:pPr>
            <w:r>
              <w:rPr>
                <w:rFonts w:ascii="Times New Roman" w:eastAsia="Times New Roman" w:hAnsi="Times New Roman" w:cs="Times New Roman"/>
                <w:color w:val="000000"/>
                <w:sz w:val="16"/>
              </w:rPr>
              <w:t>Loss on termination of derivatives</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non-interest income (non-GAAP)</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8,249</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11,185</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7,965</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29,882</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27,292</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shd w:val="clear" w:color="auto" w:fill="CCEEFF"/>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Adjusted total revenues for adjusted efficiency ratio (non-GAAP)</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84,728</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91,404</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108,403</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272,332</w:t>
            </w:r>
          </w:p>
        </w:tc>
        <w:tc>
          <w:tcPr>
            <w:tcW w:w="8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376" w:type="pct"/>
            <w:tcBorders>
              <w:top w:val="nil"/>
              <w:left w:val="nil"/>
              <w:bottom w:val="sing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310,351</w:t>
            </w:r>
          </w:p>
        </w:tc>
        <w:tc>
          <w:tcPr>
            <w:tcW w:w="71"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335" w:type="pct"/>
            <w:tcBorders>
              <w:top w:val="nil"/>
              <w:left w:val="nil"/>
              <w:bottom w:val="nil"/>
              <w:right w:val="nil"/>
              <w:tl2br w:val="nil"/>
              <w:tr2bl w:val="nil"/>
            </w:tcBorders>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Adjusted efficiency ratio (non-GAAP)</w:t>
            </w:r>
            <w:r>
              <w:rPr>
                <w:rFonts w:ascii="Times New Roman" w:eastAsia="Times New Roman" w:hAnsi="Times New Roman" w:cs="Times New Roman"/>
                <w:b/>
                <w:color w:val="000000"/>
                <w:sz w:val="16"/>
                <w:vertAlign w:val="superscript"/>
              </w:rPr>
              <w:t xml:space="preserve"> (2) </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59.7</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56.2</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44.2</w:t>
            </w:r>
          </w:p>
        </w:tc>
        <w:tc>
          <w:tcPr>
            <w:tcW w:w="8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54.7</w:t>
            </w:r>
          </w:p>
        </w:tc>
        <w:tc>
          <w:tcPr>
            <w:tcW w:w="8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6"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37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46.9</w:t>
            </w:r>
          </w:p>
        </w:tc>
        <w:tc>
          <w:tcPr>
            <w:tcW w:w="71"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r>
    </w:tbl>
    <w:p w:rsidR="008F3C67" w:rsidRPr="008F3C67" w:rsidRDefault="007D008B" w:rsidP="008262DF">
      <w:pPr>
        <w:keepNext/>
        <w:keepLines/>
        <w:rPr>
          <w:rFonts w:ascii="Times New Roman" w:hAnsi="Times New Roman" w:cs="Times New Roman"/>
          <w:szCs w:val="24"/>
        </w:rPr>
      </w:pPr>
      <w:r>
        <w:rPr>
          <w:rFonts w:ascii="Times New Roman" w:hAnsi="Times New Roman" w:cs="Times New Roman"/>
          <w:szCs w:val="24"/>
        </w:rPr>
        <w:pict w14:anchorId="5CB27D72">
          <v:rect id="_x0000_i1032" style="width:135pt;height:.6pt" o:hrpct="250" o:hrstd="t" o:hrnoshade="t" o:hr="t" fillcolor="black [3213]" stroked="f"/>
        </w:pict>
      </w:r>
    </w:p>
    <w:p w:rsidR="008F3C67" w:rsidRPr="008F3C67" w:rsidRDefault="008F3C67" w:rsidP="008262DF">
      <w:pPr>
        <w:pStyle w:val="ListParagraph"/>
        <w:keepNext/>
        <w:keepLines/>
        <w:numPr>
          <w:ilvl w:val="0"/>
          <w:numId w:val="16"/>
        </w:numPr>
        <w:ind w:left="360"/>
        <w:jc w:val="both"/>
        <w:rPr>
          <w:rFonts w:ascii="Times New Roman" w:hAnsi="Times New Roman" w:cs="Times New Roman"/>
          <w:b/>
          <w:szCs w:val="24"/>
        </w:rPr>
      </w:pPr>
      <w:r w:rsidRPr="008F3C67">
        <w:rPr>
          <w:rFonts w:ascii="Times New Roman" w:hAnsi="Times New Roman" w:cs="Times New Roman"/>
          <w:szCs w:val="24"/>
        </w:rPr>
        <w:t xml:space="preserve">The reported efficiency ratio is a non-GAAP measure calculated by dividing GAAP non-interest expense by the sum of GAAP net interest income and GAAP non-interest </w:t>
      </w:r>
      <w:r w:rsidR="00072562">
        <w:rPr>
          <w:rFonts w:ascii="Times New Roman" w:hAnsi="Times New Roman" w:cs="Times New Roman"/>
          <w:szCs w:val="24"/>
        </w:rPr>
        <w:t>income</w:t>
      </w:r>
      <w:r w:rsidRPr="008F3C67">
        <w:rPr>
          <w:rFonts w:ascii="Times New Roman" w:hAnsi="Times New Roman" w:cs="Times New Roman"/>
          <w:szCs w:val="24"/>
        </w:rPr>
        <w:t>.</w:t>
      </w:r>
    </w:p>
    <w:p w:rsidR="008F3C67" w:rsidRDefault="008F3C67" w:rsidP="008262DF">
      <w:pPr>
        <w:pStyle w:val="ListParagraph"/>
        <w:keepNext/>
        <w:keepLines/>
        <w:numPr>
          <w:ilvl w:val="0"/>
          <w:numId w:val="16"/>
        </w:numPr>
        <w:ind w:left="360"/>
        <w:jc w:val="both"/>
        <w:rPr>
          <w:rFonts w:ascii="Times New Roman" w:hAnsi="Times New Roman" w:cs="Times New Roman"/>
          <w:bCs/>
          <w:szCs w:val="24"/>
        </w:rPr>
      </w:pPr>
      <w:r w:rsidRPr="008F3C67">
        <w:rPr>
          <w:rFonts w:ascii="Times New Roman" w:hAnsi="Times New Roman" w:cs="Times New Roman"/>
          <w:bCs/>
          <w:szCs w:val="24"/>
        </w:rPr>
        <w:t xml:space="preserve">The adjusted efficiency ratio is a non-GAAP measure calculated by dividing adjusted non-interest expense by the sum of </w:t>
      </w:r>
      <w:r w:rsidR="005C6D53">
        <w:rPr>
          <w:rFonts w:ascii="Times New Roman" w:hAnsi="Times New Roman" w:cs="Times New Roman"/>
          <w:bCs/>
          <w:szCs w:val="24"/>
        </w:rPr>
        <w:t xml:space="preserve">GAAP </w:t>
      </w:r>
      <w:r w:rsidRPr="008F3C67">
        <w:rPr>
          <w:rFonts w:ascii="Times New Roman" w:hAnsi="Times New Roman" w:cs="Times New Roman"/>
          <w:bCs/>
          <w:szCs w:val="24"/>
        </w:rPr>
        <w:t>net interest income and adjusted non-interest income.</w:t>
      </w:r>
    </w:p>
    <w:p w:rsidR="008F3C67" w:rsidRDefault="008F3C67">
      <w:pPr>
        <w:rPr>
          <w:rFonts w:asciiTheme="majorHAnsi" w:hAnsiTheme="majorHAnsi" w:cstheme="majorHAnsi"/>
        </w:rPr>
      </w:pPr>
    </w:p>
    <w:p w:rsidR="008F3C67" w:rsidRDefault="008F3C67" w:rsidP="002442A8">
      <w:pPr>
        <w:keepNext/>
        <w:keepLines/>
        <w:jc w:val="both"/>
        <w:rPr>
          <w:rFonts w:ascii="Times New Roman" w:hAnsi="Times New Roman" w:cs="Times New Roman"/>
          <w:szCs w:val="24"/>
        </w:rPr>
      </w:pPr>
      <w:r>
        <w:rPr>
          <w:rFonts w:ascii="Times New Roman" w:hAnsi="Times New Roman" w:cs="Times New Roman"/>
          <w:szCs w:val="24"/>
        </w:rPr>
        <w:t xml:space="preserve">The following table presents the tangible </w:t>
      </w:r>
      <w:r w:rsidR="00501E0E">
        <w:rPr>
          <w:rFonts w:ascii="Times New Roman" w:hAnsi="Times New Roman" w:cs="Times New Roman"/>
          <w:szCs w:val="24"/>
        </w:rPr>
        <w:t>common equity</w:t>
      </w:r>
      <w:r w:rsidR="004B5CA4">
        <w:rPr>
          <w:rFonts w:ascii="Times New Roman" w:hAnsi="Times New Roman" w:cs="Times New Roman"/>
          <w:szCs w:val="24"/>
        </w:rPr>
        <w:t xml:space="preserve"> to tangible assets</w:t>
      </w:r>
      <w:r w:rsidR="00501E0E">
        <w:rPr>
          <w:rFonts w:ascii="Times New Roman" w:hAnsi="Times New Roman" w:cs="Times New Roman"/>
          <w:szCs w:val="24"/>
        </w:rPr>
        <w:t>,</w:t>
      </w:r>
      <w:r w:rsidR="00E90EDD">
        <w:rPr>
          <w:rFonts w:ascii="Times New Roman" w:hAnsi="Times New Roman" w:cs="Times New Roman"/>
          <w:szCs w:val="24"/>
        </w:rPr>
        <w:t xml:space="preserve"> </w:t>
      </w:r>
      <w:r w:rsidR="004B5CA4">
        <w:rPr>
          <w:rFonts w:ascii="Times New Roman" w:hAnsi="Times New Roman" w:cs="Times New Roman"/>
          <w:szCs w:val="24"/>
        </w:rPr>
        <w:t xml:space="preserve">tangible equity to tangible assets, </w:t>
      </w:r>
      <w:r w:rsidR="00E90EDD">
        <w:rPr>
          <w:rFonts w:ascii="Times New Roman" w:hAnsi="Times New Roman" w:cs="Times New Roman"/>
          <w:szCs w:val="24"/>
        </w:rPr>
        <w:t xml:space="preserve">and </w:t>
      </w:r>
      <w:r w:rsidR="005C6D53">
        <w:rPr>
          <w:rFonts w:ascii="Times New Roman" w:hAnsi="Times New Roman" w:cs="Times New Roman"/>
          <w:szCs w:val="24"/>
        </w:rPr>
        <w:t xml:space="preserve">tangible </w:t>
      </w:r>
      <w:r>
        <w:rPr>
          <w:rFonts w:ascii="Times New Roman" w:hAnsi="Times New Roman" w:cs="Times New Roman"/>
          <w:szCs w:val="24"/>
        </w:rPr>
        <w:t xml:space="preserve">common </w:t>
      </w:r>
      <w:r w:rsidR="005C6D53">
        <w:rPr>
          <w:rFonts w:ascii="Times New Roman" w:hAnsi="Times New Roman" w:cs="Times New Roman"/>
          <w:szCs w:val="24"/>
        </w:rPr>
        <w:t>book value per share</w:t>
      </w:r>
      <w:r>
        <w:rPr>
          <w:rFonts w:ascii="Times New Roman" w:hAnsi="Times New Roman" w:cs="Times New Roman"/>
          <w:szCs w:val="24"/>
        </w:rPr>
        <w:t xml:space="preserve"> calculation</w:t>
      </w:r>
      <w:r w:rsidR="004B5CA4">
        <w:rPr>
          <w:rFonts w:ascii="Times New Roman" w:hAnsi="Times New Roman" w:cs="Times New Roman"/>
          <w:szCs w:val="24"/>
        </w:rPr>
        <w:t>s</w:t>
      </w:r>
      <w:r w:rsidR="009605D0">
        <w:rPr>
          <w:rFonts w:ascii="Times New Roman" w:hAnsi="Times New Roman" w:cs="Times New Roman"/>
          <w:szCs w:val="24"/>
        </w:rPr>
        <w:t xml:space="preserve"> </w:t>
      </w:r>
      <w:r>
        <w:rPr>
          <w:rFonts w:ascii="Times New Roman" w:hAnsi="Times New Roman" w:cs="Times New Roman"/>
          <w:szCs w:val="24"/>
        </w:rPr>
        <w:t>(non-GAAP):</w:t>
      </w:r>
    </w:p>
    <w:p w:rsidR="008F3C67" w:rsidRDefault="008F3C67" w:rsidP="002442A8">
      <w:pPr>
        <w:keepNext/>
        <w:keepLines/>
        <w:jc w:val="both"/>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59"/>
        <w:gridCol w:w="239"/>
        <w:gridCol w:w="144"/>
        <w:gridCol w:w="1086"/>
        <w:gridCol w:w="240"/>
        <w:gridCol w:w="143"/>
        <w:gridCol w:w="1086"/>
        <w:gridCol w:w="239"/>
        <w:gridCol w:w="145"/>
        <w:gridCol w:w="1005"/>
        <w:gridCol w:w="214"/>
      </w:tblGrid>
      <w:tr w:rsidR="008F58A3" w:rsidTr="008F58A3">
        <w:trPr>
          <w:trHeight w:hRule="exact" w:val="20"/>
        </w:trPr>
        <w:tc>
          <w:tcPr>
            <w:tcW w:w="2901" w:type="pct"/>
            <w:tcBorders>
              <w:top w:val="nil"/>
              <w:left w:val="nil"/>
              <w:bottom w:val="nil"/>
              <w:right w:val="nil"/>
            </w:tcBorders>
          </w:tcPr>
          <w:p w:rsidR="008F58A3" w:rsidRDefault="008F58A3" w:rsidP="008F58A3">
            <w:pPr>
              <w:keepNext/>
              <w:keepLines/>
              <w:rPr>
                <w:sz w:val="2"/>
              </w:rPr>
            </w:pPr>
          </w:p>
        </w:tc>
        <w:tc>
          <w:tcPr>
            <w:tcW w:w="114" w:type="pct"/>
            <w:tcBorders>
              <w:top w:val="nil"/>
              <w:left w:val="nil"/>
              <w:bottom w:val="nil"/>
              <w:right w:val="nil"/>
            </w:tcBorders>
            <w:noWrap/>
            <w:vAlign w:val="bottom"/>
          </w:tcPr>
          <w:p w:rsidR="008F58A3" w:rsidRDefault="008F58A3" w:rsidP="008F58A3">
            <w:pPr>
              <w:keepNext/>
              <w:keepLines/>
              <w:rPr>
                <w:sz w:val="2"/>
              </w:rPr>
            </w:pPr>
          </w:p>
        </w:tc>
        <w:tc>
          <w:tcPr>
            <w:tcW w:w="70" w:type="pct"/>
            <w:tcBorders>
              <w:top w:val="nil"/>
              <w:left w:val="nil"/>
              <w:bottom w:val="nil"/>
              <w:right w:val="nil"/>
            </w:tcBorders>
            <w:noWrap/>
            <w:vAlign w:val="bottom"/>
          </w:tcPr>
          <w:p w:rsidR="008F58A3" w:rsidRDefault="008F58A3" w:rsidP="008F58A3">
            <w:pPr>
              <w:keepNext/>
              <w:keepLines/>
              <w:rPr>
                <w:sz w:val="2"/>
              </w:rPr>
            </w:pPr>
          </w:p>
        </w:tc>
        <w:tc>
          <w:tcPr>
            <w:tcW w:w="506" w:type="pct"/>
            <w:tcBorders>
              <w:top w:val="nil"/>
              <w:left w:val="nil"/>
              <w:bottom w:val="nil"/>
              <w:right w:val="nil"/>
            </w:tcBorders>
            <w:noWrap/>
            <w:vAlign w:val="bottom"/>
          </w:tcPr>
          <w:p w:rsidR="008F58A3" w:rsidRDefault="008F58A3" w:rsidP="008F58A3">
            <w:pPr>
              <w:keepNext/>
              <w:keepLines/>
              <w:rPr>
                <w:sz w:val="2"/>
              </w:rPr>
            </w:pPr>
          </w:p>
        </w:tc>
        <w:tc>
          <w:tcPr>
            <w:tcW w:w="114" w:type="pct"/>
            <w:tcBorders>
              <w:top w:val="nil"/>
              <w:left w:val="nil"/>
              <w:bottom w:val="nil"/>
              <w:right w:val="nil"/>
            </w:tcBorders>
            <w:noWrap/>
            <w:vAlign w:val="bottom"/>
          </w:tcPr>
          <w:p w:rsidR="008F58A3" w:rsidRDefault="008F58A3" w:rsidP="008F58A3">
            <w:pPr>
              <w:keepNext/>
              <w:keepLines/>
              <w:rPr>
                <w:sz w:val="2"/>
              </w:rPr>
            </w:pPr>
          </w:p>
        </w:tc>
        <w:tc>
          <w:tcPr>
            <w:tcW w:w="70" w:type="pct"/>
            <w:tcBorders>
              <w:top w:val="nil"/>
              <w:left w:val="nil"/>
              <w:bottom w:val="nil"/>
              <w:right w:val="nil"/>
            </w:tcBorders>
            <w:noWrap/>
            <w:vAlign w:val="bottom"/>
          </w:tcPr>
          <w:p w:rsidR="008F58A3" w:rsidRDefault="008F58A3" w:rsidP="008F58A3">
            <w:pPr>
              <w:keepNext/>
              <w:keepLines/>
              <w:rPr>
                <w:sz w:val="2"/>
              </w:rPr>
            </w:pPr>
          </w:p>
        </w:tc>
        <w:tc>
          <w:tcPr>
            <w:tcW w:w="506" w:type="pct"/>
            <w:tcBorders>
              <w:top w:val="nil"/>
              <w:left w:val="nil"/>
              <w:bottom w:val="nil"/>
              <w:right w:val="nil"/>
            </w:tcBorders>
            <w:noWrap/>
            <w:vAlign w:val="bottom"/>
          </w:tcPr>
          <w:p w:rsidR="008F58A3" w:rsidRDefault="008F58A3" w:rsidP="008F58A3">
            <w:pPr>
              <w:keepNext/>
              <w:keepLines/>
              <w:rPr>
                <w:sz w:val="2"/>
              </w:rPr>
            </w:pPr>
          </w:p>
        </w:tc>
        <w:tc>
          <w:tcPr>
            <w:tcW w:w="114" w:type="pct"/>
            <w:tcBorders>
              <w:top w:val="nil"/>
              <w:left w:val="nil"/>
              <w:bottom w:val="nil"/>
              <w:right w:val="nil"/>
            </w:tcBorders>
            <w:noWrap/>
            <w:vAlign w:val="bottom"/>
          </w:tcPr>
          <w:p w:rsidR="008F58A3" w:rsidRDefault="008F58A3" w:rsidP="008F58A3">
            <w:pPr>
              <w:keepNext/>
              <w:keepLines/>
              <w:rPr>
                <w:sz w:val="2"/>
              </w:rPr>
            </w:pPr>
          </w:p>
        </w:tc>
        <w:tc>
          <w:tcPr>
            <w:tcW w:w="70" w:type="pct"/>
            <w:tcBorders>
              <w:top w:val="nil"/>
              <w:left w:val="nil"/>
              <w:bottom w:val="nil"/>
              <w:right w:val="nil"/>
            </w:tcBorders>
            <w:noWrap/>
            <w:vAlign w:val="bottom"/>
          </w:tcPr>
          <w:p w:rsidR="008F58A3" w:rsidRDefault="008F58A3" w:rsidP="008F58A3">
            <w:pPr>
              <w:keepNext/>
              <w:keepLines/>
              <w:rPr>
                <w:sz w:val="2"/>
              </w:rPr>
            </w:pPr>
          </w:p>
        </w:tc>
        <w:tc>
          <w:tcPr>
            <w:tcW w:w="468" w:type="pct"/>
            <w:tcBorders>
              <w:top w:val="nil"/>
              <w:left w:val="nil"/>
              <w:bottom w:val="nil"/>
              <w:right w:val="nil"/>
            </w:tcBorders>
            <w:noWrap/>
            <w:vAlign w:val="bottom"/>
          </w:tcPr>
          <w:p w:rsidR="008F58A3" w:rsidRDefault="008F58A3" w:rsidP="008F58A3">
            <w:pPr>
              <w:keepNext/>
              <w:keepLines/>
              <w:rPr>
                <w:sz w:val="2"/>
              </w:rPr>
            </w:pPr>
          </w:p>
        </w:tc>
        <w:tc>
          <w:tcPr>
            <w:tcW w:w="70" w:type="pct"/>
            <w:tcBorders>
              <w:top w:val="nil"/>
              <w:left w:val="nil"/>
              <w:bottom w:val="nil"/>
              <w:right w:val="nil"/>
            </w:tcBorders>
            <w:noWrap/>
            <w:vAlign w:val="bottom"/>
          </w:tcPr>
          <w:p w:rsidR="008F58A3" w:rsidRDefault="008F58A3" w:rsidP="008F58A3">
            <w:pPr>
              <w:keepNext/>
              <w:keepLines/>
              <w:rPr>
                <w:sz w:val="2"/>
              </w:rPr>
            </w:pPr>
          </w:p>
        </w:tc>
      </w:tr>
      <w:tr w:rsidR="008F58A3" w:rsidTr="008F58A3">
        <w:tc>
          <w:tcPr>
            <w:tcW w:w="2901" w:type="pct"/>
            <w:tcBorders>
              <w:top w:val="nil"/>
              <w:left w:val="nil"/>
              <w:bottom w:val="nil"/>
              <w:right w:val="nil"/>
              <w:tl2br w:val="nil"/>
              <w:tr2bl w:val="nil"/>
            </w:tcBorders>
            <w:shd w:val="clear" w:color="auto" w:fill="auto"/>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w:t>
            </w:r>
          </w:p>
        </w:tc>
        <w:tc>
          <w:tcPr>
            <w:tcW w:w="575"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w:t>
            </w:r>
          </w:p>
        </w:tc>
        <w:tc>
          <w:tcPr>
            <w:tcW w:w="575"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June 30, </w:t>
            </w: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    </w:t>
            </w:r>
          </w:p>
        </w:tc>
        <w:tc>
          <w:tcPr>
            <w:tcW w:w="537" w:type="pct"/>
            <w:gridSpan w:val="2"/>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September 30, </w:t>
            </w:r>
          </w:p>
        </w:tc>
        <w:tc>
          <w:tcPr>
            <w:tcW w:w="70"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rPr>
            </w:pPr>
            <w:r>
              <w:rPr>
                <w:rFonts w:ascii="Times New Roman" w:eastAsia="Times New Roman" w:hAnsi="Times New Roman" w:cs="Times New Roman"/>
                <w:b/>
                <w:color w:val="000000"/>
              </w:rPr>
              <w:t> </w:t>
            </w:r>
          </w:p>
        </w:tc>
      </w:tr>
      <w:tr w:rsidR="008F58A3" w:rsidTr="008F58A3">
        <w:tc>
          <w:tcPr>
            <w:tcW w:w="2901" w:type="pct"/>
            <w:tcBorders>
              <w:top w:val="nil"/>
              <w:left w:val="nil"/>
              <w:bottom w:val="nil"/>
              <w:right w:val="nil"/>
              <w:tl2br w:val="nil"/>
              <w:tr2bl w:val="nil"/>
            </w:tcBorders>
            <w:shd w:val="clear" w:color="auto" w:fill="auto"/>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p>
        </w:tc>
        <w:tc>
          <w:tcPr>
            <w:tcW w:w="575"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p>
        </w:tc>
        <w:tc>
          <w:tcPr>
            <w:tcW w:w="575"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2023</w:t>
            </w:r>
          </w:p>
        </w:tc>
        <w:tc>
          <w:tcPr>
            <w:tcW w:w="114"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sz w:val="16"/>
              </w:rPr>
            </w:pPr>
          </w:p>
        </w:tc>
        <w:tc>
          <w:tcPr>
            <w:tcW w:w="537" w:type="pct"/>
            <w:gridSpan w:val="2"/>
            <w:tcBorders>
              <w:top w:val="nil"/>
              <w:left w:val="nil"/>
              <w:bottom w:val="single" w:sz="4" w:space="0" w:color="000000"/>
              <w:right w:val="nil"/>
              <w:tl2br w:val="nil"/>
              <w:tr2bl w:val="nil"/>
            </w:tcBorders>
            <w:shd w:val="clear" w:color="auto" w:fill="auto"/>
            <w:noWrap/>
            <w:vAlign w:val="bottom"/>
          </w:tcPr>
          <w:p w:rsidR="008F58A3" w:rsidRDefault="008F58A3" w:rsidP="008F58A3">
            <w:pPr>
              <w:keepNext/>
              <w:keepLines/>
              <w:jc w:val="center"/>
              <w:rPr>
                <w:b/>
                <w:color w:val="000000"/>
                <w:sz w:val="16"/>
              </w:rPr>
            </w:pPr>
            <w:r>
              <w:rPr>
                <w:rFonts w:ascii="Times New Roman" w:eastAsia="Times New Roman" w:hAnsi="Times New Roman" w:cs="Times New Roman"/>
                <w:b/>
                <w:color w:val="000000"/>
                <w:sz w:val="16"/>
              </w:rPr>
              <w:t>2022</w:t>
            </w:r>
          </w:p>
        </w:tc>
        <w:tc>
          <w:tcPr>
            <w:tcW w:w="70" w:type="pct"/>
            <w:tcBorders>
              <w:top w:val="nil"/>
              <w:left w:val="nil"/>
              <w:bottom w:val="nil"/>
              <w:right w:val="nil"/>
              <w:tl2br w:val="nil"/>
              <w:tr2bl w:val="nil"/>
            </w:tcBorders>
            <w:shd w:val="clear" w:color="auto" w:fill="auto"/>
            <w:noWrap/>
            <w:vAlign w:val="bottom"/>
          </w:tcPr>
          <w:p w:rsidR="008F58A3" w:rsidRDefault="008F58A3" w:rsidP="008F58A3">
            <w:pPr>
              <w:keepNext/>
              <w:keepLines/>
              <w:jc w:val="center"/>
              <w:rPr>
                <w:b/>
                <w:color w:val="000000"/>
              </w:rPr>
            </w:pPr>
            <w:r>
              <w:rPr>
                <w:rFonts w:ascii="Times New Roman" w:eastAsia="Times New Roman" w:hAnsi="Times New Roman" w:cs="Times New Roman"/>
                <w:b/>
                <w:color w:val="000000"/>
              </w:rPr>
              <w:t> </w:t>
            </w: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b/>
                <w:color w:val="000000"/>
                <w:sz w:val="16"/>
                <w:u w:val="single"/>
              </w:rPr>
            </w:pPr>
            <w:r>
              <w:rPr>
                <w:rFonts w:ascii="Times New Roman" w:eastAsia="Times New Roman" w:hAnsi="Times New Roman" w:cs="Times New Roman"/>
                <w:b/>
                <w:color w:val="000000"/>
                <w:sz w:val="16"/>
                <w:u w:val="single"/>
              </w:rPr>
              <w:t>Reconciliation of Tangible Assets:</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u w:val="single"/>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Total assets</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13,651,405</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13,802,862</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12,885,903</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Goodwill</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(155,797)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(155,797)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(155,797)</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Other intangible assets</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(5,409)</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(5,758)</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(6,915)</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assets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13,490,199</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13,641,307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12,723,191</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b/>
                <w:color w:val="000000"/>
                <w:sz w:val="16"/>
                <w:u w:val="single"/>
              </w:rPr>
            </w:pPr>
            <w:r>
              <w:rPr>
                <w:rFonts w:ascii="Times New Roman" w:eastAsia="Times New Roman" w:hAnsi="Times New Roman" w:cs="Times New Roman"/>
                <w:b/>
                <w:color w:val="000000"/>
                <w:sz w:val="16"/>
                <w:u w:val="single"/>
              </w:rPr>
              <w:t>Reconciliation of Tangible Common Equity - Consolidated:</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Total stockholders' equity</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1,204,344</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1,202,503</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1,140,791</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Goodwill</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(155,797)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(155,797)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(155,797)</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Other intangible assets</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(5,409)</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(5,758)</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(6,915)</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equity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1,043,138</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1,040,948</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978,079</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Preferred stock, net</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b/>
                <w:color w:val="000000"/>
                <w:sz w:val="16"/>
              </w:rPr>
            </w:pPr>
            <w:r>
              <w:rPr>
                <w:rFonts w:ascii="Times New Roman" w:eastAsia="Times New Roman" w:hAnsi="Times New Roman" w:cs="Times New Roman"/>
                <w:b/>
                <w:color w:val="000000"/>
                <w:sz w:val="16"/>
              </w:rPr>
              <w:t xml:space="preserve"> (116,569)</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(116,569)</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single" w:sz="4" w:space="0" w:color="000000"/>
              <w:right w:val="nil"/>
              <w:tl2br w:val="nil"/>
              <w:tr2bl w:val="nil"/>
            </w:tcBorders>
            <w:noWrap/>
            <w:vAlign w:val="bottom"/>
          </w:tcPr>
          <w:p w:rsidR="008F58A3" w:rsidRDefault="008F58A3" w:rsidP="008F58A3">
            <w:pPr>
              <w:keepNext/>
              <w:keepLines/>
              <w:jc w:val="right"/>
              <w:rPr>
                <w:color w:val="000000"/>
                <w:sz w:val="16"/>
              </w:rPr>
            </w:pPr>
            <w:r>
              <w:rPr>
                <w:rFonts w:ascii="Times New Roman" w:eastAsia="Times New Roman" w:hAnsi="Times New Roman" w:cs="Times New Roman"/>
                <w:color w:val="000000"/>
                <w:sz w:val="16"/>
              </w:rPr>
              <w:t xml:space="preserve"> (116,569)</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equity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926,569</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924,379</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861,510</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equity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926,569</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924,379</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861,510</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AOCI, net of deferred taxes</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106,913</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104,385</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93,036</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equity excluding AOCI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1,033,482</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1,028,764</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954,546</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equity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1,043,138</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1,040,948</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978,079</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xml:space="preserve">   AOCI, net of deferred taxes</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106,913</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506"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104,385</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single" w:sz="4" w:space="0" w:color="000000"/>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468" w:type="pct"/>
            <w:tcBorders>
              <w:top w:val="nil"/>
              <w:left w:val="nil"/>
              <w:bottom w:val="single" w:sz="4" w:space="0" w:color="000000"/>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93,036</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equity excluding AOCI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1,150,051</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1,145,333</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double" w:sz="4" w:space="0" w:color="000000"/>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1,071,115</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Common shares outstanding</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38,811</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38,803</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38,572</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jc w:val="right"/>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equity to tangible assets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6.87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6.78</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6.77</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  </w:t>
            </w: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equity excluding AOCI to tangible assets (non-GAAP)</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7.66</w:t>
            </w:r>
          </w:p>
        </w:tc>
        <w:tc>
          <w:tcPr>
            <w:tcW w:w="114"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7.54</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7.45</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equity to tangible assets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7.73</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7.63</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7.69</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equity excluding AOCI to tangible assets (non-GAAP)</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 xml:space="preserve"> 8.53</w:t>
            </w:r>
          </w:p>
        </w:tc>
        <w:tc>
          <w:tcPr>
            <w:tcW w:w="114"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8.40</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 xml:space="preserve"> 8.36</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b/>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jc w:val="right"/>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Book value per share</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r>
              <w:rPr>
                <w:rFonts w:ascii="Times New Roman" w:eastAsia="Times New Roman" w:hAnsi="Times New Roman" w:cs="Times New Roman"/>
                <w:b/>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28.03</w:t>
            </w:r>
          </w:p>
        </w:tc>
        <w:tc>
          <w:tcPr>
            <w:tcW w:w="114"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27.99</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r>
              <w:rPr>
                <w:rFonts w:ascii="Times New Roman" w:eastAsia="Times New Roman" w:hAnsi="Times New Roman" w:cs="Times New Roman"/>
                <w:color w:val="000000"/>
                <w:sz w:val="16"/>
              </w:rPr>
              <w:t>$</w:t>
            </w: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26.55</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22"/>
              </w:rPr>
            </w:pPr>
          </w:p>
        </w:tc>
      </w:tr>
      <w:tr w:rsidR="008F58A3" w:rsidTr="008F58A3">
        <w:tc>
          <w:tcPr>
            <w:tcW w:w="2901" w:type="pct"/>
            <w:tcBorders>
              <w:top w:val="nil"/>
              <w:left w:val="nil"/>
              <w:bottom w:val="nil"/>
              <w:right w:val="nil"/>
              <w:tl2br w:val="nil"/>
              <w:tr2bl w:val="nil"/>
            </w:tcBorders>
            <w:shd w:val="clear" w:color="auto" w:fill="CCEEFF"/>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book value per share (non-GAAP)</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23.87</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23.82</w:t>
            </w:r>
          </w:p>
        </w:tc>
        <w:tc>
          <w:tcPr>
            <w:tcW w:w="114"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shd w:val="clear" w:color="auto" w:fill="CCEEFF"/>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22.34</w:t>
            </w:r>
          </w:p>
        </w:tc>
        <w:tc>
          <w:tcPr>
            <w:tcW w:w="70" w:type="pct"/>
            <w:tcBorders>
              <w:top w:val="nil"/>
              <w:left w:val="nil"/>
              <w:bottom w:val="nil"/>
              <w:right w:val="nil"/>
              <w:tl2br w:val="nil"/>
              <w:tr2bl w:val="nil"/>
            </w:tcBorders>
            <w:shd w:val="clear" w:color="auto" w:fill="CCEEFF"/>
            <w:noWrap/>
            <w:vAlign w:val="bottom"/>
          </w:tcPr>
          <w:p w:rsidR="008F58A3" w:rsidRDefault="008F58A3" w:rsidP="008F58A3">
            <w:pPr>
              <w:keepNext/>
              <w:keepLines/>
              <w:rPr>
                <w:color w:val="000000"/>
              </w:rPr>
            </w:pPr>
          </w:p>
        </w:tc>
      </w:tr>
      <w:tr w:rsidR="008F58A3" w:rsidTr="008F58A3">
        <w:tc>
          <w:tcPr>
            <w:tcW w:w="2901" w:type="pct"/>
            <w:tcBorders>
              <w:top w:val="nil"/>
              <w:left w:val="nil"/>
              <w:bottom w:val="nil"/>
              <w:right w:val="nil"/>
              <w:tl2br w:val="nil"/>
              <w:tr2bl w:val="nil"/>
            </w:tcBorders>
          </w:tcPr>
          <w:p w:rsidR="008F58A3" w:rsidRDefault="008F58A3" w:rsidP="008F58A3">
            <w:pPr>
              <w:keepNext/>
              <w:keepLines/>
              <w:rPr>
                <w:color w:val="000000"/>
                <w:sz w:val="16"/>
              </w:rPr>
            </w:pPr>
            <w:r>
              <w:rPr>
                <w:rFonts w:ascii="Times New Roman" w:eastAsia="Times New Roman" w:hAnsi="Times New Roman" w:cs="Times New Roman"/>
                <w:color w:val="000000"/>
                <w:sz w:val="16"/>
              </w:rPr>
              <w:t>Tangible common book value per share excluding AOCI (non-GAAP)</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b/>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b/>
                <w:color w:val="000000"/>
                <w:sz w:val="16"/>
              </w:rPr>
            </w:pPr>
            <w:r>
              <w:rPr>
                <w:rFonts w:ascii="Times New Roman" w:eastAsia="Times New Roman" w:hAnsi="Times New Roman" w:cs="Times New Roman"/>
                <w:b/>
                <w:color w:val="000000"/>
                <w:sz w:val="16"/>
              </w:rPr>
              <w:t>26.63</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506"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26.51</w:t>
            </w:r>
          </w:p>
        </w:tc>
        <w:tc>
          <w:tcPr>
            <w:tcW w:w="114"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sz w:val="16"/>
              </w:rPr>
            </w:pPr>
          </w:p>
        </w:tc>
        <w:tc>
          <w:tcPr>
            <w:tcW w:w="468" w:type="pct"/>
            <w:tcBorders>
              <w:top w:val="nil"/>
              <w:left w:val="nil"/>
              <w:bottom w:val="nil"/>
              <w:right w:val="nil"/>
              <w:tl2br w:val="nil"/>
              <w:tr2bl w:val="nil"/>
            </w:tcBorders>
            <w:noWrap/>
            <w:vAlign w:val="bottom"/>
          </w:tcPr>
          <w:p w:rsidR="008F58A3" w:rsidRDefault="008F58A3" w:rsidP="008F58A3">
            <w:pPr>
              <w:keepNext/>
              <w:keepLines/>
              <w:ind w:right="60"/>
              <w:jc w:val="right"/>
              <w:rPr>
                <w:color w:val="000000"/>
                <w:sz w:val="16"/>
              </w:rPr>
            </w:pPr>
            <w:r>
              <w:rPr>
                <w:rFonts w:ascii="Times New Roman" w:eastAsia="Times New Roman" w:hAnsi="Times New Roman" w:cs="Times New Roman"/>
                <w:color w:val="000000"/>
                <w:sz w:val="16"/>
              </w:rPr>
              <w:t>24.75</w:t>
            </w:r>
          </w:p>
        </w:tc>
        <w:tc>
          <w:tcPr>
            <w:tcW w:w="70" w:type="pct"/>
            <w:tcBorders>
              <w:top w:val="nil"/>
              <w:left w:val="nil"/>
              <w:bottom w:val="nil"/>
              <w:right w:val="nil"/>
              <w:tl2br w:val="nil"/>
              <w:tr2bl w:val="nil"/>
            </w:tcBorders>
            <w:noWrap/>
            <w:vAlign w:val="bottom"/>
          </w:tcPr>
          <w:p w:rsidR="008F58A3" w:rsidRDefault="008F58A3" w:rsidP="008F58A3">
            <w:pPr>
              <w:keepNext/>
              <w:keepLines/>
              <w:rPr>
                <w:color w:val="000000"/>
              </w:rPr>
            </w:pPr>
          </w:p>
        </w:tc>
      </w:tr>
    </w:tbl>
    <w:p w:rsidR="001B3D85" w:rsidRPr="009313EB" w:rsidRDefault="001B3D85" w:rsidP="00804AE1">
      <w:pPr>
        <w:rPr>
          <w:rFonts w:asciiTheme="majorHAnsi" w:hAnsiTheme="majorHAnsi" w:cstheme="majorHAnsi"/>
        </w:rPr>
      </w:pPr>
    </w:p>
    <w:sectPr w:rsidR="001B3D85" w:rsidRPr="009313EB" w:rsidSect="00512BB0">
      <w:headerReference w:type="default" r:id="rId1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008B" w:rsidRDefault="007D008B" w:rsidP="00E711B8">
      <w:r>
        <w:separator/>
      </w:r>
    </w:p>
  </w:endnote>
  <w:endnote w:type="continuationSeparator" w:id="0">
    <w:p w:rsidR="007D008B" w:rsidRDefault="007D008B" w:rsidP="00E711B8">
      <w:r>
        <w:continuationSeparator/>
      </w:r>
    </w:p>
  </w:endnote>
  <w:endnote w:type="continuationNotice" w:id="1">
    <w:p w:rsidR="007D008B" w:rsidRDefault="007D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008B" w:rsidRDefault="007D008B" w:rsidP="00E711B8">
      <w:r>
        <w:separator/>
      </w:r>
    </w:p>
  </w:footnote>
  <w:footnote w:type="continuationSeparator" w:id="0">
    <w:p w:rsidR="007D008B" w:rsidRDefault="007D008B" w:rsidP="00E711B8">
      <w:r>
        <w:continuationSeparator/>
      </w:r>
    </w:p>
  </w:footnote>
  <w:footnote w:type="continuationNotice" w:id="1">
    <w:p w:rsidR="007D008B" w:rsidRDefault="007D0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1697" w:rsidRPr="00B164C0" w:rsidRDefault="00831697" w:rsidP="009848BF">
    <w:pPr>
      <w:pStyle w:val="Header"/>
      <w:spacing w:after="300"/>
      <w:jc w:val="right"/>
      <w:rPr>
        <w:rFonts w:ascii="Times New Roman" w:hAnsi="Times New Roman" w:cs="Times New Roman"/>
      </w:rPr>
    </w:pPr>
    <w:r w:rsidRPr="00B164C0">
      <w:rPr>
        <w:rFonts w:ascii="Times New Roman" w:hAnsi="Times New Roman" w:cs="Times New Roman"/>
      </w:rPr>
      <w:t xml:space="preserve">Page </w:t>
    </w:r>
    <w:sdt>
      <w:sdtPr>
        <w:rPr>
          <w:rFonts w:ascii="Times New Roman" w:hAnsi="Times New Roman" w:cs="Times New Roman"/>
        </w:rPr>
        <w:id w:val="425469368"/>
        <w:docPartObj>
          <w:docPartGallery w:val="Page Numbers (Top of Page)"/>
          <w:docPartUnique/>
        </w:docPartObj>
      </w:sdtPr>
      <w:sdtEndPr>
        <w:rPr>
          <w:noProof/>
        </w:rPr>
      </w:sdtEndPr>
      <w:sdtContent>
        <w:r w:rsidRPr="00B164C0">
          <w:rPr>
            <w:rFonts w:ascii="Times New Roman" w:hAnsi="Times New Roman" w:cs="Times New Roman"/>
          </w:rPr>
          <w:fldChar w:fldCharType="begin"/>
        </w:r>
        <w:r w:rsidRPr="00B164C0">
          <w:rPr>
            <w:rFonts w:ascii="Times New Roman" w:hAnsi="Times New Roman" w:cs="Times New Roman"/>
          </w:rPr>
          <w:instrText xml:space="preserve"> PAGE   \* MERGEFORMAT </w:instrText>
        </w:r>
        <w:r w:rsidRPr="00B164C0">
          <w:rPr>
            <w:rFonts w:ascii="Times New Roman" w:hAnsi="Times New Roman" w:cs="Times New Roman"/>
          </w:rPr>
          <w:fldChar w:fldCharType="separate"/>
        </w:r>
        <w:r w:rsidRPr="00B164C0">
          <w:rPr>
            <w:rFonts w:ascii="Times New Roman" w:hAnsi="Times New Roman" w:cs="Times New Roman"/>
            <w:noProof/>
          </w:rPr>
          <w:t>2</w:t>
        </w:r>
        <w:r w:rsidRPr="00B164C0">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50E57"/>
    <w:multiLevelType w:val="hybridMultilevel"/>
    <w:tmpl w:val="14B8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71D5"/>
    <w:multiLevelType w:val="hybridMultilevel"/>
    <w:tmpl w:val="9774D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F7A95"/>
    <w:multiLevelType w:val="hybridMultilevel"/>
    <w:tmpl w:val="4A5AD7D0"/>
    <w:lvl w:ilvl="0" w:tplc="B28C3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51EC5"/>
    <w:multiLevelType w:val="hybridMultilevel"/>
    <w:tmpl w:val="169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50CD3"/>
    <w:multiLevelType w:val="hybridMultilevel"/>
    <w:tmpl w:val="74AC7C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D8257C8"/>
    <w:multiLevelType w:val="hybridMultilevel"/>
    <w:tmpl w:val="B5E0FA78"/>
    <w:lvl w:ilvl="0" w:tplc="6BAAD400">
      <w:start w:val="1"/>
      <w:numFmt w:val="decimal"/>
      <w:lvlText w:val="(%1)"/>
      <w:lvlJc w:val="left"/>
      <w:pPr>
        <w:ind w:left="1440" w:hanging="360"/>
      </w:pPr>
      <w:rPr>
        <w:b w:val="0"/>
        <w:vertAlign w:val="superscrip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44DA2A28"/>
    <w:multiLevelType w:val="hybridMultilevel"/>
    <w:tmpl w:val="904C2CD2"/>
    <w:lvl w:ilvl="0" w:tplc="2EC0D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240C3"/>
    <w:multiLevelType w:val="hybridMultilevel"/>
    <w:tmpl w:val="51A6DA96"/>
    <w:lvl w:ilvl="0" w:tplc="B28C31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475150"/>
    <w:multiLevelType w:val="hybridMultilevel"/>
    <w:tmpl w:val="7B96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F442DA"/>
    <w:multiLevelType w:val="hybridMultilevel"/>
    <w:tmpl w:val="C4E4E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5343A2"/>
    <w:multiLevelType w:val="hybridMultilevel"/>
    <w:tmpl w:val="F1EC79B6"/>
    <w:lvl w:ilvl="0" w:tplc="B1825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02880"/>
    <w:multiLevelType w:val="hybridMultilevel"/>
    <w:tmpl w:val="F5B82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A467FE9"/>
    <w:multiLevelType w:val="hybridMultilevel"/>
    <w:tmpl w:val="CB14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05C4E"/>
    <w:multiLevelType w:val="hybridMultilevel"/>
    <w:tmpl w:val="A22057FE"/>
    <w:lvl w:ilvl="0" w:tplc="42D2F446">
      <w:start w:val="1"/>
      <w:numFmt w:val="decimal"/>
      <w:lvlText w:val="(%1)"/>
      <w:lvlJc w:val="left"/>
      <w:pPr>
        <w:ind w:left="720" w:hanging="36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435C66"/>
    <w:multiLevelType w:val="hybridMultilevel"/>
    <w:tmpl w:val="9AECB5E0"/>
    <w:lvl w:ilvl="0" w:tplc="E07A5092">
      <w:start w:val="1"/>
      <w:numFmt w:val="decimal"/>
      <w:lvlText w:val="(%1)"/>
      <w:lvlJc w:val="left"/>
      <w:pPr>
        <w:ind w:left="540" w:hanging="360"/>
      </w:pPr>
      <w:rPr>
        <w:b w:val="0"/>
        <w:vertAlign w:val="superscrip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15:restartNumberingAfterBreak="0">
    <w:nsid w:val="76C35D73"/>
    <w:multiLevelType w:val="hybridMultilevel"/>
    <w:tmpl w:val="AC46A058"/>
    <w:lvl w:ilvl="0" w:tplc="19C4C682">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858886">
    <w:abstractNumId w:val="0"/>
  </w:num>
  <w:num w:numId="2" w16cid:durableId="1703090789">
    <w:abstractNumId w:val="3"/>
  </w:num>
  <w:num w:numId="3" w16cid:durableId="210305949">
    <w:abstractNumId w:val="12"/>
  </w:num>
  <w:num w:numId="4" w16cid:durableId="1774084544">
    <w:abstractNumId w:val="6"/>
  </w:num>
  <w:num w:numId="5" w16cid:durableId="2116363814">
    <w:abstractNumId w:val="1"/>
  </w:num>
  <w:num w:numId="6" w16cid:durableId="369695844">
    <w:abstractNumId w:val="1"/>
  </w:num>
  <w:num w:numId="7" w16cid:durableId="2062359761">
    <w:abstractNumId w:val="11"/>
  </w:num>
  <w:num w:numId="8" w16cid:durableId="1487240349">
    <w:abstractNumId w:val="8"/>
  </w:num>
  <w:num w:numId="9" w16cid:durableId="997000714">
    <w:abstractNumId w:val="9"/>
  </w:num>
  <w:num w:numId="10" w16cid:durableId="1391467242">
    <w:abstractNumId w:val="15"/>
  </w:num>
  <w:num w:numId="11" w16cid:durableId="195242958">
    <w:abstractNumId w:val="2"/>
  </w:num>
  <w:num w:numId="12" w16cid:durableId="1564633589">
    <w:abstractNumId w:val="7"/>
  </w:num>
  <w:num w:numId="13" w16cid:durableId="1521428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075580">
    <w:abstractNumId w:val="4"/>
  </w:num>
  <w:num w:numId="15" w16cid:durableId="1329941829">
    <w:abstractNumId w:val="7"/>
  </w:num>
  <w:num w:numId="16" w16cid:durableId="938629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656036">
    <w:abstractNumId w:val="4"/>
  </w:num>
  <w:num w:numId="18" w16cid:durableId="612859703">
    <w:abstractNumId w:val="7"/>
  </w:num>
  <w:num w:numId="19" w16cid:durableId="1952857718">
    <w:abstractNumId w:val="4"/>
  </w:num>
  <w:num w:numId="20" w16cid:durableId="1046027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3158523">
    <w:abstractNumId w:val="4"/>
  </w:num>
  <w:num w:numId="22" w16cid:durableId="719786867">
    <w:abstractNumId w:val="7"/>
  </w:num>
  <w:num w:numId="23" w16cid:durableId="780606462">
    <w:abstractNumId w:val="10"/>
  </w:num>
  <w:num w:numId="24" w16cid:durableId="1998608503">
    <w:abstractNumId w:val="4"/>
  </w:num>
  <w:num w:numId="25" w16cid:durableId="1799377373">
    <w:abstractNumId w:val="7"/>
  </w:num>
  <w:num w:numId="26" w16cid:durableId="1444763551">
    <w:abstractNumId w:val="7"/>
  </w:num>
  <w:num w:numId="27" w16cid:durableId="792480299">
    <w:abstractNumId w:val="7"/>
  </w:num>
  <w:num w:numId="28" w16cid:durableId="989484932">
    <w:abstractNumId w:val="7"/>
  </w:num>
  <w:num w:numId="29" w16cid:durableId="1204827026">
    <w:abstractNumId w:val="7"/>
  </w:num>
  <w:num w:numId="30" w16cid:durableId="1636910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B9"/>
    <w:rsid w:val="000005BE"/>
    <w:rsid w:val="00002F0F"/>
    <w:rsid w:val="00003060"/>
    <w:rsid w:val="000033C7"/>
    <w:rsid w:val="000034C0"/>
    <w:rsid w:val="00004071"/>
    <w:rsid w:val="0000448D"/>
    <w:rsid w:val="0000529A"/>
    <w:rsid w:val="0000619E"/>
    <w:rsid w:val="00007E39"/>
    <w:rsid w:val="000100F9"/>
    <w:rsid w:val="00010504"/>
    <w:rsid w:val="000105BC"/>
    <w:rsid w:val="000114B4"/>
    <w:rsid w:val="00011DD6"/>
    <w:rsid w:val="00012629"/>
    <w:rsid w:val="00012694"/>
    <w:rsid w:val="000135F0"/>
    <w:rsid w:val="00013983"/>
    <w:rsid w:val="000140C6"/>
    <w:rsid w:val="00015778"/>
    <w:rsid w:val="0001584E"/>
    <w:rsid w:val="0001636C"/>
    <w:rsid w:val="00017D17"/>
    <w:rsid w:val="00021467"/>
    <w:rsid w:val="0002193E"/>
    <w:rsid w:val="00021FA2"/>
    <w:rsid w:val="00027243"/>
    <w:rsid w:val="00027913"/>
    <w:rsid w:val="000279B8"/>
    <w:rsid w:val="000310D4"/>
    <w:rsid w:val="00031211"/>
    <w:rsid w:val="00031895"/>
    <w:rsid w:val="00031896"/>
    <w:rsid w:val="00031E89"/>
    <w:rsid w:val="0003360F"/>
    <w:rsid w:val="00035BED"/>
    <w:rsid w:val="0003772A"/>
    <w:rsid w:val="00040ED0"/>
    <w:rsid w:val="000417B0"/>
    <w:rsid w:val="000417BB"/>
    <w:rsid w:val="00042D03"/>
    <w:rsid w:val="00042F07"/>
    <w:rsid w:val="000439D0"/>
    <w:rsid w:val="000442ED"/>
    <w:rsid w:val="000453F4"/>
    <w:rsid w:val="00045D19"/>
    <w:rsid w:val="00046A8B"/>
    <w:rsid w:val="00047094"/>
    <w:rsid w:val="00047669"/>
    <w:rsid w:val="00047781"/>
    <w:rsid w:val="00047DB8"/>
    <w:rsid w:val="00050756"/>
    <w:rsid w:val="000515B8"/>
    <w:rsid w:val="00051E74"/>
    <w:rsid w:val="00052FDC"/>
    <w:rsid w:val="000530D1"/>
    <w:rsid w:val="00053D4D"/>
    <w:rsid w:val="0005528E"/>
    <w:rsid w:val="000555CB"/>
    <w:rsid w:val="0005562F"/>
    <w:rsid w:val="000561AE"/>
    <w:rsid w:val="00060701"/>
    <w:rsid w:val="000614F3"/>
    <w:rsid w:val="00061789"/>
    <w:rsid w:val="00061A02"/>
    <w:rsid w:val="00061A96"/>
    <w:rsid w:val="00063C2D"/>
    <w:rsid w:val="00063D75"/>
    <w:rsid w:val="00064861"/>
    <w:rsid w:val="00064A87"/>
    <w:rsid w:val="00064C48"/>
    <w:rsid w:val="000656EC"/>
    <w:rsid w:val="00065CCC"/>
    <w:rsid w:val="00066A1C"/>
    <w:rsid w:val="00067B54"/>
    <w:rsid w:val="0007030F"/>
    <w:rsid w:val="00072562"/>
    <w:rsid w:val="00072C42"/>
    <w:rsid w:val="00073316"/>
    <w:rsid w:val="00073946"/>
    <w:rsid w:val="000741E6"/>
    <w:rsid w:val="000742D9"/>
    <w:rsid w:val="00074E21"/>
    <w:rsid w:val="0008086B"/>
    <w:rsid w:val="0008094F"/>
    <w:rsid w:val="00080D30"/>
    <w:rsid w:val="0008122B"/>
    <w:rsid w:val="00081FBD"/>
    <w:rsid w:val="00082B01"/>
    <w:rsid w:val="00082D0E"/>
    <w:rsid w:val="00082D6D"/>
    <w:rsid w:val="0008451B"/>
    <w:rsid w:val="00084FF8"/>
    <w:rsid w:val="00085470"/>
    <w:rsid w:val="00085725"/>
    <w:rsid w:val="000859E3"/>
    <w:rsid w:val="000870E9"/>
    <w:rsid w:val="00091525"/>
    <w:rsid w:val="00091610"/>
    <w:rsid w:val="0009283A"/>
    <w:rsid w:val="00093141"/>
    <w:rsid w:val="00094081"/>
    <w:rsid w:val="00095593"/>
    <w:rsid w:val="00096206"/>
    <w:rsid w:val="000965A4"/>
    <w:rsid w:val="0009681A"/>
    <w:rsid w:val="00096E17"/>
    <w:rsid w:val="000A17D6"/>
    <w:rsid w:val="000A1A52"/>
    <w:rsid w:val="000A1D67"/>
    <w:rsid w:val="000A2143"/>
    <w:rsid w:val="000A2AE8"/>
    <w:rsid w:val="000A32CB"/>
    <w:rsid w:val="000A3609"/>
    <w:rsid w:val="000A4567"/>
    <w:rsid w:val="000A4EDD"/>
    <w:rsid w:val="000A51CD"/>
    <w:rsid w:val="000A695B"/>
    <w:rsid w:val="000A6C2E"/>
    <w:rsid w:val="000A7E8E"/>
    <w:rsid w:val="000B07DD"/>
    <w:rsid w:val="000B0989"/>
    <w:rsid w:val="000B1A11"/>
    <w:rsid w:val="000B36F0"/>
    <w:rsid w:val="000B3833"/>
    <w:rsid w:val="000B4134"/>
    <w:rsid w:val="000B4C4C"/>
    <w:rsid w:val="000B6060"/>
    <w:rsid w:val="000B63D4"/>
    <w:rsid w:val="000B720C"/>
    <w:rsid w:val="000B7CF6"/>
    <w:rsid w:val="000C0132"/>
    <w:rsid w:val="000C09A5"/>
    <w:rsid w:val="000C148F"/>
    <w:rsid w:val="000C1AA5"/>
    <w:rsid w:val="000C2DE8"/>
    <w:rsid w:val="000C453F"/>
    <w:rsid w:val="000C49AA"/>
    <w:rsid w:val="000C522B"/>
    <w:rsid w:val="000C5AD1"/>
    <w:rsid w:val="000C5E34"/>
    <w:rsid w:val="000C7C64"/>
    <w:rsid w:val="000D023E"/>
    <w:rsid w:val="000D0644"/>
    <w:rsid w:val="000D0A38"/>
    <w:rsid w:val="000D1072"/>
    <w:rsid w:val="000D1491"/>
    <w:rsid w:val="000D2B64"/>
    <w:rsid w:val="000D2C97"/>
    <w:rsid w:val="000D2CFE"/>
    <w:rsid w:val="000D2E0E"/>
    <w:rsid w:val="000D2FAF"/>
    <w:rsid w:val="000D3C5D"/>
    <w:rsid w:val="000D3D72"/>
    <w:rsid w:val="000D551B"/>
    <w:rsid w:val="000D5B24"/>
    <w:rsid w:val="000D5BFB"/>
    <w:rsid w:val="000D6B2D"/>
    <w:rsid w:val="000D6CCE"/>
    <w:rsid w:val="000D6E4E"/>
    <w:rsid w:val="000D7204"/>
    <w:rsid w:val="000D7507"/>
    <w:rsid w:val="000D7B82"/>
    <w:rsid w:val="000E0B33"/>
    <w:rsid w:val="000E1570"/>
    <w:rsid w:val="000E1A32"/>
    <w:rsid w:val="000E1AE3"/>
    <w:rsid w:val="000E1CFE"/>
    <w:rsid w:val="000E2768"/>
    <w:rsid w:val="000E29DB"/>
    <w:rsid w:val="000E2E12"/>
    <w:rsid w:val="000E37E0"/>
    <w:rsid w:val="000E3D2B"/>
    <w:rsid w:val="000E3F32"/>
    <w:rsid w:val="000E4143"/>
    <w:rsid w:val="000E4DD5"/>
    <w:rsid w:val="000E4E0C"/>
    <w:rsid w:val="000E4F3D"/>
    <w:rsid w:val="000E5203"/>
    <w:rsid w:val="000E5F38"/>
    <w:rsid w:val="000E738C"/>
    <w:rsid w:val="000E7569"/>
    <w:rsid w:val="000F0850"/>
    <w:rsid w:val="000F18B9"/>
    <w:rsid w:val="000F2B36"/>
    <w:rsid w:val="000F2C03"/>
    <w:rsid w:val="000F3811"/>
    <w:rsid w:val="000F4B1D"/>
    <w:rsid w:val="000F5C0A"/>
    <w:rsid w:val="000F6363"/>
    <w:rsid w:val="000F75CA"/>
    <w:rsid w:val="00102B16"/>
    <w:rsid w:val="00103495"/>
    <w:rsid w:val="0010372E"/>
    <w:rsid w:val="00104AC0"/>
    <w:rsid w:val="00105AB9"/>
    <w:rsid w:val="0010721A"/>
    <w:rsid w:val="00107A6E"/>
    <w:rsid w:val="00107E91"/>
    <w:rsid w:val="00111BE3"/>
    <w:rsid w:val="00111E04"/>
    <w:rsid w:val="00111FE0"/>
    <w:rsid w:val="00112006"/>
    <w:rsid w:val="001126F6"/>
    <w:rsid w:val="00112848"/>
    <w:rsid w:val="001135C1"/>
    <w:rsid w:val="00114E91"/>
    <w:rsid w:val="00114F84"/>
    <w:rsid w:val="00115BA1"/>
    <w:rsid w:val="001164B3"/>
    <w:rsid w:val="00116E9B"/>
    <w:rsid w:val="00117BAC"/>
    <w:rsid w:val="00120586"/>
    <w:rsid w:val="001205D0"/>
    <w:rsid w:val="001209CD"/>
    <w:rsid w:val="00120A08"/>
    <w:rsid w:val="00121FC7"/>
    <w:rsid w:val="0012472B"/>
    <w:rsid w:val="00124C4F"/>
    <w:rsid w:val="00124E4F"/>
    <w:rsid w:val="00126665"/>
    <w:rsid w:val="00126A45"/>
    <w:rsid w:val="00126F05"/>
    <w:rsid w:val="00126F51"/>
    <w:rsid w:val="00130180"/>
    <w:rsid w:val="00130AE9"/>
    <w:rsid w:val="00132614"/>
    <w:rsid w:val="001331A9"/>
    <w:rsid w:val="001331AC"/>
    <w:rsid w:val="00134236"/>
    <w:rsid w:val="00135A4D"/>
    <w:rsid w:val="0013765D"/>
    <w:rsid w:val="00137BD5"/>
    <w:rsid w:val="00140AF7"/>
    <w:rsid w:val="00141A0C"/>
    <w:rsid w:val="00141D86"/>
    <w:rsid w:val="00142C91"/>
    <w:rsid w:val="0014366F"/>
    <w:rsid w:val="001445C4"/>
    <w:rsid w:val="00144629"/>
    <w:rsid w:val="001451D0"/>
    <w:rsid w:val="00146209"/>
    <w:rsid w:val="001471C7"/>
    <w:rsid w:val="001505EF"/>
    <w:rsid w:val="00150E86"/>
    <w:rsid w:val="001511A6"/>
    <w:rsid w:val="00151893"/>
    <w:rsid w:val="00151AC5"/>
    <w:rsid w:val="00151C4E"/>
    <w:rsid w:val="00153A59"/>
    <w:rsid w:val="00153C30"/>
    <w:rsid w:val="001549A0"/>
    <w:rsid w:val="001559D4"/>
    <w:rsid w:val="00157034"/>
    <w:rsid w:val="00157E95"/>
    <w:rsid w:val="00160689"/>
    <w:rsid w:val="00160996"/>
    <w:rsid w:val="00160D6D"/>
    <w:rsid w:val="00162D79"/>
    <w:rsid w:val="00163CFE"/>
    <w:rsid w:val="00164539"/>
    <w:rsid w:val="0016575D"/>
    <w:rsid w:val="001659EF"/>
    <w:rsid w:val="00165AA8"/>
    <w:rsid w:val="00165BF5"/>
    <w:rsid w:val="001661FE"/>
    <w:rsid w:val="001668C5"/>
    <w:rsid w:val="00166968"/>
    <w:rsid w:val="00166A5B"/>
    <w:rsid w:val="00166ABC"/>
    <w:rsid w:val="00166D19"/>
    <w:rsid w:val="00167003"/>
    <w:rsid w:val="001677E2"/>
    <w:rsid w:val="00167A51"/>
    <w:rsid w:val="00170533"/>
    <w:rsid w:val="00170A3E"/>
    <w:rsid w:val="00170FBD"/>
    <w:rsid w:val="0017109C"/>
    <w:rsid w:val="0017155D"/>
    <w:rsid w:val="001735E6"/>
    <w:rsid w:val="00173635"/>
    <w:rsid w:val="00173780"/>
    <w:rsid w:val="001744AB"/>
    <w:rsid w:val="00174CB2"/>
    <w:rsid w:val="0017614A"/>
    <w:rsid w:val="0017623C"/>
    <w:rsid w:val="001763C7"/>
    <w:rsid w:val="0017771C"/>
    <w:rsid w:val="00177FB5"/>
    <w:rsid w:val="0018027D"/>
    <w:rsid w:val="00180A8E"/>
    <w:rsid w:val="001841BB"/>
    <w:rsid w:val="0018448B"/>
    <w:rsid w:val="00185471"/>
    <w:rsid w:val="001858A9"/>
    <w:rsid w:val="00190E99"/>
    <w:rsid w:val="0019193C"/>
    <w:rsid w:val="0019294F"/>
    <w:rsid w:val="001933AD"/>
    <w:rsid w:val="001938A1"/>
    <w:rsid w:val="001941D9"/>
    <w:rsid w:val="00196518"/>
    <w:rsid w:val="00196E86"/>
    <w:rsid w:val="001A07DB"/>
    <w:rsid w:val="001A118D"/>
    <w:rsid w:val="001A1491"/>
    <w:rsid w:val="001A20A5"/>
    <w:rsid w:val="001A2655"/>
    <w:rsid w:val="001A37B8"/>
    <w:rsid w:val="001A4105"/>
    <w:rsid w:val="001A4F3F"/>
    <w:rsid w:val="001A536C"/>
    <w:rsid w:val="001A5893"/>
    <w:rsid w:val="001A7354"/>
    <w:rsid w:val="001A7458"/>
    <w:rsid w:val="001B048F"/>
    <w:rsid w:val="001B14EF"/>
    <w:rsid w:val="001B1EF5"/>
    <w:rsid w:val="001B2F6B"/>
    <w:rsid w:val="001B3246"/>
    <w:rsid w:val="001B3B46"/>
    <w:rsid w:val="001B3D85"/>
    <w:rsid w:val="001B4648"/>
    <w:rsid w:val="001B494C"/>
    <w:rsid w:val="001B5A33"/>
    <w:rsid w:val="001B6633"/>
    <w:rsid w:val="001B6715"/>
    <w:rsid w:val="001C1052"/>
    <w:rsid w:val="001C1973"/>
    <w:rsid w:val="001C226B"/>
    <w:rsid w:val="001C3236"/>
    <w:rsid w:val="001C36F7"/>
    <w:rsid w:val="001C39C0"/>
    <w:rsid w:val="001C3E24"/>
    <w:rsid w:val="001C437B"/>
    <w:rsid w:val="001C4DEA"/>
    <w:rsid w:val="001C5D60"/>
    <w:rsid w:val="001C66F0"/>
    <w:rsid w:val="001C6923"/>
    <w:rsid w:val="001C6FEC"/>
    <w:rsid w:val="001D02C1"/>
    <w:rsid w:val="001D2E15"/>
    <w:rsid w:val="001D3AA7"/>
    <w:rsid w:val="001D4196"/>
    <w:rsid w:val="001D5174"/>
    <w:rsid w:val="001D5543"/>
    <w:rsid w:val="001D6D97"/>
    <w:rsid w:val="001D77CB"/>
    <w:rsid w:val="001D7E16"/>
    <w:rsid w:val="001D7FA6"/>
    <w:rsid w:val="001E068C"/>
    <w:rsid w:val="001E1271"/>
    <w:rsid w:val="001E2CCD"/>
    <w:rsid w:val="001E2D0A"/>
    <w:rsid w:val="001E3057"/>
    <w:rsid w:val="001E35D0"/>
    <w:rsid w:val="001E4C14"/>
    <w:rsid w:val="001E4C9B"/>
    <w:rsid w:val="001E4CAE"/>
    <w:rsid w:val="001E5548"/>
    <w:rsid w:val="001E6959"/>
    <w:rsid w:val="001E6963"/>
    <w:rsid w:val="001F1345"/>
    <w:rsid w:val="001F26D7"/>
    <w:rsid w:val="001F2B06"/>
    <w:rsid w:val="001F49A4"/>
    <w:rsid w:val="001F561F"/>
    <w:rsid w:val="001F56C2"/>
    <w:rsid w:val="001F780F"/>
    <w:rsid w:val="00200429"/>
    <w:rsid w:val="00200FEE"/>
    <w:rsid w:val="00202941"/>
    <w:rsid w:val="00203886"/>
    <w:rsid w:val="00203F9C"/>
    <w:rsid w:val="002053C2"/>
    <w:rsid w:val="0021039B"/>
    <w:rsid w:val="0021042C"/>
    <w:rsid w:val="0021155C"/>
    <w:rsid w:val="00211FD6"/>
    <w:rsid w:val="0021218A"/>
    <w:rsid w:val="00213431"/>
    <w:rsid w:val="00213642"/>
    <w:rsid w:val="00213C2C"/>
    <w:rsid w:val="00213F88"/>
    <w:rsid w:val="002148C1"/>
    <w:rsid w:val="002148CF"/>
    <w:rsid w:val="00216245"/>
    <w:rsid w:val="00217213"/>
    <w:rsid w:val="002176D5"/>
    <w:rsid w:val="00220C55"/>
    <w:rsid w:val="002214ED"/>
    <w:rsid w:val="00221D0C"/>
    <w:rsid w:val="002220C9"/>
    <w:rsid w:val="00222811"/>
    <w:rsid w:val="002233DC"/>
    <w:rsid w:val="002239F4"/>
    <w:rsid w:val="00224CE3"/>
    <w:rsid w:val="0022539C"/>
    <w:rsid w:val="00225773"/>
    <w:rsid w:val="002268F0"/>
    <w:rsid w:val="0023056B"/>
    <w:rsid w:val="002306B6"/>
    <w:rsid w:val="002307AE"/>
    <w:rsid w:val="00231506"/>
    <w:rsid w:val="002315AF"/>
    <w:rsid w:val="0023217F"/>
    <w:rsid w:val="002328B6"/>
    <w:rsid w:val="002328BA"/>
    <w:rsid w:val="00232EE5"/>
    <w:rsid w:val="00233680"/>
    <w:rsid w:val="00234E80"/>
    <w:rsid w:val="00235676"/>
    <w:rsid w:val="00235E86"/>
    <w:rsid w:val="00235F72"/>
    <w:rsid w:val="00236693"/>
    <w:rsid w:val="00236905"/>
    <w:rsid w:val="002379AC"/>
    <w:rsid w:val="00237F2D"/>
    <w:rsid w:val="00240450"/>
    <w:rsid w:val="00240550"/>
    <w:rsid w:val="0024095A"/>
    <w:rsid w:val="00240AA3"/>
    <w:rsid w:val="00241172"/>
    <w:rsid w:val="00241778"/>
    <w:rsid w:val="002439CC"/>
    <w:rsid w:val="002442A8"/>
    <w:rsid w:val="00246771"/>
    <w:rsid w:val="002473BB"/>
    <w:rsid w:val="0025063E"/>
    <w:rsid w:val="002506ED"/>
    <w:rsid w:val="00251208"/>
    <w:rsid w:val="00251E90"/>
    <w:rsid w:val="002536D9"/>
    <w:rsid w:val="00253731"/>
    <w:rsid w:val="00253A46"/>
    <w:rsid w:val="00254ACD"/>
    <w:rsid w:val="00254DA2"/>
    <w:rsid w:val="0025607D"/>
    <w:rsid w:val="00256BF6"/>
    <w:rsid w:val="002575BF"/>
    <w:rsid w:val="0026135D"/>
    <w:rsid w:val="00262D2F"/>
    <w:rsid w:val="00262F1D"/>
    <w:rsid w:val="00263E25"/>
    <w:rsid w:val="00265318"/>
    <w:rsid w:val="00266DB8"/>
    <w:rsid w:val="0027035D"/>
    <w:rsid w:val="00270597"/>
    <w:rsid w:val="00270B0D"/>
    <w:rsid w:val="00270EAE"/>
    <w:rsid w:val="002712CF"/>
    <w:rsid w:val="0027264C"/>
    <w:rsid w:val="0027288D"/>
    <w:rsid w:val="002729CD"/>
    <w:rsid w:val="00273D9D"/>
    <w:rsid w:val="00275017"/>
    <w:rsid w:val="0027513E"/>
    <w:rsid w:val="0028091B"/>
    <w:rsid w:val="00281E11"/>
    <w:rsid w:val="002825E7"/>
    <w:rsid w:val="00283260"/>
    <w:rsid w:val="002833D0"/>
    <w:rsid w:val="00283404"/>
    <w:rsid w:val="00283407"/>
    <w:rsid w:val="00283CFB"/>
    <w:rsid w:val="00283D07"/>
    <w:rsid w:val="00283EC7"/>
    <w:rsid w:val="002842D9"/>
    <w:rsid w:val="00285121"/>
    <w:rsid w:val="00285B3E"/>
    <w:rsid w:val="00286F5C"/>
    <w:rsid w:val="0028701A"/>
    <w:rsid w:val="00287343"/>
    <w:rsid w:val="0029000F"/>
    <w:rsid w:val="00292A7D"/>
    <w:rsid w:val="00292EF4"/>
    <w:rsid w:val="0029318C"/>
    <w:rsid w:val="002938FD"/>
    <w:rsid w:val="002947ED"/>
    <w:rsid w:val="002953B7"/>
    <w:rsid w:val="00297789"/>
    <w:rsid w:val="002A01F3"/>
    <w:rsid w:val="002A04C7"/>
    <w:rsid w:val="002A112B"/>
    <w:rsid w:val="002A11EB"/>
    <w:rsid w:val="002A19BE"/>
    <w:rsid w:val="002A5C4E"/>
    <w:rsid w:val="002A7013"/>
    <w:rsid w:val="002A75B8"/>
    <w:rsid w:val="002A7969"/>
    <w:rsid w:val="002A7BF1"/>
    <w:rsid w:val="002A7D44"/>
    <w:rsid w:val="002B0B69"/>
    <w:rsid w:val="002B0D20"/>
    <w:rsid w:val="002B12D8"/>
    <w:rsid w:val="002B2191"/>
    <w:rsid w:val="002B26D2"/>
    <w:rsid w:val="002B2CFD"/>
    <w:rsid w:val="002B2F1C"/>
    <w:rsid w:val="002B2FB0"/>
    <w:rsid w:val="002B37BC"/>
    <w:rsid w:val="002B37F7"/>
    <w:rsid w:val="002B3C6C"/>
    <w:rsid w:val="002B40B6"/>
    <w:rsid w:val="002B46B7"/>
    <w:rsid w:val="002B473D"/>
    <w:rsid w:val="002B5114"/>
    <w:rsid w:val="002B5293"/>
    <w:rsid w:val="002B5E4D"/>
    <w:rsid w:val="002C0600"/>
    <w:rsid w:val="002C0FAB"/>
    <w:rsid w:val="002C1D8A"/>
    <w:rsid w:val="002C21BC"/>
    <w:rsid w:val="002C259D"/>
    <w:rsid w:val="002C475E"/>
    <w:rsid w:val="002C5114"/>
    <w:rsid w:val="002C5194"/>
    <w:rsid w:val="002C54CA"/>
    <w:rsid w:val="002C583A"/>
    <w:rsid w:val="002C6797"/>
    <w:rsid w:val="002C6ED9"/>
    <w:rsid w:val="002C72BB"/>
    <w:rsid w:val="002C73FC"/>
    <w:rsid w:val="002D0152"/>
    <w:rsid w:val="002D05CA"/>
    <w:rsid w:val="002D154A"/>
    <w:rsid w:val="002D251B"/>
    <w:rsid w:val="002D28AC"/>
    <w:rsid w:val="002D28AD"/>
    <w:rsid w:val="002D28C9"/>
    <w:rsid w:val="002D3B3C"/>
    <w:rsid w:val="002D4A8A"/>
    <w:rsid w:val="002D4D8E"/>
    <w:rsid w:val="002D5368"/>
    <w:rsid w:val="002D5A27"/>
    <w:rsid w:val="002D5F0C"/>
    <w:rsid w:val="002D6BC0"/>
    <w:rsid w:val="002D77EB"/>
    <w:rsid w:val="002E02E9"/>
    <w:rsid w:val="002E107D"/>
    <w:rsid w:val="002E28E5"/>
    <w:rsid w:val="002E4687"/>
    <w:rsid w:val="002E4B9E"/>
    <w:rsid w:val="002E68F8"/>
    <w:rsid w:val="002F0BCD"/>
    <w:rsid w:val="002F1531"/>
    <w:rsid w:val="002F1A1F"/>
    <w:rsid w:val="002F308C"/>
    <w:rsid w:val="002F308F"/>
    <w:rsid w:val="002F31FD"/>
    <w:rsid w:val="002F3FAE"/>
    <w:rsid w:val="002F53E4"/>
    <w:rsid w:val="002F57CB"/>
    <w:rsid w:val="002F58A4"/>
    <w:rsid w:val="002F753C"/>
    <w:rsid w:val="002F7612"/>
    <w:rsid w:val="002F78CB"/>
    <w:rsid w:val="002F799D"/>
    <w:rsid w:val="002F7ECF"/>
    <w:rsid w:val="002F7F0E"/>
    <w:rsid w:val="0030020F"/>
    <w:rsid w:val="003004D1"/>
    <w:rsid w:val="00300D6B"/>
    <w:rsid w:val="00301EB6"/>
    <w:rsid w:val="00303596"/>
    <w:rsid w:val="003038E8"/>
    <w:rsid w:val="003047A0"/>
    <w:rsid w:val="00307C54"/>
    <w:rsid w:val="00310229"/>
    <w:rsid w:val="00310D56"/>
    <w:rsid w:val="00310E39"/>
    <w:rsid w:val="00311320"/>
    <w:rsid w:val="00312122"/>
    <w:rsid w:val="00312A4B"/>
    <w:rsid w:val="00312D2E"/>
    <w:rsid w:val="003136A2"/>
    <w:rsid w:val="00313EFF"/>
    <w:rsid w:val="00314032"/>
    <w:rsid w:val="00315A4D"/>
    <w:rsid w:val="00315F4D"/>
    <w:rsid w:val="00317306"/>
    <w:rsid w:val="00317CF2"/>
    <w:rsid w:val="003207B6"/>
    <w:rsid w:val="00320FBD"/>
    <w:rsid w:val="0032111C"/>
    <w:rsid w:val="00323269"/>
    <w:rsid w:val="003248C4"/>
    <w:rsid w:val="00325788"/>
    <w:rsid w:val="00326985"/>
    <w:rsid w:val="00326BF4"/>
    <w:rsid w:val="00326D56"/>
    <w:rsid w:val="003270C2"/>
    <w:rsid w:val="00327494"/>
    <w:rsid w:val="00327A60"/>
    <w:rsid w:val="00330204"/>
    <w:rsid w:val="0033051F"/>
    <w:rsid w:val="00330C35"/>
    <w:rsid w:val="00331CE1"/>
    <w:rsid w:val="00332927"/>
    <w:rsid w:val="00334753"/>
    <w:rsid w:val="00334991"/>
    <w:rsid w:val="00334A39"/>
    <w:rsid w:val="0033510E"/>
    <w:rsid w:val="0033536B"/>
    <w:rsid w:val="00335752"/>
    <w:rsid w:val="00336401"/>
    <w:rsid w:val="0033711A"/>
    <w:rsid w:val="00337D38"/>
    <w:rsid w:val="003411CC"/>
    <w:rsid w:val="00341B4F"/>
    <w:rsid w:val="00341C0B"/>
    <w:rsid w:val="00341F92"/>
    <w:rsid w:val="003439B9"/>
    <w:rsid w:val="003439DB"/>
    <w:rsid w:val="00344471"/>
    <w:rsid w:val="003448E6"/>
    <w:rsid w:val="003450D4"/>
    <w:rsid w:val="0034683A"/>
    <w:rsid w:val="00346DC3"/>
    <w:rsid w:val="00350180"/>
    <w:rsid w:val="00350832"/>
    <w:rsid w:val="00350A05"/>
    <w:rsid w:val="00352177"/>
    <w:rsid w:val="003522C1"/>
    <w:rsid w:val="00352C1B"/>
    <w:rsid w:val="0035412C"/>
    <w:rsid w:val="003546A3"/>
    <w:rsid w:val="003554DC"/>
    <w:rsid w:val="003566E5"/>
    <w:rsid w:val="00357306"/>
    <w:rsid w:val="00357527"/>
    <w:rsid w:val="00357A7A"/>
    <w:rsid w:val="003603BF"/>
    <w:rsid w:val="003607E4"/>
    <w:rsid w:val="00361B32"/>
    <w:rsid w:val="00361E42"/>
    <w:rsid w:val="003622BB"/>
    <w:rsid w:val="0036337E"/>
    <w:rsid w:val="003638F6"/>
    <w:rsid w:val="00363DE2"/>
    <w:rsid w:val="00364201"/>
    <w:rsid w:val="003643AD"/>
    <w:rsid w:val="00364F16"/>
    <w:rsid w:val="003660F1"/>
    <w:rsid w:val="00366773"/>
    <w:rsid w:val="003669D2"/>
    <w:rsid w:val="0036721A"/>
    <w:rsid w:val="00367462"/>
    <w:rsid w:val="00367633"/>
    <w:rsid w:val="00367EEC"/>
    <w:rsid w:val="003716C5"/>
    <w:rsid w:val="003725CD"/>
    <w:rsid w:val="00372788"/>
    <w:rsid w:val="00373526"/>
    <w:rsid w:val="00374B29"/>
    <w:rsid w:val="0037512D"/>
    <w:rsid w:val="00376417"/>
    <w:rsid w:val="003773E4"/>
    <w:rsid w:val="003777C1"/>
    <w:rsid w:val="003802F5"/>
    <w:rsid w:val="003828B5"/>
    <w:rsid w:val="00382A28"/>
    <w:rsid w:val="0038324A"/>
    <w:rsid w:val="00383C5C"/>
    <w:rsid w:val="00384646"/>
    <w:rsid w:val="00384FB8"/>
    <w:rsid w:val="0038595F"/>
    <w:rsid w:val="00386DA4"/>
    <w:rsid w:val="003874E7"/>
    <w:rsid w:val="0039076B"/>
    <w:rsid w:val="0039097C"/>
    <w:rsid w:val="00391085"/>
    <w:rsid w:val="00392BC3"/>
    <w:rsid w:val="00393FD2"/>
    <w:rsid w:val="003955D6"/>
    <w:rsid w:val="00396942"/>
    <w:rsid w:val="003970D0"/>
    <w:rsid w:val="003977F5"/>
    <w:rsid w:val="00397DC5"/>
    <w:rsid w:val="003A06A1"/>
    <w:rsid w:val="003A0C18"/>
    <w:rsid w:val="003A109A"/>
    <w:rsid w:val="003A17C4"/>
    <w:rsid w:val="003A1B47"/>
    <w:rsid w:val="003A22C2"/>
    <w:rsid w:val="003A37C7"/>
    <w:rsid w:val="003A4820"/>
    <w:rsid w:val="003A4B5D"/>
    <w:rsid w:val="003A5687"/>
    <w:rsid w:val="003A63B3"/>
    <w:rsid w:val="003B07AD"/>
    <w:rsid w:val="003B1720"/>
    <w:rsid w:val="003B1B4B"/>
    <w:rsid w:val="003B2516"/>
    <w:rsid w:val="003B2FC0"/>
    <w:rsid w:val="003B3366"/>
    <w:rsid w:val="003B7C3A"/>
    <w:rsid w:val="003C006E"/>
    <w:rsid w:val="003C04EA"/>
    <w:rsid w:val="003C1F06"/>
    <w:rsid w:val="003C1FD5"/>
    <w:rsid w:val="003C28CC"/>
    <w:rsid w:val="003C2A4A"/>
    <w:rsid w:val="003C430C"/>
    <w:rsid w:val="003C4A40"/>
    <w:rsid w:val="003C513F"/>
    <w:rsid w:val="003C7030"/>
    <w:rsid w:val="003C76A8"/>
    <w:rsid w:val="003D1102"/>
    <w:rsid w:val="003D1243"/>
    <w:rsid w:val="003D13BE"/>
    <w:rsid w:val="003D15B9"/>
    <w:rsid w:val="003D2F28"/>
    <w:rsid w:val="003D3430"/>
    <w:rsid w:val="003D3DF4"/>
    <w:rsid w:val="003D66AF"/>
    <w:rsid w:val="003D739A"/>
    <w:rsid w:val="003E1858"/>
    <w:rsid w:val="003E21BC"/>
    <w:rsid w:val="003E4F6D"/>
    <w:rsid w:val="003E7E4A"/>
    <w:rsid w:val="003F0D8E"/>
    <w:rsid w:val="003F0F31"/>
    <w:rsid w:val="003F1333"/>
    <w:rsid w:val="003F44ED"/>
    <w:rsid w:val="003F4661"/>
    <w:rsid w:val="003F49D0"/>
    <w:rsid w:val="003F53F9"/>
    <w:rsid w:val="003F5982"/>
    <w:rsid w:val="003F5D06"/>
    <w:rsid w:val="003F62DB"/>
    <w:rsid w:val="003F6679"/>
    <w:rsid w:val="003F759C"/>
    <w:rsid w:val="00400914"/>
    <w:rsid w:val="00400E3C"/>
    <w:rsid w:val="004016A8"/>
    <w:rsid w:val="004021BE"/>
    <w:rsid w:val="00402695"/>
    <w:rsid w:val="00402A49"/>
    <w:rsid w:val="00402FE0"/>
    <w:rsid w:val="00405140"/>
    <w:rsid w:val="00406B0E"/>
    <w:rsid w:val="004073AB"/>
    <w:rsid w:val="0041066F"/>
    <w:rsid w:val="0041077B"/>
    <w:rsid w:val="004113B7"/>
    <w:rsid w:val="00411EA1"/>
    <w:rsid w:val="004135AC"/>
    <w:rsid w:val="00413B6A"/>
    <w:rsid w:val="00416E79"/>
    <w:rsid w:val="004179F4"/>
    <w:rsid w:val="004200A6"/>
    <w:rsid w:val="0042015C"/>
    <w:rsid w:val="00420CB1"/>
    <w:rsid w:val="00420D83"/>
    <w:rsid w:val="004215A1"/>
    <w:rsid w:val="00421D86"/>
    <w:rsid w:val="00423242"/>
    <w:rsid w:val="004239BB"/>
    <w:rsid w:val="0042423D"/>
    <w:rsid w:val="004243B0"/>
    <w:rsid w:val="00424BE5"/>
    <w:rsid w:val="00424D78"/>
    <w:rsid w:val="00425598"/>
    <w:rsid w:val="004262A0"/>
    <w:rsid w:val="00426BE5"/>
    <w:rsid w:val="004272E7"/>
    <w:rsid w:val="004279D2"/>
    <w:rsid w:val="00430AB2"/>
    <w:rsid w:val="00430E02"/>
    <w:rsid w:val="00431647"/>
    <w:rsid w:val="004324E0"/>
    <w:rsid w:val="00433088"/>
    <w:rsid w:val="004332E0"/>
    <w:rsid w:val="00433C38"/>
    <w:rsid w:val="00434098"/>
    <w:rsid w:val="00434EEA"/>
    <w:rsid w:val="00435672"/>
    <w:rsid w:val="00435F6A"/>
    <w:rsid w:val="00436465"/>
    <w:rsid w:val="00437C76"/>
    <w:rsid w:val="00441098"/>
    <w:rsid w:val="00441D06"/>
    <w:rsid w:val="00442388"/>
    <w:rsid w:val="0044280D"/>
    <w:rsid w:val="00442D0C"/>
    <w:rsid w:val="00443046"/>
    <w:rsid w:val="0044388A"/>
    <w:rsid w:val="00443AA1"/>
    <w:rsid w:val="00444150"/>
    <w:rsid w:val="00444899"/>
    <w:rsid w:val="00444F84"/>
    <w:rsid w:val="00445004"/>
    <w:rsid w:val="00445ED2"/>
    <w:rsid w:val="0044634A"/>
    <w:rsid w:val="00446C85"/>
    <w:rsid w:val="00446E0C"/>
    <w:rsid w:val="004472AE"/>
    <w:rsid w:val="00447E18"/>
    <w:rsid w:val="00447F2D"/>
    <w:rsid w:val="00451633"/>
    <w:rsid w:val="00451997"/>
    <w:rsid w:val="004522B6"/>
    <w:rsid w:val="004533F9"/>
    <w:rsid w:val="00453786"/>
    <w:rsid w:val="00453E2D"/>
    <w:rsid w:val="00456319"/>
    <w:rsid w:val="0045671C"/>
    <w:rsid w:val="00457642"/>
    <w:rsid w:val="00460B4B"/>
    <w:rsid w:val="00461FA1"/>
    <w:rsid w:val="00462557"/>
    <w:rsid w:val="00462887"/>
    <w:rsid w:val="00463412"/>
    <w:rsid w:val="00463DAC"/>
    <w:rsid w:val="00464260"/>
    <w:rsid w:val="004655D7"/>
    <w:rsid w:val="00465DF1"/>
    <w:rsid w:val="0046673A"/>
    <w:rsid w:val="004667AA"/>
    <w:rsid w:val="00466859"/>
    <w:rsid w:val="00466A04"/>
    <w:rsid w:val="00466C06"/>
    <w:rsid w:val="004672DD"/>
    <w:rsid w:val="00467C32"/>
    <w:rsid w:val="0047079E"/>
    <w:rsid w:val="00471D77"/>
    <w:rsid w:val="00473E23"/>
    <w:rsid w:val="0047430F"/>
    <w:rsid w:val="004747CA"/>
    <w:rsid w:val="004751A0"/>
    <w:rsid w:val="004756A6"/>
    <w:rsid w:val="00476138"/>
    <w:rsid w:val="00476650"/>
    <w:rsid w:val="00477136"/>
    <w:rsid w:val="0048108A"/>
    <w:rsid w:val="0048184C"/>
    <w:rsid w:val="00481FF3"/>
    <w:rsid w:val="00482684"/>
    <w:rsid w:val="004827C7"/>
    <w:rsid w:val="00482D96"/>
    <w:rsid w:val="00483581"/>
    <w:rsid w:val="00483D2E"/>
    <w:rsid w:val="0048415B"/>
    <w:rsid w:val="00484341"/>
    <w:rsid w:val="00484384"/>
    <w:rsid w:val="0048469B"/>
    <w:rsid w:val="00484D43"/>
    <w:rsid w:val="0048531F"/>
    <w:rsid w:val="004854FD"/>
    <w:rsid w:val="00486A4E"/>
    <w:rsid w:val="00487DFC"/>
    <w:rsid w:val="00487E73"/>
    <w:rsid w:val="00490137"/>
    <w:rsid w:val="004909B5"/>
    <w:rsid w:val="00490C81"/>
    <w:rsid w:val="00490EF3"/>
    <w:rsid w:val="0049357E"/>
    <w:rsid w:val="004935ED"/>
    <w:rsid w:val="004939CE"/>
    <w:rsid w:val="00495737"/>
    <w:rsid w:val="00497053"/>
    <w:rsid w:val="00497327"/>
    <w:rsid w:val="004A0316"/>
    <w:rsid w:val="004A19A9"/>
    <w:rsid w:val="004A1EA0"/>
    <w:rsid w:val="004A1FC3"/>
    <w:rsid w:val="004A37E0"/>
    <w:rsid w:val="004A46CA"/>
    <w:rsid w:val="004A5152"/>
    <w:rsid w:val="004A6AEF"/>
    <w:rsid w:val="004A7A34"/>
    <w:rsid w:val="004A7ABC"/>
    <w:rsid w:val="004B0503"/>
    <w:rsid w:val="004B0999"/>
    <w:rsid w:val="004B09AD"/>
    <w:rsid w:val="004B0B13"/>
    <w:rsid w:val="004B0C7A"/>
    <w:rsid w:val="004B0FFC"/>
    <w:rsid w:val="004B1195"/>
    <w:rsid w:val="004B2580"/>
    <w:rsid w:val="004B2AAD"/>
    <w:rsid w:val="004B352B"/>
    <w:rsid w:val="004B3BB9"/>
    <w:rsid w:val="004B4A74"/>
    <w:rsid w:val="004B4B46"/>
    <w:rsid w:val="004B4FCE"/>
    <w:rsid w:val="004B58FD"/>
    <w:rsid w:val="004B5CA4"/>
    <w:rsid w:val="004B64E4"/>
    <w:rsid w:val="004B6910"/>
    <w:rsid w:val="004C0031"/>
    <w:rsid w:val="004C11D3"/>
    <w:rsid w:val="004C259C"/>
    <w:rsid w:val="004C27E7"/>
    <w:rsid w:val="004C28E6"/>
    <w:rsid w:val="004C2B50"/>
    <w:rsid w:val="004C3448"/>
    <w:rsid w:val="004C3F78"/>
    <w:rsid w:val="004C45D9"/>
    <w:rsid w:val="004C48E7"/>
    <w:rsid w:val="004C6096"/>
    <w:rsid w:val="004C6154"/>
    <w:rsid w:val="004C6C23"/>
    <w:rsid w:val="004D0C35"/>
    <w:rsid w:val="004D17B9"/>
    <w:rsid w:val="004D1EC6"/>
    <w:rsid w:val="004D23C4"/>
    <w:rsid w:val="004D3672"/>
    <w:rsid w:val="004D4EDF"/>
    <w:rsid w:val="004D6434"/>
    <w:rsid w:val="004D6FC2"/>
    <w:rsid w:val="004D7171"/>
    <w:rsid w:val="004D733E"/>
    <w:rsid w:val="004D7418"/>
    <w:rsid w:val="004E14A5"/>
    <w:rsid w:val="004E20FE"/>
    <w:rsid w:val="004E38AF"/>
    <w:rsid w:val="004E4B20"/>
    <w:rsid w:val="004E679B"/>
    <w:rsid w:val="004E7B8D"/>
    <w:rsid w:val="004E7D98"/>
    <w:rsid w:val="004F04BA"/>
    <w:rsid w:val="004F0BCA"/>
    <w:rsid w:val="004F1505"/>
    <w:rsid w:val="004F2150"/>
    <w:rsid w:val="004F21D9"/>
    <w:rsid w:val="004F25AE"/>
    <w:rsid w:val="004F36D1"/>
    <w:rsid w:val="004F38D5"/>
    <w:rsid w:val="004F52D2"/>
    <w:rsid w:val="004F5425"/>
    <w:rsid w:val="004F55D7"/>
    <w:rsid w:val="004F59FA"/>
    <w:rsid w:val="004F5BF6"/>
    <w:rsid w:val="004F6568"/>
    <w:rsid w:val="00500306"/>
    <w:rsid w:val="00500F3D"/>
    <w:rsid w:val="00500F8E"/>
    <w:rsid w:val="0050172F"/>
    <w:rsid w:val="005018FC"/>
    <w:rsid w:val="00501E0E"/>
    <w:rsid w:val="00501F2B"/>
    <w:rsid w:val="0050273E"/>
    <w:rsid w:val="00503C3C"/>
    <w:rsid w:val="00504B77"/>
    <w:rsid w:val="0050733A"/>
    <w:rsid w:val="00510296"/>
    <w:rsid w:val="0051036A"/>
    <w:rsid w:val="00510579"/>
    <w:rsid w:val="00510A97"/>
    <w:rsid w:val="00511E1E"/>
    <w:rsid w:val="0051256D"/>
    <w:rsid w:val="00512AE4"/>
    <w:rsid w:val="00512BB0"/>
    <w:rsid w:val="005130AF"/>
    <w:rsid w:val="0051399A"/>
    <w:rsid w:val="0051408C"/>
    <w:rsid w:val="005140D1"/>
    <w:rsid w:val="00515A96"/>
    <w:rsid w:val="00515D55"/>
    <w:rsid w:val="0051699F"/>
    <w:rsid w:val="00516FFE"/>
    <w:rsid w:val="005200F2"/>
    <w:rsid w:val="00520CD9"/>
    <w:rsid w:val="0052138B"/>
    <w:rsid w:val="00521D91"/>
    <w:rsid w:val="005222D8"/>
    <w:rsid w:val="00522873"/>
    <w:rsid w:val="00522C31"/>
    <w:rsid w:val="00523424"/>
    <w:rsid w:val="00525308"/>
    <w:rsid w:val="00527C4F"/>
    <w:rsid w:val="00530161"/>
    <w:rsid w:val="005303F0"/>
    <w:rsid w:val="005308E2"/>
    <w:rsid w:val="005326CA"/>
    <w:rsid w:val="005335F6"/>
    <w:rsid w:val="00533DA6"/>
    <w:rsid w:val="0053490E"/>
    <w:rsid w:val="00534E7A"/>
    <w:rsid w:val="0053571B"/>
    <w:rsid w:val="0053593B"/>
    <w:rsid w:val="00535AF9"/>
    <w:rsid w:val="005362CE"/>
    <w:rsid w:val="00536948"/>
    <w:rsid w:val="00537B2F"/>
    <w:rsid w:val="00540DF5"/>
    <w:rsid w:val="00542085"/>
    <w:rsid w:val="005420EB"/>
    <w:rsid w:val="00542880"/>
    <w:rsid w:val="00543F94"/>
    <w:rsid w:val="0054463A"/>
    <w:rsid w:val="00544DF5"/>
    <w:rsid w:val="005452B4"/>
    <w:rsid w:val="00551087"/>
    <w:rsid w:val="005515B5"/>
    <w:rsid w:val="00551BA2"/>
    <w:rsid w:val="00551F52"/>
    <w:rsid w:val="00552603"/>
    <w:rsid w:val="00552FD5"/>
    <w:rsid w:val="0055436D"/>
    <w:rsid w:val="00555037"/>
    <w:rsid w:val="00555A24"/>
    <w:rsid w:val="00556F23"/>
    <w:rsid w:val="00556F26"/>
    <w:rsid w:val="0056048C"/>
    <w:rsid w:val="005615C0"/>
    <w:rsid w:val="00561B3F"/>
    <w:rsid w:val="00562985"/>
    <w:rsid w:val="00562A5E"/>
    <w:rsid w:val="00562B2B"/>
    <w:rsid w:val="00562FA8"/>
    <w:rsid w:val="00562FC9"/>
    <w:rsid w:val="005638FE"/>
    <w:rsid w:val="005670D2"/>
    <w:rsid w:val="00571FAC"/>
    <w:rsid w:val="00573405"/>
    <w:rsid w:val="00573E08"/>
    <w:rsid w:val="00574218"/>
    <w:rsid w:val="00574AF7"/>
    <w:rsid w:val="00574FF6"/>
    <w:rsid w:val="0057536D"/>
    <w:rsid w:val="00575D48"/>
    <w:rsid w:val="00576402"/>
    <w:rsid w:val="005765B4"/>
    <w:rsid w:val="00576B0C"/>
    <w:rsid w:val="00576BC3"/>
    <w:rsid w:val="005805E6"/>
    <w:rsid w:val="005817EE"/>
    <w:rsid w:val="0058259C"/>
    <w:rsid w:val="0058351A"/>
    <w:rsid w:val="00583BE7"/>
    <w:rsid w:val="00583F64"/>
    <w:rsid w:val="005845E3"/>
    <w:rsid w:val="00584CC9"/>
    <w:rsid w:val="00585732"/>
    <w:rsid w:val="00585CD6"/>
    <w:rsid w:val="00586765"/>
    <w:rsid w:val="00590491"/>
    <w:rsid w:val="0059076C"/>
    <w:rsid w:val="00590B62"/>
    <w:rsid w:val="00590BEF"/>
    <w:rsid w:val="00590C01"/>
    <w:rsid w:val="00591032"/>
    <w:rsid w:val="0059139B"/>
    <w:rsid w:val="00591A6D"/>
    <w:rsid w:val="00592568"/>
    <w:rsid w:val="005934CD"/>
    <w:rsid w:val="00594655"/>
    <w:rsid w:val="00594B0F"/>
    <w:rsid w:val="00594FEF"/>
    <w:rsid w:val="0059527C"/>
    <w:rsid w:val="00596074"/>
    <w:rsid w:val="00596C3E"/>
    <w:rsid w:val="00596E14"/>
    <w:rsid w:val="005973A5"/>
    <w:rsid w:val="005A009F"/>
    <w:rsid w:val="005A01E6"/>
    <w:rsid w:val="005A199A"/>
    <w:rsid w:val="005A1C47"/>
    <w:rsid w:val="005A1E63"/>
    <w:rsid w:val="005A26EC"/>
    <w:rsid w:val="005A2743"/>
    <w:rsid w:val="005A27A4"/>
    <w:rsid w:val="005A2C4A"/>
    <w:rsid w:val="005A37D9"/>
    <w:rsid w:val="005A572A"/>
    <w:rsid w:val="005A7B0B"/>
    <w:rsid w:val="005B038C"/>
    <w:rsid w:val="005B050C"/>
    <w:rsid w:val="005B055F"/>
    <w:rsid w:val="005B0A92"/>
    <w:rsid w:val="005B19D6"/>
    <w:rsid w:val="005B1CCB"/>
    <w:rsid w:val="005B2745"/>
    <w:rsid w:val="005B2896"/>
    <w:rsid w:val="005B2B09"/>
    <w:rsid w:val="005B5669"/>
    <w:rsid w:val="005B5C56"/>
    <w:rsid w:val="005B5D33"/>
    <w:rsid w:val="005B5F69"/>
    <w:rsid w:val="005B693A"/>
    <w:rsid w:val="005B6A9C"/>
    <w:rsid w:val="005B6C0F"/>
    <w:rsid w:val="005B70EF"/>
    <w:rsid w:val="005B754A"/>
    <w:rsid w:val="005B7E0F"/>
    <w:rsid w:val="005B7E28"/>
    <w:rsid w:val="005C01A0"/>
    <w:rsid w:val="005C0B5C"/>
    <w:rsid w:val="005C15C0"/>
    <w:rsid w:val="005C2A71"/>
    <w:rsid w:val="005C3F6F"/>
    <w:rsid w:val="005C4360"/>
    <w:rsid w:val="005C6340"/>
    <w:rsid w:val="005C6591"/>
    <w:rsid w:val="005C65E6"/>
    <w:rsid w:val="005C6AE1"/>
    <w:rsid w:val="005C6D53"/>
    <w:rsid w:val="005C7868"/>
    <w:rsid w:val="005D03F9"/>
    <w:rsid w:val="005D0658"/>
    <w:rsid w:val="005D3D6C"/>
    <w:rsid w:val="005D5104"/>
    <w:rsid w:val="005D5B0B"/>
    <w:rsid w:val="005D5C14"/>
    <w:rsid w:val="005D5C45"/>
    <w:rsid w:val="005D6836"/>
    <w:rsid w:val="005D70D6"/>
    <w:rsid w:val="005D71F8"/>
    <w:rsid w:val="005D73CE"/>
    <w:rsid w:val="005E02A8"/>
    <w:rsid w:val="005E0B35"/>
    <w:rsid w:val="005E0B3F"/>
    <w:rsid w:val="005E2875"/>
    <w:rsid w:val="005E4409"/>
    <w:rsid w:val="005E4608"/>
    <w:rsid w:val="005E498B"/>
    <w:rsid w:val="005E64DB"/>
    <w:rsid w:val="005E79CD"/>
    <w:rsid w:val="005E7BA8"/>
    <w:rsid w:val="005F0399"/>
    <w:rsid w:val="005F0DA4"/>
    <w:rsid w:val="005F2427"/>
    <w:rsid w:val="005F2C0F"/>
    <w:rsid w:val="005F2F0C"/>
    <w:rsid w:val="005F36C1"/>
    <w:rsid w:val="005F3EE1"/>
    <w:rsid w:val="005F52B9"/>
    <w:rsid w:val="005F5E12"/>
    <w:rsid w:val="005F6633"/>
    <w:rsid w:val="005F704B"/>
    <w:rsid w:val="005F772F"/>
    <w:rsid w:val="005F7B4D"/>
    <w:rsid w:val="006000B9"/>
    <w:rsid w:val="00600A90"/>
    <w:rsid w:val="00601FE9"/>
    <w:rsid w:val="00602124"/>
    <w:rsid w:val="00602E04"/>
    <w:rsid w:val="006034A0"/>
    <w:rsid w:val="006036E6"/>
    <w:rsid w:val="00603D7F"/>
    <w:rsid w:val="006042A7"/>
    <w:rsid w:val="0060563C"/>
    <w:rsid w:val="00605798"/>
    <w:rsid w:val="00612CCD"/>
    <w:rsid w:val="006131A5"/>
    <w:rsid w:val="0061367F"/>
    <w:rsid w:val="00614600"/>
    <w:rsid w:val="00614AC9"/>
    <w:rsid w:val="006154B4"/>
    <w:rsid w:val="00615D74"/>
    <w:rsid w:val="006166A8"/>
    <w:rsid w:val="00617064"/>
    <w:rsid w:val="006172F5"/>
    <w:rsid w:val="0062132A"/>
    <w:rsid w:val="00623CA6"/>
    <w:rsid w:val="006254AC"/>
    <w:rsid w:val="0062584B"/>
    <w:rsid w:val="00625897"/>
    <w:rsid w:val="006258EC"/>
    <w:rsid w:val="00627833"/>
    <w:rsid w:val="00630873"/>
    <w:rsid w:val="00630CB5"/>
    <w:rsid w:val="00630F35"/>
    <w:rsid w:val="00631AFE"/>
    <w:rsid w:val="00632232"/>
    <w:rsid w:val="00632FEB"/>
    <w:rsid w:val="00633CA0"/>
    <w:rsid w:val="0063467B"/>
    <w:rsid w:val="00634D51"/>
    <w:rsid w:val="00634E3D"/>
    <w:rsid w:val="00635316"/>
    <w:rsid w:val="00635FDC"/>
    <w:rsid w:val="00636515"/>
    <w:rsid w:val="00636596"/>
    <w:rsid w:val="00636632"/>
    <w:rsid w:val="00636DA0"/>
    <w:rsid w:val="00640C52"/>
    <w:rsid w:val="0064241A"/>
    <w:rsid w:val="0064351F"/>
    <w:rsid w:val="0064365C"/>
    <w:rsid w:val="00643795"/>
    <w:rsid w:val="00643CE5"/>
    <w:rsid w:val="006441CE"/>
    <w:rsid w:val="0064484E"/>
    <w:rsid w:val="006465B4"/>
    <w:rsid w:val="00647719"/>
    <w:rsid w:val="006478A2"/>
    <w:rsid w:val="00650608"/>
    <w:rsid w:val="00650A14"/>
    <w:rsid w:val="00651BFB"/>
    <w:rsid w:val="0065312D"/>
    <w:rsid w:val="00653944"/>
    <w:rsid w:val="00654467"/>
    <w:rsid w:val="00655E0C"/>
    <w:rsid w:val="0065630E"/>
    <w:rsid w:val="006567AB"/>
    <w:rsid w:val="00656953"/>
    <w:rsid w:val="00656F82"/>
    <w:rsid w:val="00656FDA"/>
    <w:rsid w:val="006572DB"/>
    <w:rsid w:val="0065738D"/>
    <w:rsid w:val="0065792C"/>
    <w:rsid w:val="006602D0"/>
    <w:rsid w:val="00660B36"/>
    <w:rsid w:val="006613FB"/>
    <w:rsid w:val="00661B25"/>
    <w:rsid w:val="00662803"/>
    <w:rsid w:val="00662DC6"/>
    <w:rsid w:val="006648C7"/>
    <w:rsid w:val="00665D39"/>
    <w:rsid w:val="00666BA8"/>
    <w:rsid w:val="00670719"/>
    <w:rsid w:val="006713F2"/>
    <w:rsid w:val="00672532"/>
    <w:rsid w:val="0067282C"/>
    <w:rsid w:val="00672B0D"/>
    <w:rsid w:val="0067463B"/>
    <w:rsid w:val="006747F6"/>
    <w:rsid w:val="00675308"/>
    <w:rsid w:val="0067534B"/>
    <w:rsid w:val="006758C7"/>
    <w:rsid w:val="006770DB"/>
    <w:rsid w:val="006773F0"/>
    <w:rsid w:val="006803BE"/>
    <w:rsid w:val="0068154C"/>
    <w:rsid w:val="0068198C"/>
    <w:rsid w:val="00681D0B"/>
    <w:rsid w:val="00682D50"/>
    <w:rsid w:val="006846AB"/>
    <w:rsid w:val="00685412"/>
    <w:rsid w:val="00685848"/>
    <w:rsid w:val="00685C08"/>
    <w:rsid w:val="0068700A"/>
    <w:rsid w:val="006875AB"/>
    <w:rsid w:val="00687CB9"/>
    <w:rsid w:val="00691247"/>
    <w:rsid w:val="00691754"/>
    <w:rsid w:val="0069204A"/>
    <w:rsid w:val="006925A7"/>
    <w:rsid w:val="00693620"/>
    <w:rsid w:val="00693CFE"/>
    <w:rsid w:val="006945BD"/>
    <w:rsid w:val="00696361"/>
    <w:rsid w:val="0069663E"/>
    <w:rsid w:val="006971D9"/>
    <w:rsid w:val="00697A6F"/>
    <w:rsid w:val="006A0B23"/>
    <w:rsid w:val="006A136A"/>
    <w:rsid w:val="006A1D21"/>
    <w:rsid w:val="006A2556"/>
    <w:rsid w:val="006A39D9"/>
    <w:rsid w:val="006A54F4"/>
    <w:rsid w:val="006A7BC0"/>
    <w:rsid w:val="006B0220"/>
    <w:rsid w:val="006B0AA0"/>
    <w:rsid w:val="006B0ECC"/>
    <w:rsid w:val="006B1E34"/>
    <w:rsid w:val="006B1EED"/>
    <w:rsid w:val="006B40D4"/>
    <w:rsid w:val="006B4210"/>
    <w:rsid w:val="006B4F07"/>
    <w:rsid w:val="006B58FE"/>
    <w:rsid w:val="006B628A"/>
    <w:rsid w:val="006B635D"/>
    <w:rsid w:val="006B7B37"/>
    <w:rsid w:val="006C1382"/>
    <w:rsid w:val="006C13F3"/>
    <w:rsid w:val="006C36AF"/>
    <w:rsid w:val="006C3C21"/>
    <w:rsid w:val="006C470C"/>
    <w:rsid w:val="006C54AD"/>
    <w:rsid w:val="006C5CC4"/>
    <w:rsid w:val="006C651D"/>
    <w:rsid w:val="006C6ADE"/>
    <w:rsid w:val="006C7241"/>
    <w:rsid w:val="006C76C4"/>
    <w:rsid w:val="006C77AD"/>
    <w:rsid w:val="006C7A56"/>
    <w:rsid w:val="006C7B6B"/>
    <w:rsid w:val="006C7C24"/>
    <w:rsid w:val="006D1494"/>
    <w:rsid w:val="006D2195"/>
    <w:rsid w:val="006D22FC"/>
    <w:rsid w:val="006D2349"/>
    <w:rsid w:val="006D263C"/>
    <w:rsid w:val="006D33BF"/>
    <w:rsid w:val="006D46D9"/>
    <w:rsid w:val="006D5377"/>
    <w:rsid w:val="006D5E0B"/>
    <w:rsid w:val="006D698C"/>
    <w:rsid w:val="006D6C63"/>
    <w:rsid w:val="006E017F"/>
    <w:rsid w:val="006E0507"/>
    <w:rsid w:val="006E1BD5"/>
    <w:rsid w:val="006E2EEB"/>
    <w:rsid w:val="006E3973"/>
    <w:rsid w:val="006E4901"/>
    <w:rsid w:val="006E617A"/>
    <w:rsid w:val="006E70C5"/>
    <w:rsid w:val="006E7D31"/>
    <w:rsid w:val="006F076A"/>
    <w:rsid w:val="006F0A5B"/>
    <w:rsid w:val="006F150B"/>
    <w:rsid w:val="006F1FA3"/>
    <w:rsid w:val="006F30D5"/>
    <w:rsid w:val="006F32E7"/>
    <w:rsid w:val="006F353E"/>
    <w:rsid w:val="006F3972"/>
    <w:rsid w:val="006F5D4B"/>
    <w:rsid w:val="006F689E"/>
    <w:rsid w:val="006F7C84"/>
    <w:rsid w:val="00700669"/>
    <w:rsid w:val="00700E2A"/>
    <w:rsid w:val="00701256"/>
    <w:rsid w:val="0070168D"/>
    <w:rsid w:val="00702C2E"/>
    <w:rsid w:val="00702E9C"/>
    <w:rsid w:val="0070473C"/>
    <w:rsid w:val="0070550C"/>
    <w:rsid w:val="00706642"/>
    <w:rsid w:val="007066EE"/>
    <w:rsid w:val="00706B70"/>
    <w:rsid w:val="007076B6"/>
    <w:rsid w:val="0070784E"/>
    <w:rsid w:val="00707925"/>
    <w:rsid w:val="007115B2"/>
    <w:rsid w:val="007119EB"/>
    <w:rsid w:val="00712C46"/>
    <w:rsid w:val="007136FE"/>
    <w:rsid w:val="00713C2D"/>
    <w:rsid w:val="00715DF0"/>
    <w:rsid w:val="00715F41"/>
    <w:rsid w:val="00716981"/>
    <w:rsid w:val="0071739D"/>
    <w:rsid w:val="007179D4"/>
    <w:rsid w:val="00717EDC"/>
    <w:rsid w:val="0072072D"/>
    <w:rsid w:val="00720BD6"/>
    <w:rsid w:val="0072119F"/>
    <w:rsid w:val="0072201D"/>
    <w:rsid w:val="007226D7"/>
    <w:rsid w:val="007238E0"/>
    <w:rsid w:val="007247B9"/>
    <w:rsid w:val="00724C96"/>
    <w:rsid w:val="00725DAC"/>
    <w:rsid w:val="007262A6"/>
    <w:rsid w:val="00726F57"/>
    <w:rsid w:val="007270AF"/>
    <w:rsid w:val="00731A31"/>
    <w:rsid w:val="00732592"/>
    <w:rsid w:val="007326E6"/>
    <w:rsid w:val="0073296D"/>
    <w:rsid w:val="007329F5"/>
    <w:rsid w:val="00732A04"/>
    <w:rsid w:val="007345EF"/>
    <w:rsid w:val="00734D67"/>
    <w:rsid w:val="00734E4A"/>
    <w:rsid w:val="0073587D"/>
    <w:rsid w:val="00736AE4"/>
    <w:rsid w:val="00736EFB"/>
    <w:rsid w:val="00740173"/>
    <w:rsid w:val="0074048B"/>
    <w:rsid w:val="007415CB"/>
    <w:rsid w:val="00741794"/>
    <w:rsid w:val="00741C6C"/>
    <w:rsid w:val="00741CC9"/>
    <w:rsid w:val="007456D8"/>
    <w:rsid w:val="00745A56"/>
    <w:rsid w:val="00745DD6"/>
    <w:rsid w:val="00750238"/>
    <w:rsid w:val="00751B88"/>
    <w:rsid w:val="00751BAB"/>
    <w:rsid w:val="00754CD0"/>
    <w:rsid w:val="0075570E"/>
    <w:rsid w:val="00755E0C"/>
    <w:rsid w:val="00756768"/>
    <w:rsid w:val="00756BBA"/>
    <w:rsid w:val="00756C7E"/>
    <w:rsid w:val="00757808"/>
    <w:rsid w:val="00757B84"/>
    <w:rsid w:val="00760F10"/>
    <w:rsid w:val="0076208B"/>
    <w:rsid w:val="007650FD"/>
    <w:rsid w:val="00765481"/>
    <w:rsid w:val="007668B6"/>
    <w:rsid w:val="007668DF"/>
    <w:rsid w:val="0076752E"/>
    <w:rsid w:val="00767CF4"/>
    <w:rsid w:val="0077079D"/>
    <w:rsid w:val="007707CA"/>
    <w:rsid w:val="007716BE"/>
    <w:rsid w:val="007716D5"/>
    <w:rsid w:val="007717B5"/>
    <w:rsid w:val="0077200F"/>
    <w:rsid w:val="0077241A"/>
    <w:rsid w:val="00772466"/>
    <w:rsid w:val="00772CA8"/>
    <w:rsid w:val="00772E60"/>
    <w:rsid w:val="00774F76"/>
    <w:rsid w:val="007751D6"/>
    <w:rsid w:val="00775642"/>
    <w:rsid w:val="00775899"/>
    <w:rsid w:val="00775AFD"/>
    <w:rsid w:val="00775D15"/>
    <w:rsid w:val="007763E3"/>
    <w:rsid w:val="00776B8E"/>
    <w:rsid w:val="0078003C"/>
    <w:rsid w:val="007806D9"/>
    <w:rsid w:val="007809A7"/>
    <w:rsid w:val="00780EB7"/>
    <w:rsid w:val="00781D78"/>
    <w:rsid w:val="00782624"/>
    <w:rsid w:val="007827EF"/>
    <w:rsid w:val="00782EBF"/>
    <w:rsid w:val="00783B50"/>
    <w:rsid w:val="00783C4C"/>
    <w:rsid w:val="00783F3A"/>
    <w:rsid w:val="007853B7"/>
    <w:rsid w:val="007855CE"/>
    <w:rsid w:val="00785FBD"/>
    <w:rsid w:val="00786376"/>
    <w:rsid w:val="007868BA"/>
    <w:rsid w:val="007873D3"/>
    <w:rsid w:val="0078754E"/>
    <w:rsid w:val="00790F07"/>
    <w:rsid w:val="00791775"/>
    <w:rsid w:val="007921D8"/>
    <w:rsid w:val="00792657"/>
    <w:rsid w:val="007936B6"/>
    <w:rsid w:val="00793A43"/>
    <w:rsid w:val="00794BC1"/>
    <w:rsid w:val="00796FD4"/>
    <w:rsid w:val="007A0474"/>
    <w:rsid w:val="007A159A"/>
    <w:rsid w:val="007A24DB"/>
    <w:rsid w:val="007A25DA"/>
    <w:rsid w:val="007A30C0"/>
    <w:rsid w:val="007A45EE"/>
    <w:rsid w:val="007A4B2D"/>
    <w:rsid w:val="007A670F"/>
    <w:rsid w:val="007A70C8"/>
    <w:rsid w:val="007A7668"/>
    <w:rsid w:val="007A7ECB"/>
    <w:rsid w:val="007B072D"/>
    <w:rsid w:val="007B09E2"/>
    <w:rsid w:val="007B11FE"/>
    <w:rsid w:val="007B230D"/>
    <w:rsid w:val="007B44A9"/>
    <w:rsid w:val="007B4E75"/>
    <w:rsid w:val="007B5B91"/>
    <w:rsid w:val="007C0006"/>
    <w:rsid w:val="007C0971"/>
    <w:rsid w:val="007C1C46"/>
    <w:rsid w:val="007C2972"/>
    <w:rsid w:val="007C2A63"/>
    <w:rsid w:val="007C310F"/>
    <w:rsid w:val="007C3518"/>
    <w:rsid w:val="007C3CEA"/>
    <w:rsid w:val="007C4814"/>
    <w:rsid w:val="007C4E99"/>
    <w:rsid w:val="007C4EED"/>
    <w:rsid w:val="007C55B6"/>
    <w:rsid w:val="007C571D"/>
    <w:rsid w:val="007C5C6E"/>
    <w:rsid w:val="007C68FC"/>
    <w:rsid w:val="007C7AD1"/>
    <w:rsid w:val="007D008B"/>
    <w:rsid w:val="007D00EF"/>
    <w:rsid w:val="007D02CC"/>
    <w:rsid w:val="007D042E"/>
    <w:rsid w:val="007D0C8B"/>
    <w:rsid w:val="007D1DFF"/>
    <w:rsid w:val="007D3033"/>
    <w:rsid w:val="007D353D"/>
    <w:rsid w:val="007D4DEE"/>
    <w:rsid w:val="007D561F"/>
    <w:rsid w:val="007D59CE"/>
    <w:rsid w:val="007D640D"/>
    <w:rsid w:val="007D6977"/>
    <w:rsid w:val="007D795D"/>
    <w:rsid w:val="007E0BE6"/>
    <w:rsid w:val="007E0CDC"/>
    <w:rsid w:val="007E0D2C"/>
    <w:rsid w:val="007E1130"/>
    <w:rsid w:val="007E2356"/>
    <w:rsid w:val="007E2BD9"/>
    <w:rsid w:val="007E31D8"/>
    <w:rsid w:val="007E330E"/>
    <w:rsid w:val="007E409F"/>
    <w:rsid w:val="007E47A1"/>
    <w:rsid w:val="007E4F0F"/>
    <w:rsid w:val="007F0088"/>
    <w:rsid w:val="007F00B6"/>
    <w:rsid w:val="007F05E0"/>
    <w:rsid w:val="007F0F55"/>
    <w:rsid w:val="007F11CB"/>
    <w:rsid w:val="007F1D81"/>
    <w:rsid w:val="007F3086"/>
    <w:rsid w:val="007F31FA"/>
    <w:rsid w:val="007F34ED"/>
    <w:rsid w:val="007F396C"/>
    <w:rsid w:val="007F4408"/>
    <w:rsid w:val="007F4502"/>
    <w:rsid w:val="007F4B33"/>
    <w:rsid w:val="007F4F0F"/>
    <w:rsid w:val="007F513D"/>
    <w:rsid w:val="007F56F4"/>
    <w:rsid w:val="007F5AD9"/>
    <w:rsid w:val="007F5D2E"/>
    <w:rsid w:val="007F7549"/>
    <w:rsid w:val="007F77F3"/>
    <w:rsid w:val="008002DB"/>
    <w:rsid w:val="008017D4"/>
    <w:rsid w:val="00801E10"/>
    <w:rsid w:val="00801F68"/>
    <w:rsid w:val="00801FCA"/>
    <w:rsid w:val="00802272"/>
    <w:rsid w:val="0080231C"/>
    <w:rsid w:val="008027BB"/>
    <w:rsid w:val="0080354C"/>
    <w:rsid w:val="00804004"/>
    <w:rsid w:val="00804124"/>
    <w:rsid w:val="00804AE1"/>
    <w:rsid w:val="008053CF"/>
    <w:rsid w:val="00805676"/>
    <w:rsid w:val="008056CD"/>
    <w:rsid w:val="00805E35"/>
    <w:rsid w:val="008079E4"/>
    <w:rsid w:val="00811A03"/>
    <w:rsid w:val="00811EFE"/>
    <w:rsid w:val="00812597"/>
    <w:rsid w:val="00813561"/>
    <w:rsid w:val="008147A6"/>
    <w:rsid w:val="00814978"/>
    <w:rsid w:val="00814E4C"/>
    <w:rsid w:val="00816D4A"/>
    <w:rsid w:val="00816F4B"/>
    <w:rsid w:val="00817F4F"/>
    <w:rsid w:val="008202D0"/>
    <w:rsid w:val="00820BBF"/>
    <w:rsid w:val="00821E29"/>
    <w:rsid w:val="008228ED"/>
    <w:rsid w:val="00822A51"/>
    <w:rsid w:val="00822C95"/>
    <w:rsid w:val="008234CE"/>
    <w:rsid w:val="00824497"/>
    <w:rsid w:val="00825151"/>
    <w:rsid w:val="008262D1"/>
    <w:rsid w:val="008262DF"/>
    <w:rsid w:val="0082671B"/>
    <w:rsid w:val="00827581"/>
    <w:rsid w:val="008277D1"/>
    <w:rsid w:val="00827936"/>
    <w:rsid w:val="0083069D"/>
    <w:rsid w:val="00830A11"/>
    <w:rsid w:val="008312DE"/>
    <w:rsid w:val="00831697"/>
    <w:rsid w:val="00831EBF"/>
    <w:rsid w:val="008323BD"/>
    <w:rsid w:val="00832B90"/>
    <w:rsid w:val="00833816"/>
    <w:rsid w:val="00833D77"/>
    <w:rsid w:val="00833E22"/>
    <w:rsid w:val="00834FC0"/>
    <w:rsid w:val="00835074"/>
    <w:rsid w:val="008354E7"/>
    <w:rsid w:val="00836031"/>
    <w:rsid w:val="00836F0A"/>
    <w:rsid w:val="00837704"/>
    <w:rsid w:val="0084051F"/>
    <w:rsid w:val="00840C54"/>
    <w:rsid w:val="00841CBA"/>
    <w:rsid w:val="008428DD"/>
    <w:rsid w:val="00842B63"/>
    <w:rsid w:val="008430E4"/>
    <w:rsid w:val="00843AB9"/>
    <w:rsid w:val="00843B93"/>
    <w:rsid w:val="00844B12"/>
    <w:rsid w:val="00844E09"/>
    <w:rsid w:val="008479A0"/>
    <w:rsid w:val="0085110C"/>
    <w:rsid w:val="008523DC"/>
    <w:rsid w:val="0085274E"/>
    <w:rsid w:val="00852BFF"/>
    <w:rsid w:val="00852C2B"/>
    <w:rsid w:val="00852C61"/>
    <w:rsid w:val="008534BE"/>
    <w:rsid w:val="00853CD6"/>
    <w:rsid w:val="00853EA4"/>
    <w:rsid w:val="00854DDE"/>
    <w:rsid w:val="00856F5B"/>
    <w:rsid w:val="008574BA"/>
    <w:rsid w:val="00857B1A"/>
    <w:rsid w:val="00860082"/>
    <w:rsid w:val="008608BA"/>
    <w:rsid w:val="008615E9"/>
    <w:rsid w:val="00861D00"/>
    <w:rsid w:val="0086205B"/>
    <w:rsid w:val="008621C0"/>
    <w:rsid w:val="00862380"/>
    <w:rsid w:val="0086328F"/>
    <w:rsid w:val="0086427A"/>
    <w:rsid w:val="00864973"/>
    <w:rsid w:val="00864FF1"/>
    <w:rsid w:val="00865393"/>
    <w:rsid w:val="00865905"/>
    <w:rsid w:val="00866732"/>
    <w:rsid w:val="008670C2"/>
    <w:rsid w:val="008671C3"/>
    <w:rsid w:val="00870100"/>
    <w:rsid w:val="00871389"/>
    <w:rsid w:val="008738EE"/>
    <w:rsid w:val="00873BEB"/>
    <w:rsid w:val="00875325"/>
    <w:rsid w:val="00876253"/>
    <w:rsid w:val="008768B5"/>
    <w:rsid w:val="00876929"/>
    <w:rsid w:val="00877089"/>
    <w:rsid w:val="00877A26"/>
    <w:rsid w:val="00877D06"/>
    <w:rsid w:val="00877E99"/>
    <w:rsid w:val="00880094"/>
    <w:rsid w:val="00880F19"/>
    <w:rsid w:val="00881279"/>
    <w:rsid w:val="008829FC"/>
    <w:rsid w:val="00883E0A"/>
    <w:rsid w:val="0088455B"/>
    <w:rsid w:val="00884C1F"/>
    <w:rsid w:val="0088503E"/>
    <w:rsid w:val="00892EFC"/>
    <w:rsid w:val="008931DB"/>
    <w:rsid w:val="0089453C"/>
    <w:rsid w:val="008945C8"/>
    <w:rsid w:val="00895064"/>
    <w:rsid w:val="00895408"/>
    <w:rsid w:val="00895BA1"/>
    <w:rsid w:val="00895FE4"/>
    <w:rsid w:val="00896442"/>
    <w:rsid w:val="008A0515"/>
    <w:rsid w:val="008A0C29"/>
    <w:rsid w:val="008A1DE6"/>
    <w:rsid w:val="008A2096"/>
    <w:rsid w:val="008A2840"/>
    <w:rsid w:val="008A401C"/>
    <w:rsid w:val="008A4050"/>
    <w:rsid w:val="008A41BB"/>
    <w:rsid w:val="008A4655"/>
    <w:rsid w:val="008A65E2"/>
    <w:rsid w:val="008A6710"/>
    <w:rsid w:val="008A6FE5"/>
    <w:rsid w:val="008A7FA3"/>
    <w:rsid w:val="008B0D6D"/>
    <w:rsid w:val="008B12AD"/>
    <w:rsid w:val="008B1BD2"/>
    <w:rsid w:val="008B2CE6"/>
    <w:rsid w:val="008B4715"/>
    <w:rsid w:val="008B75E5"/>
    <w:rsid w:val="008B7DDE"/>
    <w:rsid w:val="008C0080"/>
    <w:rsid w:val="008C14ED"/>
    <w:rsid w:val="008C22D6"/>
    <w:rsid w:val="008C2646"/>
    <w:rsid w:val="008C383D"/>
    <w:rsid w:val="008C3D77"/>
    <w:rsid w:val="008C4083"/>
    <w:rsid w:val="008C4C39"/>
    <w:rsid w:val="008C4D6A"/>
    <w:rsid w:val="008C56F0"/>
    <w:rsid w:val="008C581C"/>
    <w:rsid w:val="008C5E1D"/>
    <w:rsid w:val="008C6115"/>
    <w:rsid w:val="008C6C7A"/>
    <w:rsid w:val="008C6F1E"/>
    <w:rsid w:val="008C73E9"/>
    <w:rsid w:val="008D0044"/>
    <w:rsid w:val="008D0955"/>
    <w:rsid w:val="008D25FF"/>
    <w:rsid w:val="008D336A"/>
    <w:rsid w:val="008D353A"/>
    <w:rsid w:val="008D4187"/>
    <w:rsid w:val="008D4294"/>
    <w:rsid w:val="008D4A3D"/>
    <w:rsid w:val="008D7720"/>
    <w:rsid w:val="008D7E7A"/>
    <w:rsid w:val="008E0139"/>
    <w:rsid w:val="008E0763"/>
    <w:rsid w:val="008E169C"/>
    <w:rsid w:val="008E18DF"/>
    <w:rsid w:val="008E20E1"/>
    <w:rsid w:val="008E288F"/>
    <w:rsid w:val="008E5B65"/>
    <w:rsid w:val="008E5FBA"/>
    <w:rsid w:val="008E7EC2"/>
    <w:rsid w:val="008E7FE9"/>
    <w:rsid w:val="008F032C"/>
    <w:rsid w:val="008F08F4"/>
    <w:rsid w:val="008F0A0E"/>
    <w:rsid w:val="008F11CC"/>
    <w:rsid w:val="008F1C8D"/>
    <w:rsid w:val="008F2440"/>
    <w:rsid w:val="008F32F5"/>
    <w:rsid w:val="008F3C67"/>
    <w:rsid w:val="008F40B7"/>
    <w:rsid w:val="008F58A3"/>
    <w:rsid w:val="008F6509"/>
    <w:rsid w:val="008F7F40"/>
    <w:rsid w:val="00900A68"/>
    <w:rsid w:val="00900F99"/>
    <w:rsid w:val="0090122A"/>
    <w:rsid w:val="00901E19"/>
    <w:rsid w:val="009020AD"/>
    <w:rsid w:val="00902A69"/>
    <w:rsid w:val="00902CCC"/>
    <w:rsid w:val="00905467"/>
    <w:rsid w:val="00905722"/>
    <w:rsid w:val="00905847"/>
    <w:rsid w:val="00906217"/>
    <w:rsid w:val="0091021B"/>
    <w:rsid w:val="00910CB5"/>
    <w:rsid w:val="00912547"/>
    <w:rsid w:val="009126A7"/>
    <w:rsid w:val="00912B17"/>
    <w:rsid w:val="0091300D"/>
    <w:rsid w:val="00913905"/>
    <w:rsid w:val="0091485A"/>
    <w:rsid w:val="00914E54"/>
    <w:rsid w:val="009157D9"/>
    <w:rsid w:val="00915E2E"/>
    <w:rsid w:val="00916248"/>
    <w:rsid w:val="00916CE9"/>
    <w:rsid w:val="0091749C"/>
    <w:rsid w:val="00920AB2"/>
    <w:rsid w:val="00923D7B"/>
    <w:rsid w:val="0092475C"/>
    <w:rsid w:val="009258FD"/>
    <w:rsid w:val="009259F2"/>
    <w:rsid w:val="00926812"/>
    <w:rsid w:val="00927185"/>
    <w:rsid w:val="0092720E"/>
    <w:rsid w:val="009273D9"/>
    <w:rsid w:val="00930C24"/>
    <w:rsid w:val="009313EB"/>
    <w:rsid w:val="00933A25"/>
    <w:rsid w:val="00933FB7"/>
    <w:rsid w:val="0093624F"/>
    <w:rsid w:val="009362CA"/>
    <w:rsid w:val="00937911"/>
    <w:rsid w:val="00940F27"/>
    <w:rsid w:val="00941354"/>
    <w:rsid w:val="00941CBE"/>
    <w:rsid w:val="00941E55"/>
    <w:rsid w:val="00942A2F"/>
    <w:rsid w:val="00945419"/>
    <w:rsid w:val="009454AD"/>
    <w:rsid w:val="00945B11"/>
    <w:rsid w:val="0095036E"/>
    <w:rsid w:val="00950706"/>
    <w:rsid w:val="009507A6"/>
    <w:rsid w:val="009508AE"/>
    <w:rsid w:val="009511A0"/>
    <w:rsid w:val="0095125A"/>
    <w:rsid w:val="009514FC"/>
    <w:rsid w:val="00951C82"/>
    <w:rsid w:val="009544CF"/>
    <w:rsid w:val="0095487B"/>
    <w:rsid w:val="00955043"/>
    <w:rsid w:val="009553B9"/>
    <w:rsid w:val="00955793"/>
    <w:rsid w:val="009566A7"/>
    <w:rsid w:val="009566C3"/>
    <w:rsid w:val="009569C8"/>
    <w:rsid w:val="00957893"/>
    <w:rsid w:val="00957CC8"/>
    <w:rsid w:val="009605D0"/>
    <w:rsid w:val="009614AC"/>
    <w:rsid w:val="009619CD"/>
    <w:rsid w:val="00962030"/>
    <w:rsid w:val="009620D5"/>
    <w:rsid w:val="009628A1"/>
    <w:rsid w:val="00963164"/>
    <w:rsid w:val="009631E5"/>
    <w:rsid w:val="00963744"/>
    <w:rsid w:val="00964C34"/>
    <w:rsid w:val="009654CD"/>
    <w:rsid w:val="00965597"/>
    <w:rsid w:val="00965EA6"/>
    <w:rsid w:val="0096618A"/>
    <w:rsid w:val="00966AFC"/>
    <w:rsid w:val="009679C2"/>
    <w:rsid w:val="0097045F"/>
    <w:rsid w:val="00971C6B"/>
    <w:rsid w:val="00971F66"/>
    <w:rsid w:val="00972734"/>
    <w:rsid w:val="00972893"/>
    <w:rsid w:val="009739A3"/>
    <w:rsid w:val="00973DF5"/>
    <w:rsid w:val="00974304"/>
    <w:rsid w:val="00974E6E"/>
    <w:rsid w:val="009750A8"/>
    <w:rsid w:val="009752F7"/>
    <w:rsid w:val="00975B7C"/>
    <w:rsid w:val="00976CC7"/>
    <w:rsid w:val="00977841"/>
    <w:rsid w:val="00977FA6"/>
    <w:rsid w:val="00980D81"/>
    <w:rsid w:val="00980FC9"/>
    <w:rsid w:val="00981DBE"/>
    <w:rsid w:val="009821DE"/>
    <w:rsid w:val="009830C4"/>
    <w:rsid w:val="009848BF"/>
    <w:rsid w:val="00985549"/>
    <w:rsid w:val="009864B3"/>
    <w:rsid w:val="00986A87"/>
    <w:rsid w:val="00986D14"/>
    <w:rsid w:val="009877C2"/>
    <w:rsid w:val="00987F65"/>
    <w:rsid w:val="00992986"/>
    <w:rsid w:val="00993FC5"/>
    <w:rsid w:val="0099425C"/>
    <w:rsid w:val="00994629"/>
    <w:rsid w:val="0099492E"/>
    <w:rsid w:val="009953C2"/>
    <w:rsid w:val="00997B3E"/>
    <w:rsid w:val="009A02D5"/>
    <w:rsid w:val="009A0BB2"/>
    <w:rsid w:val="009A0BFC"/>
    <w:rsid w:val="009A0D7E"/>
    <w:rsid w:val="009A0EBF"/>
    <w:rsid w:val="009A1018"/>
    <w:rsid w:val="009A1B4D"/>
    <w:rsid w:val="009A1D80"/>
    <w:rsid w:val="009A33F2"/>
    <w:rsid w:val="009A35C1"/>
    <w:rsid w:val="009A3778"/>
    <w:rsid w:val="009A3838"/>
    <w:rsid w:val="009A425D"/>
    <w:rsid w:val="009A47E7"/>
    <w:rsid w:val="009A4930"/>
    <w:rsid w:val="009A4A84"/>
    <w:rsid w:val="009A6543"/>
    <w:rsid w:val="009A6B0C"/>
    <w:rsid w:val="009B295F"/>
    <w:rsid w:val="009B2D91"/>
    <w:rsid w:val="009B2E64"/>
    <w:rsid w:val="009B3181"/>
    <w:rsid w:val="009B36D5"/>
    <w:rsid w:val="009B4033"/>
    <w:rsid w:val="009B45AD"/>
    <w:rsid w:val="009B5801"/>
    <w:rsid w:val="009B5ACD"/>
    <w:rsid w:val="009B5FF6"/>
    <w:rsid w:val="009B6DCB"/>
    <w:rsid w:val="009B767F"/>
    <w:rsid w:val="009B7E62"/>
    <w:rsid w:val="009C0739"/>
    <w:rsid w:val="009C2B79"/>
    <w:rsid w:val="009C2D46"/>
    <w:rsid w:val="009C4041"/>
    <w:rsid w:val="009C4C46"/>
    <w:rsid w:val="009C5D89"/>
    <w:rsid w:val="009C627E"/>
    <w:rsid w:val="009C6BB2"/>
    <w:rsid w:val="009C6D8D"/>
    <w:rsid w:val="009C7180"/>
    <w:rsid w:val="009C797E"/>
    <w:rsid w:val="009C7F45"/>
    <w:rsid w:val="009D02A1"/>
    <w:rsid w:val="009D099C"/>
    <w:rsid w:val="009D0A50"/>
    <w:rsid w:val="009D0B7D"/>
    <w:rsid w:val="009D1434"/>
    <w:rsid w:val="009D15F7"/>
    <w:rsid w:val="009D1E33"/>
    <w:rsid w:val="009D27F8"/>
    <w:rsid w:val="009D2894"/>
    <w:rsid w:val="009D2C7C"/>
    <w:rsid w:val="009D3F5D"/>
    <w:rsid w:val="009D3F6D"/>
    <w:rsid w:val="009D3F78"/>
    <w:rsid w:val="009D5916"/>
    <w:rsid w:val="009D5FFF"/>
    <w:rsid w:val="009D7696"/>
    <w:rsid w:val="009D7FEE"/>
    <w:rsid w:val="009E054C"/>
    <w:rsid w:val="009E08D9"/>
    <w:rsid w:val="009E1213"/>
    <w:rsid w:val="009E13E3"/>
    <w:rsid w:val="009E1C23"/>
    <w:rsid w:val="009E1F49"/>
    <w:rsid w:val="009E29E0"/>
    <w:rsid w:val="009E2B30"/>
    <w:rsid w:val="009E2DED"/>
    <w:rsid w:val="009E2E75"/>
    <w:rsid w:val="009E4212"/>
    <w:rsid w:val="009E5053"/>
    <w:rsid w:val="009E52ED"/>
    <w:rsid w:val="009E54C4"/>
    <w:rsid w:val="009E58C4"/>
    <w:rsid w:val="009E68B3"/>
    <w:rsid w:val="009E6A57"/>
    <w:rsid w:val="009E6F84"/>
    <w:rsid w:val="009E7559"/>
    <w:rsid w:val="009E7A3A"/>
    <w:rsid w:val="009F0AD7"/>
    <w:rsid w:val="009F1652"/>
    <w:rsid w:val="009F28A9"/>
    <w:rsid w:val="009F352D"/>
    <w:rsid w:val="009F410F"/>
    <w:rsid w:val="009F51D1"/>
    <w:rsid w:val="009F5520"/>
    <w:rsid w:val="009F5A37"/>
    <w:rsid w:val="009F6984"/>
    <w:rsid w:val="009F75BD"/>
    <w:rsid w:val="00A013B6"/>
    <w:rsid w:val="00A022F3"/>
    <w:rsid w:val="00A02716"/>
    <w:rsid w:val="00A03086"/>
    <w:rsid w:val="00A031DF"/>
    <w:rsid w:val="00A0331E"/>
    <w:rsid w:val="00A03E68"/>
    <w:rsid w:val="00A046DC"/>
    <w:rsid w:val="00A05489"/>
    <w:rsid w:val="00A05AB8"/>
    <w:rsid w:val="00A06085"/>
    <w:rsid w:val="00A06566"/>
    <w:rsid w:val="00A06B5C"/>
    <w:rsid w:val="00A07E04"/>
    <w:rsid w:val="00A11F83"/>
    <w:rsid w:val="00A13884"/>
    <w:rsid w:val="00A1523E"/>
    <w:rsid w:val="00A15702"/>
    <w:rsid w:val="00A1639B"/>
    <w:rsid w:val="00A167F4"/>
    <w:rsid w:val="00A168D0"/>
    <w:rsid w:val="00A16CD8"/>
    <w:rsid w:val="00A17640"/>
    <w:rsid w:val="00A179F1"/>
    <w:rsid w:val="00A204D0"/>
    <w:rsid w:val="00A20A3A"/>
    <w:rsid w:val="00A20AA6"/>
    <w:rsid w:val="00A21673"/>
    <w:rsid w:val="00A23656"/>
    <w:rsid w:val="00A242B9"/>
    <w:rsid w:val="00A24618"/>
    <w:rsid w:val="00A2672C"/>
    <w:rsid w:val="00A27E0D"/>
    <w:rsid w:val="00A27F58"/>
    <w:rsid w:val="00A30002"/>
    <w:rsid w:val="00A305CA"/>
    <w:rsid w:val="00A30F3F"/>
    <w:rsid w:val="00A31043"/>
    <w:rsid w:val="00A31513"/>
    <w:rsid w:val="00A315DC"/>
    <w:rsid w:val="00A3183B"/>
    <w:rsid w:val="00A31E4E"/>
    <w:rsid w:val="00A3206B"/>
    <w:rsid w:val="00A321F4"/>
    <w:rsid w:val="00A3246C"/>
    <w:rsid w:val="00A33CEE"/>
    <w:rsid w:val="00A35070"/>
    <w:rsid w:val="00A351F8"/>
    <w:rsid w:val="00A35584"/>
    <w:rsid w:val="00A35884"/>
    <w:rsid w:val="00A35ABC"/>
    <w:rsid w:val="00A35D55"/>
    <w:rsid w:val="00A361F3"/>
    <w:rsid w:val="00A362C3"/>
    <w:rsid w:val="00A368D1"/>
    <w:rsid w:val="00A368FB"/>
    <w:rsid w:val="00A40A82"/>
    <w:rsid w:val="00A42091"/>
    <w:rsid w:val="00A42253"/>
    <w:rsid w:val="00A42E89"/>
    <w:rsid w:val="00A4314B"/>
    <w:rsid w:val="00A43EAE"/>
    <w:rsid w:val="00A443D8"/>
    <w:rsid w:val="00A44CF3"/>
    <w:rsid w:val="00A45139"/>
    <w:rsid w:val="00A4719A"/>
    <w:rsid w:val="00A47825"/>
    <w:rsid w:val="00A479D7"/>
    <w:rsid w:val="00A507A9"/>
    <w:rsid w:val="00A50C2C"/>
    <w:rsid w:val="00A50E99"/>
    <w:rsid w:val="00A5106A"/>
    <w:rsid w:val="00A52A19"/>
    <w:rsid w:val="00A52AFD"/>
    <w:rsid w:val="00A52E84"/>
    <w:rsid w:val="00A55396"/>
    <w:rsid w:val="00A55EC8"/>
    <w:rsid w:val="00A562C8"/>
    <w:rsid w:val="00A563D7"/>
    <w:rsid w:val="00A56C39"/>
    <w:rsid w:val="00A57BEB"/>
    <w:rsid w:val="00A57E3B"/>
    <w:rsid w:val="00A601AE"/>
    <w:rsid w:val="00A63242"/>
    <w:rsid w:val="00A6332C"/>
    <w:rsid w:val="00A63D5F"/>
    <w:rsid w:val="00A642A2"/>
    <w:rsid w:val="00A64E7F"/>
    <w:rsid w:val="00A65C44"/>
    <w:rsid w:val="00A673A0"/>
    <w:rsid w:val="00A678FE"/>
    <w:rsid w:val="00A67DF6"/>
    <w:rsid w:val="00A71B38"/>
    <w:rsid w:val="00A71B4A"/>
    <w:rsid w:val="00A71C75"/>
    <w:rsid w:val="00A72BD4"/>
    <w:rsid w:val="00A74CC8"/>
    <w:rsid w:val="00A7706F"/>
    <w:rsid w:val="00A77BFB"/>
    <w:rsid w:val="00A800F1"/>
    <w:rsid w:val="00A80677"/>
    <w:rsid w:val="00A80F32"/>
    <w:rsid w:val="00A8154A"/>
    <w:rsid w:val="00A8502C"/>
    <w:rsid w:val="00A85B60"/>
    <w:rsid w:val="00A86BF8"/>
    <w:rsid w:val="00A86E06"/>
    <w:rsid w:val="00A87563"/>
    <w:rsid w:val="00A901AD"/>
    <w:rsid w:val="00A9212A"/>
    <w:rsid w:val="00A92BC8"/>
    <w:rsid w:val="00A94388"/>
    <w:rsid w:val="00A952DB"/>
    <w:rsid w:val="00A95746"/>
    <w:rsid w:val="00A959A7"/>
    <w:rsid w:val="00A96557"/>
    <w:rsid w:val="00A97A4B"/>
    <w:rsid w:val="00A97BA4"/>
    <w:rsid w:val="00AA0AC8"/>
    <w:rsid w:val="00AA0E8C"/>
    <w:rsid w:val="00AA1514"/>
    <w:rsid w:val="00AA170A"/>
    <w:rsid w:val="00AA1E86"/>
    <w:rsid w:val="00AA21CA"/>
    <w:rsid w:val="00AA29F4"/>
    <w:rsid w:val="00AA3103"/>
    <w:rsid w:val="00AA3352"/>
    <w:rsid w:val="00AA33E5"/>
    <w:rsid w:val="00AA355D"/>
    <w:rsid w:val="00AA382E"/>
    <w:rsid w:val="00AA3B42"/>
    <w:rsid w:val="00AA5654"/>
    <w:rsid w:val="00AA56BC"/>
    <w:rsid w:val="00AA6912"/>
    <w:rsid w:val="00AA7A81"/>
    <w:rsid w:val="00AA7C0F"/>
    <w:rsid w:val="00AB014C"/>
    <w:rsid w:val="00AB07AB"/>
    <w:rsid w:val="00AB0ABF"/>
    <w:rsid w:val="00AB1126"/>
    <w:rsid w:val="00AB1150"/>
    <w:rsid w:val="00AB26AF"/>
    <w:rsid w:val="00AB2709"/>
    <w:rsid w:val="00AB3BC5"/>
    <w:rsid w:val="00AB3F43"/>
    <w:rsid w:val="00AB4BDB"/>
    <w:rsid w:val="00AB5082"/>
    <w:rsid w:val="00AB51CB"/>
    <w:rsid w:val="00AB5701"/>
    <w:rsid w:val="00AB7778"/>
    <w:rsid w:val="00AB7AE2"/>
    <w:rsid w:val="00AC1876"/>
    <w:rsid w:val="00AC2573"/>
    <w:rsid w:val="00AC2D91"/>
    <w:rsid w:val="00AC397C"/>
    <w:rsid w:val="00AC4A32"/>
    <w:rsid w:val="00AC5008"/>
    <w:rsid w:val="00AC57C7"/>
    <w:rsid w:val="00AC6693"/>
    <w:rsid w:val="00AC755E"/>
    <w:rsid w:val="00AC7672"/>
    <w:rsid w:val="00AC77AC"/>
    <w:rsid w:val="00AD1C27"/>
    <w:rsid w:val="00AD214B"/>
    <w:rsid w:val="00AD3914"/>
    <w:rsid w:val="00AD3CB2"/>
    <w:rsid w:val="00AD4220"/>
    <w:rsid w:val="00AD5F61"/>
    <w:rsid w:val="00AD685C"/>
    <w:rsid w:val="00AD68C2"/>
    <w:rsid w:val="00AD6ABE"/>
    <w:rsid w:val="00AD6E69"/>
    <w:rsid w:val="00AE03BB"/>
    <w:rsid w:val="00AE04D9"/>
    <w:rsid w:val="00AE1C73"/>
    <w:rsid w:val="00AE3712"/>
    <w:rsid w:val="00AE3D51"/>
    <w:rsid w:val="00AE4BDC"/>
    <w:rsid w:val="00AE63DF"/>
    <w:rsid w:val="00AE7038"/>
    <w:rsid w:val="00AF03E7"/>
    <w:rsid w:val="00AF13FF"/>
    <w:rsid w:val="00AF1BF9"/>
    <w:rsid w:val="00AF2967"/>
    <w:rsid w:val="00AF2F54"/>
    <w:rsid w:val="00AF4A3D"/>
    <w:rsid w:val="00AF50B3"/>
    <w:rsid w:val="00AF5381"/>
    <w:rsid w:val="00AF6758"/>
    <w:rsid w:val="00B007F2"/>
    <w:rsid w:val="00B02CB0"/>
    <w:rsid w:val="00B03355"/>
    <w:rsid w:val="00B03DF0"/>
    <w:rsid w:val="00B04864"/>
    <w:rsid w:val="00B05051"/>
    <w:rsid w:val="00B07300"/>
    <w:rsid w:val="00B076C5"/>
    <w:rsid w:val="00B103A8"/>
    <w:rsid w:val="00B110D9"/>
    <w:rsid w:val="00B111CF"/>
    <w:rsid w:val="00B11444"/>
    <w:rsid w:val="00B11A11"/>
    <w:rsid w:val="00B11E1E"/>
    <w:rsid w:val="00B127BF"/>
    <w:rsid w:val="00B12C0B"/>
    <w:rsid w:val="00B1336F"/>
    <w:rsid w:val="00B13976"/>
    <w:rsid w:val="00B13CAD"/>
    <w:rsid w:val="00B15752"/>
    <w:rsid w:val="00B164C0"/>
    <w:rsid w:val="00B17DB8"/>
    <w:rsid w:val="00B201C7"/>
    <w:rsid w:val="00B20E36"/>
    <w:rsid w:val="00B20FA8"/>
    <w:rsid w:val="00B22054"/>
    <w:rsid w:val="00B2220C"/>
    <w:rsid w:val="00B22B35"/>
    <w:rsid w:val="00B23E22"/>
    <w:rsid w:val="00B23EA1"/>
    <w:rsid w:val="00B242A1"/>
    <w:rsid w:val="00B25FC2"/>
    <w:rsid w:val="00B26825"/>
    <w:rsid w:val="00B26A96"/>
    <w:rsid w:val="00B27045"/>
    <w:rsid w:val="00B320A8"/>
    <w:rsid w:val="00B327E5"/>
    <w:rsid w:val="00B3303F"/>
    <w:rsid w:val="00B33768"/>
    <w:rsid w:val="00B34C27"/>
    <w:rsid w:val="00B3551B"/>
    <w:rsid w:val="00B35698"/>
    <w:rsid w:val="00B36928"/>
    <w:rsid w:val="00B3696C"/>
    <w:rsid w:val="00B37059"/>
    <w:rsid w:val="00B379AE"/>
    <w:rsid w:val="00B402D3"/>
    <w:rsid w:val="00B42041"/>
    <w:rsid w:val="00B421D1"/>
    <w:rsid w:val="00B43A40"/>
    <w:rsid w:val="00B440FA"/>
    <w:rsid w:val="00B44102"/>
    <w:rsid w:val="00B4443A"/>
    <w:rsid w:val="00B44573"/>
    <w:rsid w:val="00B45A5F"/>
    <w:rsid w:val="00B45AE3"/>
    <w:rsid w:val="00B45F9A"/>
    <w:rsid w:val="00B47812"/>
    <w:rsid w:val="00B504D2"/>
    <w:rsid w:val="00B505FD"/>
    <w:rsid w:val="00B51111"/>
    <w:rsid w:val="00B51428"/>
    <w:rsid w:val="00B51D33"/>
    <w:rsid w:val="00B52345"/>
    <w:rsid w:val="00B5317B"/>
    <w:rsid w:val="00B5397B"/>
    <w:rsid w:val="00B53C34"/>
    <w:rsid w:val="00B53CCE"/>
    <w:rsid w:val="00B53F51"/>
    <w:rsid w:val="00B54B08"/>
    <w:rsid w:val="00B5722A"/>
    <w:rsid w:val="00B60A5B"/>
    <w:rsid w:val="00B60C3D"/>
    <w:rsid w:val="00B61498"/>
    <w:rsid w:val="00B617B3"/>
    <w:rsid w:val="00B61C67"/>
    <w:rsid w:val="00B623D7"/>
    <w:rsid w:val="00B6267B"/>
    <w:rsid w:val="00B626D3"/>
    <w:rsid w:val="00B64787"/>
    <w:rsid w:val="00B64EFC"/>
    <w:rsid w:val="00B65040"/>
    <w:rsid w:val="00B653C0"/>
    <w:rsid w:val="00B65867"/>
    <w:rsid w:val="00B66219"/>
    <w:rsid w:val="00B66A4B"/>
    <w:rsid w:val="00B6725A"/>
    <w:rsid w:val="00B67C8F"/>
    <w:rsid w:val="00B7127B"/>
    <w:rsid w:val="00B71AF3"/>
    <w:rsid w:val="00B720CB"/>
    <w:rsid w:val="00B7240E"/>
    <w:rsid w:val="00B73A1C"/>
    <w:rsid w:val="00B741DA"/>
    <w:rsid w:val="00B752B7"/>
    <w:rsid w:val="00B801A1"/>
    <w:rsid w:val="00B80D8B"/>
    <w:rsid w:val="00B81248"/>
    <w:rsid w:val="00B8162E"/>
    <w:rsid w:val="00B82525"/>
    <w:rsid w:val="00B8409A"/>
    <w:rsid w:val="00B845BD"/>
    <w:rsid w:val="00B854A8"/>
    <w:rsid w:val="00B85514"/>
    <w:rsid w:val="00B85AC7"/>
    <w:rsid w:val="00B863D7"/>
    <w:rsid w:val="00B8698A"/>
    <w:rsid w:val="00B904DE"/>
    <w:rsid w:val="00B9153D"/>
    <w:rsid w:val="00B91D8D"/>
    <w:rsid w:val="00B927A0"/>
    <w:rsid w:val="00B929B2"/>
    <w:rsid w:val="00B92B8C"/>
    <w:rsid w:val="00B93211"/>
    <w:rsid w:val="00B94A6C"/>
    <w:rsid w:val="00B95503"/>
    <w:rsid w:val="00B9584E"/>
    <w:rsid w:val="00B9655B"/>
    <w:rsid w:val="00B966E1"/>
    <w:rsid w:val="00BA059C"/>
    <w:rsid w:val="00BA0937"/>
    <w:rsid w:val="00BA158D"/>
    <w:rsid w:val="00BA1DC8"/>
    <w:rsid w:val="00BA2287"/>
    <w:rsid w:val="00BA3186"/>
    <w:rsid w:val="00BA33FC"/>
    <w:rsid w:val="00BA3EA1"/>
    <w:rsid w:val="00BA40A6"/>
    <w:rsid w:val="00BA4DB8"/>
    <w:rsid w:val="00BA59F9"/>
    <w:rsid w:val="00BA60F3"/>
    <w:rsid w:val="00BB0406"/>
    <w:rsid w:val="00BB04DD"/>
    <w:rsid w:val="00BB0C12"/>
    <w:rsid w:val="00BB0EB9"/>
    <w:rsid w:val="00BB1719"/>
    <w:rsid w:val="00BB1ADB"/>
    <w:rsid w:val="00BB1F97"/>
    <w:rsid w:val="00BB21F3"/>
    <w:rsid w:val="00BB3CBC"/>
    <w:rsid w:val="00BB3E4E"/>
    <w:rsid w:val="00BB467F"/>
    <w:rsid w:val="00BB5D50"/>
    <w:rsid w:val="00BB600F"/>
    <w:rsid w:val="00BB6917"/>
    <w:rsid w:val="00BB6F7F"/>
    <w:rsid w:val="00BC0B9A"/>
    <w:rsid w:val="00BC115D"/>
    <w:rsid w:val="00BC309D"/>
    <w:rsid w:val="00BC3AC4"/>
    <w:rsid w:val="00BC3EA6"/>
    <w:rsid w:val="00BC3FF1"/>
    <w:rsid w:val="00BC4C35"/>
    <w:rsid w:val="00BC57F8"/>
    <w:rsid w:val="00BC658D"/>
    <w:rsid w:val="00BD123F"/>
    <w:rsid w:val="00BD2449"/>
    <w:rsid w:val="00BD2960"/>
    <w:rsid w:val="00BD29E6"/>
    <w:rsid w:val="00BD2C8C"/>
    <w:rsid w:val="00BD3871"/>
    <w:rsid w:val="00BD3B30"/>
    <w:rsid w:val="00BD712F"/>
    <w:rsid w:val="00BD782D"/>
    <w:rsid w:val="00BD7C3F"/>
    <w:rsid w:val="00BE08CE"/>
    <w:rsid w:val="00BE104D"/>
    <w:rsid w:val="00BE2B25"/>
    <w:rsid w:val="00BE3D59"/>
    <w:rsid w:val="00BE3E88"/>
    <w:rsid w:val="00BE3FB3"/>
    <w:rsid w:val="00BE413C"/>
    <w:rsid w:val="00BE433F"/>
    <w:rsid w:val="00BE4D23"/>
    <w:rsid w:val="00BE4E8D"/>
    <w:rsid w:val="00BE5210"/>
    <w:rsid w:val="00BE6666"/>
    <w:rsid w:val="00BE7D20"/>
    <w:rsid w:val="00BF01EA"/>
    <w:rsid w:val="00BF085A"/>
    <w:rsid w:val="00BF198D"/>
    <w:rsid w:val="00BF1D23"/>
    <w:rsid w:val="00BF2D7F"/>
    <w:rsid w:val="00BF3C0D"/>
    <w:rsid w:val="00BF49BF"/>
    <w:rsid w:val="00BF6883"/>
    <w:rsid w:val="00BF7D13"/>
    <w:rsid w:val="00C009E4"/>
    <w:rsid w:val="00C00FB5"/>
    <w:rsid w:val="00C01344"/>
    <w:rsid w:val="00C01581"/>
    <w:rsid w:val="00C02402"/>
    <w:rsid w:val="00C03552"/>
    <w:rsid w:val="00C03D98"/>
    <w:rsid w:val="00C040FC"/>
    <w:rsid w:val="00C04F0D"/>
    <w:rsid w:val="00C05968"/>
    <w:rsid w:val="00C05A98"/>
    <w:rsid w:val="00C06253"/>
    <w:rsid w:val="00C07EE0"/>
    <w:rsid w:val="00C11840"/>
    <w:rsid w:val="00C12105"/>
    <w:rsid w:val="00C121D3"/>
    <w:rsid w:val="00C1310C"/>
    <w:rsid w:val="00C13C18"/>
    <w:rsid w:val="00C1431B"/>
    <w:rsid w:val="00C15277"/>
    <w:rsid w:val="00C15730"/>
    <w:rsid w:val="00C15984"/>
    <w:rsid w:val="00C15DC9"/>
    <w:rsid w:val="00C203EF"/>
    <w:rsid w:val="00C20A0E"/>
    <w:rsid w:val="00C218EF"/>
    <w:rsid w:val="00C2215C"/>
    <w:rsid w:val="00C22315"/>
    <w:rsid w:val="00C22523"/>
    <w:rsid w:val="00C22EB4"/>
    <w:rsid w:val="00C23042"/>
    <w:rsid w:val="00C245E5"/>
    <w:rsid w:val="00C25A5D"/>
    <w:rsid w:val="00C25C21"/>
    <w:rsid w:val="00C2696F"/>
    <w:rsid w:val="00C26A5B"/>
    <w:rsid w:val="00C27266"/>
    <w:rsid w:val="00C277FA"/>
    <w:rsid w:val="00C27D9F"/>
    <w:rsid w:val="00C31615"/>
    <w:rsid w:val="00C31709"/>
    <w:rsid w:val="00C32BFA"/>
    <w:rsid w:val="00C3360C"/>
    <w:rsid w:val="00C35144"/>
    <w:rsid w:val="00C358B4"/>
    <w:rsid w:val="00C360F4"/>
    <w:rsid w:val="00C360FF"/>
    <w:rsid w:val="00C36AB6"/>
    <w:rsid w:val="00C372A9"/>
    <w:rsid w:val="00C37899"/>
    <w:rsid w:val="00C42293"/>
    <w:rsid w:val="00C426F9"/>
    <w:rsid w:val="00C42971"/>
    <w:rsid w:val="00C42B4A"/>
    <w:rsid w:val="00C435E9"/>
    <w:rsid w:val="00C43896"/>
    <w:rsid w:val="00C445CF"/>
    <w:rsid w:val="00C44782"/>
    <w:rsid w:val="00C456BB"/>
    <w:rsid w:val="00C46644"/>
    <w:rsid w:val="00C467D4"/>
    <w:rsid w:val="00C46C68"/>
    <w:rsid w:val="00C47509"/>
    <w:rsid w:val="00C5176C"/>
    <w:rsid w:val="00C52B40"/>
    <w:rsid w:val="00C531DC"/>
    <w:rsid w:val="00C53347"/>
    <w:rsid w:val="00C5353E"/>
    <w:rsid w:val="00C53886"/>
    <w:rsid w:val="00C53E99"/>
    <w:rsid w:val="00C55919"/>
    <w:rsid w:val="00C55ABA"/>
    <w:rsid w:val="00C56AFA"/>
    <w:rsid w:val="00C56F6C"/>
    <w:rsid w:val="00C574DE"/>
    <w:rsid w:val="00C5777E"/>
    <w:rsid w:val="00C577CD"/>
    <w:rsid w:val="00C57DA0"/>
    <w:rsid w:val="00C57E41"/>
    <w:rsid w:val="00C62169"/>
    <w:rsid w:val="00C621E4"/>
    <w:rsid w:val="00C62658"/>
    <w:rsid w:val="00C6322A"/>
    <w:rsid w:val="00C63926"/>
    <w:rsid w:val="00C64AE5"/>
    <w:rsid w:val="00C64E18"/>
    <w:rsid w:val="00C6521E"/>
    <w:rsid w:val="00C6544A"/>
    <w:rsid w:val="00C65C4F"/>
    <w:rsid w:val="00C65DA9"/>
    <w:rsid w:val="00C661BB"/>
    <w:rsid w:val="00C669BF"/>
    <w:rsid w:val="00C70914"/>
    <w:rsid w:val="00C70981"/>
    <w:rsid w:val="00C719E1"/>
    <w:rsid w:val="00C730B0"/>
    <w:rsid w:val="00C7373B"/>
    <w:rsid w:val="00C739EC"/>
    <w:rsid w:val="00C7555B"/>
    <w:rsid w:val="00C75699"/>
    <w:rsid w:val="00C75D46"/>
    <w:rsid w:val="00C75D5E"/>
    <w:rsid w:val="00C76DD9"/>
    <w:rsid w:val="00C771D5"/>
    <w:rsid w:val="00C77556"/>
    <w:rsid w:val="00C807A1"/>
    <w:rsid w:val="00C80976"/>
    <w:rsid w:val="00C80BCE"/>
    <w:rsid w:val="00C80DF7"/>
    <w:rsid w:val="00C812F9"/>
    <w:rsid w:val="00C828EF"/>
    <w:rsid w:val="00C8316D"/>
    <w:rsid w:val="00C83242"/>
    <w:rsid w:val="00C83B2E"/>
    <w:rsid w:val="00C84527"/>
    <w:rsid w:val="00C84553"/>
    <w:rsid w:val="00C84736"/>
    <w:rsid w:val="00C85223"/>
    <w:rsid w:val="00C8628C"/>
    <w:rsid w:val="00C86A48"/>
    <w:rsid w:val="00C876CE"/>
    <w:rsid w:val="00C876F8"/>
    <w:rsid w:val="00C90789"/>
    <w:rsid w:val="00C91C4D"/>
    <w:rsid w:val="00C92122"/>
    <w:rsid w:val="00C92DD5"/>
    <w:rsid w:val="00C92DDD"/>
    <w:rsid w:val="00C931D6"/>
    <w:rsid w:val="00C94431"/>
    <w:rsid w:val="00C9521A"/>
    <w:rsid w:val="00C95951"/>
    <w:rsid w:val="00C95B79"/>
    <w:rsid w:val="00C95DA8"/>
    <w:rsid w:val="00C97754"/>
    <w:rsid w:val="00CA14D0"/>
    <w:rsid w:val="00CA160C"/>
    <w:rsid w:val="00CA179B"/>
    <w:rsid w:val="00CA267C"/>
    <w:rsid w:val="00CA2CA5"/>
    <w:rsid w:val="00CA5343"/>
    <w:rsid w:val="00CA704E"/>
    <w:rsid w:val="00CA771F"/>
    <w:rsid w:val="00CA7D2E"/>
    <w:rsid w:val="00CB14B3"/>
    <w:rsid w:val="00CB1FC0"/>
    <w:rsid w:val="00CB22C7"/>
    <w:rsid w:val="00CB2A49"/>
    <w:rsid w:val="00CB2E2C"/>
    <w:rsid w:val="00CB397B"/>
    <w:rsid w:val="00CB488F"/>
    <w:rsid w:val="00CB5294"/>
    <w:rsid w:val="00CB6875"/>
    <w:rsid w:val="00CB74AF"/>
    <w:rsid w:val="00CB7762"/>
    <w:rsid w:val="00CC11C9"/>
    <w:rsid w:val="00CC1B0F"/>
    <w:rsid w:val="00CC25BF"/>
    <w:rsid w:val="00CC3B5A"/>
    <w:rsid w:val="00CC7B6F"/>
    <w:rsid w:val="00CD034D"/>
    <w:rsid w:val="00CD0AE2"/>
    <w:rsid w:val="00CD0BD1"/>
    <w:rsid w:val="00CD1763"/>
    <w:rsid w:val="00CD25D2"/>
    <w:rsid w:val="00CD37F6"/>
    <w:rsid w:val="00CD3B1B"/>
    <w:rsid w:val="00CD5E4B"/>
    <w:rsid w:val="00CD68AA"/>
    <w:rsid w:val="00CD6C55"/>
    <w:rsid w:val="00CD70A7"/>
    <w:rsid w:val="00CD7CCA"/>
    <w:rsid w:val="00CE22E6"/>
    <w:rsid w:val="00CE294C"/>
    <w:rsid w:val="00CE36E8"/>
    <w:rsid w:val="00CE3789"/>
    <w:rsid w:val="00CE42FF"/>
    <w:rsid w:val="00CE561C"/>
    <w:rsid w:val="00CE587E"/>
    <w:rsid w:val="00CE5C9A"/>
    <w:rsid w:val="00CE6061"/>
    <w:rsid w:val="00CE7A5F"/>
    <w:rsid w:val="00CE7D09"/>
    <w:rsid w:val="00CE7DD6"/>
    <w:rsid w:val="00CF02A2"/>
    <w:rsid w:val="00CF10BD"/>
    <w:rsid w:val="00CF1682"/>
    <w:rsid w:val="00CF1A89"/>
    <w:rsid w:val="00CF364F"/>
    <w:rsid w:val="00CF393D"/>
    <w:rsid w:val="00CF4C81"/>
    <w:rsid w:val="00CF4CDC"/>
    <w:rsid w:val="00CF4EC6"/>
    <w:rsid w:val="00D00A42"/>
    <w:rsid w:val="00D0154D"/>
    <w:rsid w:val="00D01EDA"/>
    <w:rsid w:val="00D04195"/>
    <w:rsid w:val="00D042C8"/>
    <w:rsid w:val="00D045F5"/>
    <w:rsid w:val="00D04FF0"/>
    <w:rsid w:val="00D0592B"/>
    <w:rsid w:val="00D06A4D"/>
    <w:rsid w:val="00D07D02"/>
    <w:rsid w:val="00D07ECF"/>
    <w:rsid w:val="00D101DA"/>
    <w:rsid w:val="00D10B66"/>
    <w:rsid w:val="00D10F92"/>
    <w:rsid w:val="00D11C11"/>
    <w:rsid w:val="00D12905"/>
    <w:rsid w:val="00D12C08"/>
    <w:rsid w:val="00D13018"/>
    <w:rsid w:val="00D1398E"/>
    <w:rsid w:val="00D13FF3"/>
    <w:rsid w:val="00D1461C"/>
    <w:rsid w:val="00D14966"/>
    <w:rsid w:val="00D14B18"/>
    <w:rsid w:val="00D1723D"/>
    <w:rsid w:val="00D17E1D"/>
    <w:rsid w:val="00D20333"/>
    <w:rsid w:val="00D2043D"/>
    <w:rsid w:val="00D20791"/>
    <w:rsid w:val="00D21470"/>
    <w:rsid w:val="00D226AE"/>
    <w:rsid w:val="00D22899"/>
    <w:rsid w:val="00D23300"/>
    <w:rsid w:val="00D24A18"/>
    <w:rsid w:val="00D250B2"/>
    <w:rsid w:val="00D25BA5"/>
    <w:rsid w:val="00D26667"/>
    <w:rsid w:val="00D272D0"/>
    <w:rsid w:val="00D27A6D"/>
    <w:rsid w:val="00D301CE"/>
    <w:rsid w:val="00D30588"/>
    <w:rsid w:val="00D308A5"/>
    <w:rsid w:val="00D309A4"/>
    <w:rsid w:val="00D30C20"/>
    <w:rsid w:val="00D30D7B"/>
    <w:rsid w:val="00D30DFA"/>
    <w:rsid w:val="00D326B3"/>
    <w:rsid w:val="00D32AA5"/>
    <w:rsid w:val="00D3330F"/>
    <w:rsid w:val="00D33388"/>
    <w:rsid w:val="00D33566"/>
    <w:rsid w:val="00D34A10"/>
    <w:rsid w:val="00D34B2D"/>
    <w:rsid w:val="00D34CB8"/>
    <w:rsid w:val="00D34D29"/>
    <w:rsid w:val="00D353B8"/>
    <w:rsid w:val="00D369C9"/>
    <w:rsid w:val="00D409E6"/>
    <w:rsid w:val="00D42E11"/>
    <w:rsid w:val="00D438BD"/>
    <w:rsid w:val="00D43A48"/>
    <w:rsid w:val="00D4428C"/>
    <w:rsid w:val="00D442B5"/>
    <w:rsid w:val="00D44A5E"/>
    <w:rsid w:val="00D44A8F"/>
    <w:rsid w:val="00D44B50"/>
    <w:rsid w:val="00D44CC0"/>
    <w:rsid w:val="00D4506F"/>
    <w:rsid w:val="00D4651D"/>
    <w:rsid w:val="00D4733F"/>
    <w:rsid w:val="00D5101F"/>
    <w:rsid w:val="00D513FB"/>
    <w:rsid w:val="00D5218C"/>
    <w:rsid w:val="00D52B49"/>
    <w:rsid w:val="00D53333"/>
    <w:rsid w:val="00D55B9A"/>
    <w:rsid w:val="00D57361"/>
    <w:rsid w:val="00D6027A"/>
    <w:rsid w:val="00D609BA"/>
    <w:rsid w:val="00D60F44"/>
    <w:rsid w:val="00D628FD"/>
    <w:rsid w:val="00D62B3F"/>
    <w:rsid w:val="00D62E4D"/>
    <w:rsid w:val="00D63329"/>
    <w:rsid w:val="00D63403"/>
    <w:rsid w:val="00D63DFE"/>
    <w:rsid w:val="00D643BF"/>
    <w:rsid w:val="00D65644"/>
    <w:rsid w:val="00D65B8B"/>
    <w:rsid w:val="00D65DEE"/>
    <w:rsid w:val="00D66038"/>
    <w:rsid w:val="00D66B2C"/>
    <w:rsid w:val="00D67FFA"/>
    <w:rsid w:val="00D704B1"/>
    <w:rsid w:val="00D705B1"/>
    <w:rsid w:val="00D70774"/>
    <w:rsid w:val="00D71093"/>
    <w:rsid w:val="00D714C6"/>
    <w:rsid w:val="00D71842"/>
    <w:rsid w:val="00D72552"/>
    <w:rsid w:val="00D73EBF"/>
    <w:rsid w:val="00D73F17"/>
    <w:rsid w:val="00D7400F"/>
    <w:rsid w:val="00D74314"/>
    <w:rsid w:val="00D74735"/>
    <w:rsid w:val="00D749FB"/>
    <w:rsid w:val="00D8004D"/>
    <w:rsid w:val="00D80597"/>
    <w:rsid w:val="00D81EAE"/>
    <w:rsid w:val="00D8574D"/>
    <w:rsid w:val="00D864A3"/>
    <w:rsid w:val="00D86723"/>
    <w:rsid w:val="00D87A33"/>
    <w:rsid w:val="00D87D26"/>
    <w:rsid w:val="00D900F2"/>
    <w:rsid w:val="00D9099B"/>
    <w:rsid w:val="00D91414"/>
    <w:rsid w:val="00D916B6"/>
    <w:rsid w:val="00D91A9F"/>
    <w:rsid w:val="00D92943"/>
    <w:rsid w:val="00D967E6"/>
    <w:rsid w:val="00D97018"/>
    <w:rsid w:val="00D9731C"/>
    <w:rsid w:val="00D974D1"/>
    <w:rsid w:val="00DA01D7"/>
    <w:rsid w:val="00DA0A3C"/>
    <w:rsid w:val="00DA0E9F"/>
    <w:rsid w:val="00DA1782"/>
    <w:rsid w:val="00DA41FB"/>
    <w:rsid w:val="00DA4676"/>
    <w:rsid w:val="00DA4D8D"/>
    <w:rsid w:val="00DA543C"/>
    <w:rsid w:val="00DA5A15"/>
    <w:rsid w:val="00DA671C"/>
    <w:rsid w:val="00DA6E51"/>
    <w:rsid w:val="00DA7476"/>
    <w:rsid w:val="00DA7926"/>
    <w:rsid w:val="00DA7CD3"/>
    <w:rsid w:val="00DB03D8"/>
    <w:rsid w:val="00DB0D04"/>
    <w:rsid w:val="00DB0EBA"/>
    <w:rsid w:val="00DB1A0D"/>
    <w:rsid w:val="00DB29F2"/>
    <w:rsid w:val="00DB2FCE"/>
    <w:rsid w:val="00DB3928"/>
    <w:rsid w:val="00DB46BE"/>
    <w:rsid w:val="00DB51A9"/>
    <w:rsid w:val="00DB5883"/>
    <w:rsid w:val="00DB5957"/>
    <w:rsid w:val="00DB61A3"/>
    <w:rsid w:val="00DB61FA"/>
    <w:rsid w:val="00DB75A3"/>
    <w:rsid w:val="00DC0129"/>
    <w:rsid w:val="00DC0546"/>
    <w:rsid w:val="00DC09E0"/>
    <w:rsid w:val="00DC0EA5"/>
    <w:rsid w:val="00DC10EE"/>
    <w:rsid w:val="00DC145F"/>
    <w:rsid w:val="00DC1C64"/>
    <w:rsid w:val="00DC2254"/>
    <w:rsid w:val="00DC26CC"/>
    <w:rsid w:val="00DC464B"/>
    <w:rsid w:val="00DC4A3B"/>
    <w:rsid w:val="00DC5608"/>
    <w:rsid w:val="00DC5F9A"/>
    <w:rsid w:val="00DC66A3"/>
    <w:rsid w:val="00DC6861"/>
    <w:rsid w:val="00DC695D"/>
    <w:rsid w:val="00DC6DB8"/>
    <w:rsid w:val="00DC7053"/>
    <w:rsid w:val="00DD1F38"/>
    <w:rsid w:val="00DD2269"/>
    <w:rsid w:val="00DD2574"/>
    <w:rsid w:val="00DD3B84"/>
    <w:rsid w:val="00DD3BC9"/>
    <w:rsid w:val="00DD5202"/>
    <w:rsid w:val="00DD5C4F"/>
    <w:rsid w:val="00DD624E"/>
    <w:rsid w:val="00DD66C0"/>
    <w:rsid w:val="00DD6737"/>
    <w:rsid w:val="00DE01B8"/>
    <w:rsid w:val="00DE0347"/>
    <w:rsid w:val="00DE10E9"/>
    <w:rsid w:val="00DE1248"/>
    <w:rsid w:val="00DE1A48"/>
    <w:rsid w:val="00DE20CF"/>
    <w:rsid w:val="00DE22A5"/>
    <w:rsid w:val="00DE393E"/>
    <w:rsid w:val="00DE4C8A"/>
    <w:rsid w:val="00DE5A1F"/>
    <w:rsid w:val="00DE654D"/>
    <w:rsid w:val="00DE6FEA"/>
    <w:rsid w:val="00DE7525"/>
    <w:rsid w:val="00DF0FDA"/>
    <w:rsid w:val="00DF13AD"/>
    <w:rsid w:val="00DF19F4"/>
    <w:rsid w:val="00DF1DCC"/>
    <w:rsid w:val="00DF2011"/>
    <w:rsid w:val="00DF2292"/>
    <w:rsid w:val="00DF2DE4"/>
    <w:rsid w:val="00DF4640"/>
    <w:rsid w:val="00DF49E9"/>
    <w:rsid w:val="00DF5003"/>
    <w:rsid w:val="00DF549C"/>
    <w:rsid w:val="00DF62B6"/>
    <w:rsid w:val="00DF6509"/>
    <w:rsid w:val="00DF6520"/>
    <w:rsid w:val="00DF6D01"/>
    <w:rsid w:val="00DF6D7E"/>
    <w:rsid w:val="00DF6EAD"/>
    <w:rsid w:val="00DF7278"/>
    <w:rsid w:val="00DF73D4"/>
    <w:rsid w:val="00DF7464"/>
    <w:rsid w:val="00E0071C"/>
    <w:rsid w:val="00E009EB"/>
    <w:rsid w:val="00E00CF8"/>
    <w:rsid w:val="00E00D8B"/>
    <w:rsid w:val="00E011D9"/>
    <w:rsid w:val="00E0197D"/>
    <w:rsid w:val="00E01EFE"/>
    <w:rsid w:val="00E02928"/>
    <w:rsid w:val="00E030DE"/>
    <w:rsid w:val="00E035C0"/>
    <w:rsid w:val="00E04213"/>
    <w:rsid w:val="00E047B5"/>
    <w:rsid w:val="00E04C13"/>
    <w:rsid w:val="00E059F8"/>
    <w:rsid w:val="00E06C19"/>
    <w:rsid w:val="00E07122"/>
    <w:rsid w:val="00E10194"/>
    <w:rsid w:val="00E106DE"/>
    <w:rsid w:val="00E1191B"/>
    <w:rsid w:val="00E11EB0"/>
    <w:rsid w:val="00E11F39"/>
    <w:rsid w:val="00E12071"/>
    <w:rsid w:val="00E123D9"/>
    <w:rsid w:val="00E13BE1"/>
    <w:rsid w:val="00E13BE8"/>
    <w:rsid w:val="00E1609E"/>
    <w:rsid w:val="00E163A0"/>
    <w:rsid w:val="00E169D5"/>
    <w:rsid w:val="00E16B71"/>
    <w:rsid w:val="00E177F7"/>
    <w:rsid w:val="00E17A4B"/>
    <w:rsid w:val="00E17EA1"/>
    <w:rsid w:val="00E205FF"/>
    <w:rsid w:val="00E209F7"/>
    <w:rsid w:val="00E2211C"/>
    <w:rsid w:val="00E2213B"/>
    <w:rsid w:val="00E22339"/>
    <w:rsid w:val="00E22CA8"/>
    <w:rsid w:val="00E23445"/>
    <w:rsid w:val="00E23988"/>
    <w:rsid w:val="00E23BEC"/>
    <w:rsid w:val="00E26D6D"/>
    <w:rsid w:val="00E27105"/>
    <w:rsid w:val="00E27298"/>
    <w:rsid w:val="00E27409"/>
    <w:rsid w:val="00E27F45"/>
    <w:rsid w:val="00E30CCB"/>
    <w:rsid w:val="00E31AF3"/>
    <w:rsid w:val="00E32748"/>
    <w:rsid w:val="00E330BD"/>
    <w:rsid w:val="00E33274"/>
    <w:rsid w:val="00E34C80"/>
    <w:rsid w:val="00E34D10"/>
    <w:rsid w:val="00E34E84"/>
    <w:rsid w:val="00E36C1D"/>
    <w:rsid w:val="00E37144"/>
    <w:rsid w:val="00E37268"/>
    <w:rsid w:val="00E37828"/>
    <w:rsid w:val="00E40D52"/>
    <w:rsid w:val="00E415DC"/>
    <w:rsid w:val="00E4199F"/>
    <w:rsid w:val="00E42813"/>
    <w:rsid w:val="00E4323D"/>
    <w:rsid w:val="00E444D8"/>
    <w:rsid w:val="00E4465A"/>
    <w:rsid w:val="00E4474B"/>
    <w:rsid w:val="00E454A4"/>
    <w:rsid w:val="00E46EE8"/>
    <w:rsid w:val="00E47D83"/>
    <w:rsid w:val="00E50D75"/>
    <w:rsid w:val="00E5366A"/>
    <w:rsid w:val="00E53780"/>
    <w:rsid w:val="00E53B6E"/>
    <w:rsid w:val="00E5438B"/>
    <w:rsid w:val="00E5498F"/>
    <w:rsid w:val="00E56707"/>
    <w:rsid w:val="00E56C6E"/>
    <w:rsid w:val="00E575D2"/>
    <w:rsid w:val="00E621AD"/>
    <w:rsid w:val="00E6337E"/>
    <w:rsid w:val="00E65CF3"/>
    <w:rsid w:val="00E6655A"/>
    <w:rsid w:val="00E66A47"/>
    <w:rsid w:val="00E67236"/>
    <w:rsid w:val="00E67F21"/>
    <w:rsid w:val="00E706C9"/>
    <w:rsid w:val="00E70A4E"/>
    <w:rsid w:val="00E711B8"/>
    <w:rsid w:val="00E71457"/>
    <w:rsid w:val="00E72200"/>
    <w:rsid w:val="00E72482"/>
    <w:rsid w:val="00E739C1"/>
    <w:rsid w:val="00E74075"/>
    <w:rsid w:val="00E74125"/>
    <w:rsid w:val="00E74EC7"/>
    <w:rsid w:val="00E7506A"/>
    <w:rsid w:val="00E76C29"/>
    <w:rsid w:val="00E77350"/>
    <w:rsid w:val="00E8030D"/>
    <w:rsid w:val="00E80879"/>
    <w:rsid w:val="00E80A0C"/>
    <w:rsid w:val="00E80A6A"/>
    <w:rsid w:val="00E81D9F"/>
    <w:rsid w:val="00E82178"/>
    <w:rsid w:val="00E83000"/>
    <w:rsid w:val="00E848D7"/>
    <w:rsid w:val="00E849E5"/>
    <w:rsid w:val="00E85274"/>
    <w:rsid w:val="00E865D3"/>
    <w:rsid w:val="00E8767A"/>
    <w:rsid w:val="00E877F0"/>
    <w:rsid w:val="00E87BBD"/>
    <w:rsid w:val="00E905C3"/>
    <w:rsid w:val="00E9090C"/>
    <w:rsid w:val="00E90CB5"/>
    <w:rsid w:val="00E90EDD"/>
    <w:rsid w:val="00E911BB"/>
    <w:rsid w:val="00E91AD2"/>
    <w:rsid w:val="00E92388"/>
    <w:rsid w:val="00E93A0C"/>
    <w:rsid w:val="00E93DD3"/>
    <w:rsid w:val="00E95458"/>
    <w:rsid w:val="00E969E0"/>
    <w:rsid w:val="00E979FC"/>
    <w:rsid w:val="00EA057C"/>
    <w:rsid w:val="00EA24D6"/>
    <w:rsid w:val="00EA2F68"/>
    <w:rsid w:val="00EA389E"/>
    <w:rsid w:val="00EA71EB"/>
    <w:rsid w:val="00EA7C31"/>
    <w:rsid w:val="00EB0DA0"/>
    <w:rsid w:val="00EB25A5"/>
    <w:rsid w:val="00EB4174"/>
    <w:rsid w:val="00EB4577"/>
    <w:rsid w:val="00EB4FAC"/>
    <w:rsid w:val="00EB4FB9"/>
    <w:rsid w:val="00EB54F0"/>
    <w:rsid w:val="00EB5E60"/>
    <w:rsid w:val="00EC158B"/>
    <w:rsid w:val="00EC1FAB"/>
    <w:rsid w:val="00EC3079"/>
    <w:rsid w:val="00EC3344"/>
    <w:rsid w:val="00EC36C4"/>
    <w:rsid w:val="00EC4979"/>
    <w:rsid w:val="00EC5C92"/>
    <w:rsid w:val="00EC72A7"/>
    <w:rsid w:val="00EC73F7"/>
    <w:rsid w:val="00ED050F"/>
    <w:rsid w:val="00ED05B3"/>
    <w:rsid w:val="00ED076B"/>
    <w:rsid w:val="00ED0F45"/>
    <w:rsid w:val="00ED1003"/>
    <w:rsid w:val="00ED1655"/>
    <w:rsid w:val="00ED1705"/>
    <w:rsid w:val="00ED3345"/>
    <w:rsid w:val="00ED3C2C"/>
    <w:rsid w:val="00ED4590"/>
    <w:rsid w:val="00ED45BE"/>
    <w:rsid w:val="00ED4723"/>
    <w:rsid w:val="00ED57E3"/>
    <w:rsid w:val="00ED7402"/>
    <w:rsid w:val="00ED7BBB"/>
    <w:rsid w:val="00ED7EA3"/>
    <w:rsid w:val="00EE12C3"/>
    <w:rsid w:val="00EE1769"/>
    <w:rsid w:val="00EE2D60"/>
    <w:rsid w:val="00EE38B5"/>
    <w:rsid w:val="00EE4CA6"/>
    <w:rsid w:val="00EE5D9A"/>
    <w:rsid w:val="00EE5D9F"/>
    <w:rsid w:val="00EE7C64"/>
    <w:rsid w:val="00EF176E"/>
    <w:rsid w:val="00EF1EFA"/>
    <w:rsid w:val="00EF211E"/>
    <w:rsid w:val="00EF3A65"/>
    <w:rsid w:val="00EF4CAE"/>
    <w:rsid w:val="00EF57D0"/>
    <w:rsid w:val="00EF5EED"/>
    <w:rsid w:val="00EF63E5"/>
    <w:rsid w:val="00EF7096"/>
    <w:rsid w:val="00EF7287"/>
    <w:rsid w:val="00EF7C0A"/>
    <w:rsid w:val="00F007E8"/>
    <w:rsid w:val="00F01D15"/>
    <w:rsid w:val="00F0275E"/>
    <w:rsid w:val="00F03372"/>
    <w:rsid w:val="00F03F40"/>
    <w:rsid w:val="00F05680"/>
    <w:rsid w:val="00F05E90"/>
    <w:rsid w:val="00F066D3"/>
    <w:rsid w:val="00F10EC6"/>
    <w:rsid w:val="00F11230"/>
    <w:rsid w:val="00F12246"/>
    <w:rsid w:val="00F12D31"/>
    <w:rsid w:val="00F13833"/>
    <w:rsid w:val="00F13B06"/>
    <w:rsid w:val="00F13C01"/>
    <w:rsid w:val="00F13F5E"/>
    <w:rsid w:val="00F14115"/>
    <w:rsid w:val="00F14879"/>
    <w:rsid w:val="00F148D5"/>
    <w:rsid w:val="00F14DBC"/>
    <w:rsid w:val="00F170BE"/>
    <w:rsid w:val="00F17390"/>
    <w:rsid w:val="00F20C47"/>
    <w:rsid w:val="00F21DA1"/>
    <w:rsid w:val="00F22BCA"/>
    <w:rsid w:val="00F244B9"/>
    <w:rsid w:val="00F24B8F"/>
    <w:rsid w:val="00F26994"/>
    <w:rsid w:val="00F26A73"/>
    <w:rsid w:val="00F26C23"/>
    <w:rsid w:val="00F271E8"/>
    <w:rsid w:val="00F27B25"/>
    <w:rsid w:val="00F27F3F"/>
    <w:rsid w:val="00F30016"/>
    <w:rsid w:val="00F307CF"/>
    <w:rsid w:val="00F3082A"/>
    <w:rsid w:val="00F310C7"/>
    <w:rsid w:val="00F3187E"/>
    <w:rsid w:val="00F3245C"/>
    <w:rsid w:val="00F32A57"/>
    <w:rsid w:val="00F32DA5"/>
    <w:rsid w:val="00F333E3"/>
    <w:rsid w:val="00F33BC2"/>
    <w:rsid w:val="00F33D87"/>
    <w:rsid w:val="00F33E1B"/>
    <w:rsid w:val="00F34D3A"/>
    <w:rsid w:val="00F361CE"/>
    <w:rsid w:val="00F374B0"/>
    <w:rsid w:val="00F37506"/>
    <w:rsid w:val="00F40187"/>
    <w:rsid w:val="00F4185E"/>
    <w:rsid w:val="00F41BED"/>
    <w:rsid w:val="00F41CA5"/>
    <w:rsid w:val="00F428C6"/>
    <w:rsid w:val="00F42C68"/>
    <w:rsid w:val="00F4430A"/>
    <w:rsid w:val="00F45149"/>
    <w:rsid w:val="00F45970"/>
    <w:rsid w:val="00F46366"/>
    <w:rsid w:val="00F46C36"/>
    <w:rsid w:val="00F47FCC"/>
    <w:rsid w:val="00F50884"/>
    <w:rsid w:val="00F50EEF"/>
    <w:rsid w:val="00F5158E"/>
    <w:rsid w:val="00F5192B"/>
    <w:rsid w:val="00F53C8F"/>
    <w:rsid w:val="00F53E1A"/>
    <w:rsid w:val="00F573BB"/>
    <w:rsid w:val="00F607C9"/>
    <w:rsid w:val="00F63FBA"/>
    <w:rsid w:val="00F6547F"/>
    <w:rsid w:val="00F65514"/>
    <w:rsid w:val="00F6622F"/>
    <w:rsid w:val="00F66AFC"/>
    <w:rsid w:val="00F66BAD"/>
    <w:rsid w:val="00F66CCD"/>
    <w:rsid w:val="00F676F3"/>
    <w:rsid w:val="00F67B26"/>
    <w:rsid w:val="00F705CF"/>
    <w:rsid w:val="00F7094F"/>
    <w:rsid w:val="00F71BA1"/>
    <w:rsid w:val="00F71BDC"/>
    <w:rsid w:val="00F7233F"/>
    <w:rsid w:val="00F73827"/>
    <w:rsid w:val="00F73D60"/>
    <w:rsid w:val="00F73F0C"/>
    <w:rsid w:val="00F74DCD"/>
    <w:rsid w:val="00F75718"/>
    <w:rsid w:val="00F75C3A"/>
    <w:rsid w:val="00F77436"/>
    <w:rsid w:val="00F80288"/>
    <w:rsid w:val="00F80AB2"/>
    <w:rsid w:val="00F817FC"/>
    <w:rsid w:val="00F81A95"/>
    <w:rsid w:val="00F81F0A"/>
    <w:rsid w:val="00F82D36"/>
    <w:rsid w:val="00F837A1"/>
    <w:rsid w:val="00F851E7"/>
    <w:rsid w:val="00F85D75"/>
    <w:rsid w:val="00F85FE4"/>
    <w:rsid w:val="00F86B55"/>
    <w:rsid w:val="00F86EA4"/>
    <w:rsid w:val="00F900DC"/>
    <w:rsid w:val="00F907E5"/>
    <w:rsid w:val="00F91233"/>
    <w:rsid w:val="00F93969"/>
    <w:rsid w:val="00F93E8C"/>
    <w:rsid w:val="00F948B6"/>
    <w:rsid w:val="00F94AD4"/>
    <w:rsid w:val="00F96FCF"/>
    <w:rsid w:val="00FA0E24"/>
    <w:rsid w:val="00FA255C"/>
    <w:rsid w:val="00FA2770"/>
    <w:rsid w:val="00FA298F"/>
    <w:rsid w:val="00FA2C2F"/>
    <w:rsid w:val="00FA3882"/>
    <w:rsid w:val="00FA3D1B"/>
    <w:rsid w:val="00FA45F8"/>
    <w:rsid w:val="00FA4BCE"/>
    <w:rsid w:val="00FA51A0"/>
    <w:rsid w:val="00FA5EA7"/>
    <w:rsid w:val="00FA5F08"/>
    <w:rsid w:val="00FA67B9"/>
    <w:rsid w:val="00FB0025"/>
    <w:rsid w:val="00FB0A0C"/>
    <w:rsid w:val="00FB212F"/>
    <w:rsid w:val="00FB2257"/>
    <w:rsid w:val="00FB2A6A"/>
    <w:rsid w:val="00FB358B"/>
    <w:rsid w:val="00FB3DD1"/>
    <w:rsid w:val="00FB42C7"/>
    <w:rsid w:val="00FB4C66"/>
    <w:rsid w:val="00FB4F44"/>
    <w:rsid w:val="00FB50B4"/>
    <w:rsid w:val="00FB5E36"/>
    <w:rsid w:val="00FB6803"/>
    <w:rsid w:val="00FB6FCC"/>
    <w:rsid w:val="00FB7319"/>
    <w:rsid w:val="00FB756D"/>
    <w:rsid w:val="00FB78D7"/>
    <w:rsid w:val="00FB7D7A"/>
    <w:rsid w:val="00FC01C1"/>
    <w:rsid w:val="00FC11D1"/>
    <w:rsid w:val="00FC228A"/>
    <w:rsid w:val="00FC394A"/>
    <w:rsid w:val="00FC3D2A"/>
    <w:rsid w:val="00FC3E52"/>
    <w:rsid w:val="00FC3F8B"/>
    <w:rsid w:val="00FC4023"/>
    <w:rsid w:val="00FC6DD6"/>
    <w:rsid w:val="00FC799F"/>
    <w:rsid w:val="00FD112E"/>
    <w:rsid w:val="00FD1972"/>
    <w:rsid w:val="00FD2811"/>
    <w:rsid w:val="00FD2869"/>
    <w:rsid w:val="00FD2FC0"/>
    <w:rsid w:val="00FD34F7"/>
    <w:rsid w:val="00FD361A"/>
    <w:rsid w:val="00FD3B8C"/>
    <w:rsid w:val="00FD4552"/>
    <w:rsid w:val="00FD5115"/>
    <w:rsid w:val="00FD6021"/>
    <w:rsid w:val="00FD6779"/>
    <w:rsid w:val="00FD6E72"/>
    <w:rsid w:val="00FD7BF9"/>
    <w:rsid w:val="00FD7C9F"/>
    <w:rsid w:val="00FE031C"/>
    <w:rsid w:val="00FE03DB"/>
    <w:rsid w:val="00FE2377"/>
    <w:rsid w:val="00FE28ED"/>
    <w:rsid w:val="00FE297D"/>
    <w:rsid w:val="00FE33E4"/>
    <w:rsid w:val="00FE3CAD"/>
    <w:rsid w:val="00FE5014"/>
    <w:rsid w:val="00FE5287"/>
    <w:rsid w:val="00FE5851"/>
    <w:rsid w:val="00FE5D56"/>
    <w:rsid w:val="00FE77CF"/>
    <w:rsid w:val="00FF0A8D"/>
    <w:rsid w:val="00FF0FED"/>
    <w:rsid w:val="00FF16A6"/>
    <w:rsid w:val="00FF1B7A"/>
    <w:rsid w:val="00FF2678"/>
    <w:rsid w:val="00FF2C8E"/>
    <w:rsid w:val="00FF2DD1"/>
    <w:rsid w:val="00FF3D58"/>
    <w:rsid w:val="00FF565A"/>
    <w:rsid w:val="00FF64F4"/>
    <w:rsid w:val="00FF65B0"/>
    <w:rsid w:val="00FF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C0F"/>
    <w:rPr>
      <w:color w:val="auto"/>
      <w:u w:val="none"/>
    </w:rPr>
  </w:style>
  <w:style w:type="character" w:styleId="FollowedHyperlink">
    <w:name w:val="FollowedHyperlink"/>
    <w:basedOn w:val="DefaultParagraphFont"/>
    <w:uiPriority w:val="99"/>
    <w:semiHidden/>
    <w:unhideWhenUsed/>
    <w:rsid w:val="005B6C0F"/>
    <w:rPr>
      <w:color w:val="auto"/>
      <w:u w:val="none"/>
    </w:rPr>
  </w:style>
  <w:style w:type="paragraph" w:styleId="ListParagraph">
    <w:name w:val="List Paragraph"/>
    <w:basedOn w:val="Normal"/>
    <w:uiPriority w:val="12"/>
    <w:qFormat/>
    <w:rsid w:val="005B6C0F"/>
    <w:pPr>
      <w:ind w:left="720"/>
    </w:pPr>
  </w:style>
  <w:style w:type="paragraph" w:styleId="Header">
    <w:name w:val="header"/>
    <w:basedOn w:val="Normal"/>
    <w:link w:val="HeaderChar"/>
    <w:uiPriority w:val="99"/>
    <w:unhideWhenUsed/>
    <w:rsid w:val="009848BF"/>
    <w:pPr>
      <w:tabs>
        <w:tab w:val="center" w:pos="4680"/>
        <w:tab w:val="right" w:pos="9360"/>
      </w:tabs>
    </w:pPr>
  </w:style>
  <w:style w:type="character" w:customStyle="1" w:styleId="HeaderChar">
    <w:name w:val="Header Char"/>
    <w:basedOn w:val="DefaultParagraphFont"/>
    <w:link w:val="Header"/>
    <w:uiPriority w:val="99"/>
    <w:rsid w:val="009848BF"/>
  </w:style>
  <w:style w:type="paragraph" w:styleId="Footer">
    <w:name w:val="footer"/>
    <w:basedOn w:val="Normal"/>
    <w:link w:val="FooterChar"/>
    <w:uiPriority w:val="99"/>
    <w:unhideWhenUsed/>
    <w:rsid w:val="009848BF"/>
    <w:pPr>
      <w:tabs>
        <w:tab w:val="center" w:pos="4680"/>
        <w:tab w:val="right" w:pos="9360"/>
      </w:tabs>
    </w:pPr>
  </w:style>
  <w:style w:type="character" w:customStyle="1" w:styleId="FooterChar">
    <w:name w:val="Footer Char"/>
    <w:basedOn w:val="DefaultParagraphFont"/>
    <w:link w:val="Footer"/>
    <w:uiPriority w:val="99"/>
    <w:rsid w:val="009848BF"/>
  </w:style>
  <w:style w:type="character" w:styleId="UnresolvedMention">
    <w:name w:val="Unresolved Mention"/>
    <w:basedOn w:val="DefaultParagraphFont"/>
    <w:uiPriority w:val="99"/>
    <w:semiHidden/>
    <w:unhideWhenUsed/>
    <w:rsid w:val="00972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6461">
      <w:bodyDiv w:val="1"/>
      <w:marLeft w:val="0"/>
      <w:marRight w:val="0"/>
      <w:marTop w:val="0"/>
      <w:marBottom w:val="0"/>
      <w:divBdr>
        <w:top w:val="none" w:sz="0" w:space="0" w:color="auto"/>
        <w:left w:val="none" w:sz="0" w:space="0" w:color="auto"/>
        <w:bottom w:val="none" w:sz="0" w:space="0" w:color="auto"/>
        <w:right w:val="none" w:sz="0" w:space="0" w:color="auto"/>
      </w:divBdr>
    </w:div>
    <w:div w:id="79106552">
      <w:bodyDiv w:val="1"/>
      <w:marLeft w:val="0"/>
      <w:marRight w:val="0"/>
      <w:marTop w:val="0"/>
      <w:marBottom w:val="0"/>
      <w:divBdr>
        <w:top w:val="none" w:sz="0" w:space="0" w:color="auto"/>
        <w:left w:val="none" w:sz="0" w:space="0" w:color="auto"/>
        <w:bottom w:val="none" w:sz="0" w:space="0" w:color="auto"/>
        <w:right w:val="none" w:sz="0" w:space="0" w:color="auto"/>
      </w:divBdr>
    </w:div>
    <w:div w:id="110167726">
      <w:bodyDiv w:val="1"/>
      <w:marLeft w:val="0"/>
      <w:marRight w:val="0"/>
      <w:marTop w:val="0"/>
      <w:marBottom w:val="0"/>
      <w:divBdr>
        <w:top w:val="none" w:sz="0" w:space="0" w:color="auto"/>
        <w:left w:val="none" w:sz="0" w:space="0" w:color="auto"/>
        <w:bottom w:val="none" w:sz="0" w:space="0" w:color="auto"/>
        <w:right w:val="none" w:sz="0" w:space="0" w:color="auto"/>
      </w:divBdr>
    </w:div>
    <w:div w:id="140077811">
      <w:bodyDiv w:val="1"/>
      <w:marLeft w:val="0"/>
      <w:marRight w:val="0"/>
      <w:marTop w:val="0"/>
      <w:marBottom w:val="0"/>
      <w:divBdr>
        <w:top w:val="none" w:sz="0" w:space="0" w:color="auto"/>
        <w:left w:val="none" w:sz="0" w:space="0" w:color="auto"/>
        <w:bottom w:val="none" w:sz="0" w:space="0" w:color="auto"/>
        <w:right w:val="none" w:sz="0" w:space="0" w:color="auto"/>
      </w:divBdr>
    </w:div>
    <w:div w:id="157692809">
      <w:bodyDiv w:val="1"/>
      <w:marLeft w:val="0"/>
      <w:marRight w:val="0"/>
      <w:marTop w:val="0"/>
      <w:marBottom w:val="0"/>
      <w:divBdr>
        <w:top w:val="none" w:sz="0" w:space="0" w:color="auto"/>
        <w:left w:val="none" w:sz="0" w:space="0" w:color="auto"/>
        <w:bottom w:val="none" w:sz="0" w:space="0" w:color="auto"/>
        <w:right w:val="none" w:sz="0" w:space="0" w:color="auto"/>
      </w:divBdr>
    </w:div>
    <w:div w:id="159008318">
      <w:bodyDiv w:val="1"/>
      <w:marLeft w:val="0"/>
      <w:marRight w:val="0"/>
      <w:marTop w:val="0"/>
      <w:marBottom w:val="0"/>
      <w:divBdr>
        <w:top w:val="none" w:sz="0" w:space="0" w:color="auto"/>
        <w:left w:val="none" w:sz="0" w:space="0" w:color="auto"/>
        <w:bottom w:val="none" w:sz="0" w:space="0" w:color="auto"/>
        <w:right w:val="none" w:sz="0" w:space="0" w:color="auto"/>
      </w:divBdr>
    </w:div>
    <w:div w:id="191190819">
      <w:bodyDiv w:val="1"/>
      <w:marLeft w:val="0"/>
      <w:marRight w:val="0"/>
      <w:marTop w:val="0"/>
      <w:marBottom w:val="0"/>
      <w:divBdr>
        <w:top w:val="none" w:sz="0" w:space="0" w:color="auto"/>
        <w:left w:val="none" w:sz="0" w:space="0" w:color="auto"/>
        <w:bottom w:val="none" w:sz="0" w:space="0" w:color="auto"/>
        <w:right w:val="none" w:sz="0" w:space="0" w:color="auto"/>
      </w:divBdr>
    </w:div>
    <w:div w:id="196234235">
      <w:bodyDiv w:val="1"/>
      <w:marLeft w:val="0"/>
      <w:marRight w:val="0"/>
      <w:marTop w:val="0"/>
      <w:marBottom w:val="0"/>
      <w:divBdr>
        <w:top w:val="none" w:sz="0" w:space="0" w:color="auto"/>
        <w:left w:val="none" w:sz="0" w:space="0" w:color="auto"/>
        <w:bottom w:val="none" w:sz="0" w:space="0" w:color="auto"/>
        <w:right w:val="none" w:sz="0" w:space="0" w:color="auto"/>
      </w:divBdr>
    </w:div>
    <w:div w:id="202602269">
      <w:bodyDiv w:val="1"/>
      <w:marLeft w:val="0"/>
      <w:marRight w:val="0"/>
      <w:marTop w:val="0"/>
      <w:marBottom w:val="0"/>
      <w:divBdr>
        <w:top w:val="none" w:sz="0" w:space="0" w:color="auto"/>
        <w:left w:val="none" w:sz="0" w:space="0" w:color="auto"/>
        <w:bottom w:val="none" w:sz="0" w:space="0" w:color="auto"/>
        <w:right w:val="none" w:sz="0" w:space="0" w:color="auto"/>
      </w:divBdr>
    </w:div>
    <w:div w:id="248196672">
      <w:bodyDiv w:val="1"/>
      <w:marLeft w:val="0"/>
      <w:marRight w:val="0"/>
      <w:marTop w:val="0"/>
      <w:marBottom w:val="0"/>
      <w:divBdr>
        <w:top w:val="none" w:sz="0" w:space="0" w:color="auto"/>
        <w:left w:val="none" w:sz="0" w:space="0" w:color="auto"/>
        <w:bottom w:val="none" w:sz="0" w:space="0" w:color="auto"/>
        <w:right w:val="none" w:sz="0" w:space="0" w:color="auto"/>
      </w:divBdr>
    </w:div>
    <w:div w:id="272059215">
      <w:bodyDiv w:val="1"/>
      <w:marLeft w:val="0"/>
      <w:marRight w:val="0"/>
      <w:marTop w:val="0"/>
      <w:marBottom w:val="0"/>
      <w:divBdr>
        <w:top w:val="none" w:sz="0" w:space="0" w:color="auto"/>
        <w:left w:val="none" w:sz="0" w:space="0" w:color="auto"/>
        <w:bottom w:val="none" w:sz="0" w:space="0" w:color="auto"/>
        <w:right w:val="none" w:sz="0" w:space="0" w:color="auto"/>
      </w:divBdr>
    </w:div>
    <w:div w:id="288366399">
      <w:bodyDiv w:val="1"/>
      <w:marLeft w:val="0"/>
      <w:marRight w:val="0"/>
      <w:marTop w:val="0"/>
      <w:marBottom w:val="0"/>
      <w:divBdr>
        <w:top w:val="none" w:sz="0" w:space="0" w:color="auto"/>
        <w:left w:val="none" w:sz="0" w:space="0" w:color="auto"/>
        <w:bottom w:val="none" w:sz="0" w:space="0" w:color="auto"/>
        <w:right w:val="none" w:sz="0" w:space="0" w:color="auto"/>
      </w:divBdr>
    </w:div>
    <w:div w:id="300382823">
      <w:bodyDiv w:val="1"/>
      <w:marLeft w:val="0"/>
      <w:marRight w:val="0"/>
      <w:marTop w:val="0"/>
      <w:marBottom w:val="0"/>
      <w:divBdr>
        <w:top w:val="none" w:sz="0" w:space="0" w:color="auto"/>
        <w:left w:val="none" w:sz="0" w:space="0" w:color="auto"/>
        <w:bottom w:val="none" w:sz="0" w:space="0" w:color="auto"/>
        <w:right w:val="none" w:sz="0" w:space="0" w:color="auto"/>
      </w:divBdr>
    </w:div>
    <w:div w:id="319509533">
      <w:bodyDiv w:val="1"/>
      <w:marLeft w:val="0"/>
      <w:marRight w:val="0"/>
      <w:marTop w:val="0"/>
      <w:marBottom w:val="0"/>
      <w:divBdr>
        <w:top w:val="none" w:sz="0" w:space="0" w:color="auto"/>
        <w:left w:val="none" w:sz="0" w:space="0" w:color="auto"/>
        <w:bottom w:val="none" w:sz="0" w:space="0" w:color="auto"/>
        <w:right w:val="none" w:sz="0" w:space="0" w:color="auto"/>
      </w:divBdr>
    </w:div>
    <w:div w:id="341518992">
      <w:bodyDiv w:val="1"/>
      <w:marLeft w:val="0"/>
      <w:marRight w:val="0"/>
      <w:marTop w:val="0"/>
      <w:marBottom w:val="0"/>
      <w:divBdr>
        <w:top w:val="none" w:sz="0" w:space="0" w:color="auto"/>
        <w:left w:val="none" w:sz="0" w:space="0" w:color="auto"/>
        <w:bottom w:val="none" w:sz="0" w:space="0" w:color="auto"/>
        <w:right w:val="none" w:sz="0" w:space="0" w:color="auto"/>
      </w:divBdr>
    </w:div>
    <w:div w:id="352343614">
      <w:bodyDiv w:val="1"/>
      <w:marLeft w:val="0"/>
      <w:marRight w:val="0"/>
      <w:marTop w:val="0"/>
      <w:marBottom w:val="0"/>
      <w:divBdr>
        <w:top w:val="none" w:sz="0" w:space="0" w:color="auto"/>
        <w:left w:val="none" w:sz="0" w:space="0" w:color="auto"/>
        <w:bottom w:val="none" w:sz="0" w:space="0" w:color="auto"/>
        <w:right w:val="none" w:sz="0" w:space="0" w:color="auto"/>
      </w:divBdr>
    </w:div>
    <w:div w:id="353190313">
      <w:bodyDiv w:val="1"/>
      <w:marLeft w:val="0"/>
      <w:marRight w:val="0"/>
      <w:marTop w:val="0"/>
      <w:marBottom w:val="0"/>
      <w:divBdr>
        <w:top w:val="none" w:sz="0" w:space="0" w:color="auto"/>
        <w:left w:val="none" w:sz="0" w:space="0" w:color="auto"/>
        <w:bottom w:val="none" w:sz="0" w:space="0" w:color="auto"/>
        <w:right w:val="none" w:sz="0" w:space="0" w:color="auto"/>
      </w:divBdr>
    </w:div>
    <w:div w:id="381638198">
      <w:bodyDiv w:val="1"/>
      <w:marLeft w:val="0"/>
      <w:marRight w:val="0"/>
      <w:marTop w:val="0"/>
      <w:marBottom w:val="0"/>
      <w:divBdr>
        <w:top w:val="none" w:sz="0" w:space="0" w:color="auto"/>
        <w:left w:val="none" w:sz="0" w:space="0" w:color="auto"/>
        <w:bottom w:val="none" w:sz="0" w:space="0" w:color="auto"/>
        <w:right w:val="none" w:sz="0" w:space="0" w:color="auto"/>
      </w:divBdr>
    </w:div>
    <w:div w:id="387849098">
      <w:bodyDiv w:val="1"/>
      <w:marLeft w:val="0"/>
      <w:marRight w:val="0"/>
      <w:marTop w:val="0"/>
      <w:marBottom w:val="0"/>
      <w:divBdr>
        <w:top w:val="none" w:sz="0" w:space="0" w:color="auto"/>
        <w:left w:val="none" w:sz="0" w:space="0" w:color="auto"/>
        <w:bottom w:val="none" w:sz="0" w:space="0" w:color="auto"/>
        <w:right w:val="none" w:sz="0" w:space="0" w:color="auto"/>
      </w:divBdr>
      <w:divsChild>
        <w:div w:id="599803238">
          <w:marLeft w:val="0"/>
          <w:marRight w:val="0"/>
          <w:marTop w:val="0"/>
          <w:marBottom w:val="0"/>
          <w:divBdr>
            <w:top w:val="none" w:sz="0" w:space="0" w:color="auto"/>
            <w:left w:val="none" w:sz="0" w:space="0" w:color="auto"/>
            <w:bottom w:val="none" w:sz="0" w:space="0" w:color="auto"/>
            <w:right w:val="none" w:sz="0" w:space="0" w:color="auto"/>
          </w:divBdr>
        </w:div>
      </w:divsChild>
    </w:div>
    <w:div w:id="421922981">
      <w:bodyDiv w:val="1"/>
      <w:marLeft w:val="0"/>
      <w:marRight w:val="0"/>
      <w:marTop w:val="0"/>
      <w:marBottom w:val="0"/>
      <w:divBdr>
        <w:top w:val="none" w:sz="0" w:space="0" w:color="auto"/>
        <w:left w:val="none" w:sz="0" w:space="0" w:color="auto"/>
        <w:bottom w:val="none" w:sz="0" w:space="0" w:color="auto"/>
        <w:right w:val="none" w:sz="0" w:space="0" w:color="auto"/>
      </w:divBdr>
    </w:div>
    <w:div w:id="434596016">
      <w:bodyDiv w:val="1"/>
      <w:marLeft w:val="0"/>
      <w:marRight w:val="0"/>
      <w:marTop w:val="0"/>
      <w:marBottom w:val="0"/>
      <w:divBdr>
        <w:top w:val="none" w:sz="0" w:space="0" w:color="auto"/>
        <w:left w:val="none" w:sz="0" w:space="0" w:color="auto"/>
        <w:bottom w:val="none" w:sz="0" w:space="0" w:color="auto"/>
        <w:right w:val="none" w:sz="0" w:space="0" w:color="auto"/>
      </w:divBdr>
    </w:div>
    <w:div w:id="466096124">
      <w:bodyDiv w:val="1"/>
      <w:marLeft w:val="0"/>
      <w:marRight w:val="0"/>
      <w:marTop w:val="0"/>
      <w:marBottom w:val="0"/>
      <w:divBdr>
        <w:top w:val="none" w:sz="0" w:space="0" w:color="auto"/>
        <w:left w:val="none" w:sz="0" w:space="0" w:color="auto"/>
        <w:bottom w:val="none" w:sz="0" w:space="0" w:color="auto"/>
        <w:right w:val="none" w:sz="0" w:space="0" w:color="auto"/>
      </w:divBdr>
    </w:div>
    <w:div w:id="484932412">
      <w:bodyDiv w:val="1"/>
      <w:marLeft w:val="0"/>
      <w:marRight w:val="0"/>
      <w:marTop w:val="0"/>
      <w:marBottom w:val="0"/>
      <w:divBdr>
        <w:top w:val="none" w:sz="0" w:space="0" w:color="auto"/>
        <w:left w:val="none" w:sz="0" w:space="0" w:color="auto"/>
        <w:bottom w:val="none" w:sz="0" w:space="0" w:color="auto"/>
        <w:right w:val="none" w:sz="0" w:space="0" w:color="auto"/>
      </w:divBdr>
    </w:div>
    <w:div w:id="534512261">
      <w:bodyDiv w:val="1"/>
      <w:marLeft w:val="0"/>
      <w:marRight w:val="0"/>
      <w:marTop w:val="0"/>
      <w:marBottom w:val="0"/>
      <w:divBdr>
        <w:top w:val="none" w:sz="0" w:space="0" w:color="auto"/>
        <w:left w:val="none" w:sz="0" w:space="0" w:color="auto"/>
        <w:bottom w:val="none" w:sz="0" w:space="0" w:color="auto"/>
        <w:right w:val="none" w:sz="0" w:space="0" w:color="auto"/>
      </w:divBdr>
    </w:div>
    <w:div w:id="552932630">
      <w:bodyDiv w:val="1"/>
      <w:marLeft w:val="0"/>
      <w:marRight w:val="0"/>
      <w:marTop w:val="0"/>
      <w:marBottom w:val="0"/>
      <w:divBdr>
        <w:top w:val="none" w:sz="0" w:space="0" w:color="auto"/>
        <w:left w:val="none" w:sz="0" w:space="0" w:color="auto"/>
        <w:bottom w:val="none" w:sz="0" w:space="0" w:color="auto"/>
        <w:right w:val="none" w:sz="0" w:space="0" w:color="auto"/>
      </w:divBdr>
    </w:div>
    <w:div w:id="578096257">
      <w:bodyDiv w:val="1"/>
      <w:marLeft w:val="0"/>
      <w:marRight w:val="0"/>
      <w:marTop w:val="0"/>
      <w:marBottom w:val="0"/>
      <w:divBdr>
        <w:top w:val="none" w:sz="0" w:space="0" w:color="auto"/>
        <w:left w:val="none" w:sz="0" w:space="0" w:color="auto"/>
        <w:bottom w:val="none" w:sz="0" w:space="0" w:color="auto"/>
        <w:right w:val="none" w:sz="0" w:space="0" w:color="auto"/>
      </w:divBdr>
    </w:div>
    <w:div w:id="614021885">
      <w:bodyDiv w:val="1"/>
      <w:marLeft w:val="0"/>
      <w:marRight w:val="0"/>
      <w:marTop w:val="0"/>
      <w:marBottom w:val="0"/>
      <w:divBdr>
        <w:top w:val="none" w:sz="0" w:space="0" w:color="auto"/>
        <w:left w:val="none" w:sz="0" w:space="0" w:color="auto"/>
        <w:bottom w:val="none" w:sz="0" w:space="0" w:color="auto"/>
        <w:right w:val="none" w:sz="0" w:space="0" w:color="auto"/>
      </w:divBdr>
    </w:div>
    <w:div w:id="621153383">
      <w:bodyDiv w:val="1"/>
      <w:marLeft w:val="0"/>
      <w:marRight w:val="0"/>
      <w:marTop w:val="0"/>
      <w:marBottom w:val="0"/>
      <w:divBdr>
        <w:top w:val="none" w:sz="0" w:space="0" w:color="auto"/>
        <w:left w:val="none" w:sz="0" w:space="0" w:color="auto"/>
        <w:bottom w:val="none" w:sz="0" w:space="0" w:color="auto"/>
        <w:right w:val="none" w:sz="0" w:space="0" w:color="auto"/>
      </w:divBdr>
    </w:div>
    <w:div w:id="646667331">
      <w:bodyDiv w:val="1"/>
      <w:marLeft w:val="0"/>
      <w:marRight w:val="0"/>
      <w:marTop w:val="0"/>
      <w:marBottom w:val="0"/>
      <w:divBdr>
        <w:top w:val="none" w:sz="0" w:space="0" w:color="auto"/>
        <w:left w:val="none" w:sz="0" w:space="0" w:color="auto"/>
        <w:bottom w:val="none" w:sz="0" w:space="0" w:color="auto"/>
        <w:right w:val="none" w:sz="0" w:space="0" w:color="auto"/>
      </w:divBdr>
    </w:div>
    <w:div w:id="674235137">
      <w:bodyDiv w:val="1"/>
      <w:marLeft w:val="0"/>
      <w:marRight w:val="0"/>
      <w:marTop w:val="0"/>
      <w:marBottom w:val="0"/>
      <w:divBdr>
        <w:top w:val="none" w:sz="0" w:space="0" w:color="auto"/>
        <w:left w:val="none" w:sz="0" w:space="0" w:color="auto"/>
        <w:bottom w:val="none" w:sz="0" w:space="0" w:color="auto"/>
        <w:right w:val="none" w:sz="0" w:space="0" w:color="auto"/>
      </w:divBdr>
    </w:div>
    <w:div w:id="691036443">
      <w:bodyDiv w:val="1"/>
      <w:marLeft w:val="0"/>
      <w:marRight w:val="0"/>
      <w:marTop w:val="0"/>
      <w:marBottom w:val="0"/>
      <w:divBdr>
        <w:top w:val="none" w:sz="0" w:space="0" w:color="auto"/>
        <w:left w:val="none" w:sz="0" w:space="0" w:color="auto"/>
        <w:bottom w:val="none" w:sz="0" w:space="0" w:color="auto"/>
        <w:right w:val="none" w:sz="0" w:space="0" w:color="auto"/>
      </w:divBdr>
    </w:div>
    <w:div w:id="700594568">
      <w:bodyDiv w:val="1"/>
      <w:marLeft w:val="0"/>
      <w:marRight w:val="0"/>
      <w:marTop w:val="0"/>
      <w:marBottom w:val="0"/>
      <w:divBdr>
        <w:top w:val="none" w:sz="0" w:space="0" w:color="auto"/>
        <w:left w:val="none" w:sz="0" w:space="0" w:color="auto"/>
        <w:bottom w:val="none" w:sz="0" w:space="0" w:color="auto"/>
        <w:right w:val="none" w:sz="0" w:space="0" w:color="auto"/>
      </w:divBdr>
    </w:div>
    <w:div w:id="702094068">
      <w:bodyDiv w:val="1"/>
      <w:marLeft w:val="0"/>
      <w:marRight w:val="0"/>
      <w:marTop w:val="0"/>
      <w:marBottom w:val="0"/>
      <w:divBdr>
        <w:top w:val="none" w:sz="0" w:space="0" w:color="auto"/>
        <w:left w:val="none" w:sz="0" w:space="0" w:color="auto"/>
        <w:bottom w:val="none" w:sz="0" w:space="0" w:color="auto"/>
        <w:right w:val="none" w:sz="0" w:space="0" w:color="auto"/>
      </w:divBdr>
    </w:div>
    <w:div w:id="714742796">
      <w:bodyDiv w:val="1"/>
      <w:marLeft w:val="0"/>
      <w:marRight w:val="0"/>
      <w:marTop w:val="0"/>
      <w:marBottom w:val="0"/>
      <w:divBdr>
        <w:top w:val="none" w:sz="0" w:space="0" w:color="auto"/>
        <w:left w:val="none" w:sz="0" w:space="0" w:color="auto"/>
        <w:bottom w:val="none" w:sz="0" w:space="0" w:color="auto"/>
        <w:right w:val="none" w:sz="0" w:space="0" w:color="auto"/>
      </w:divBdr>
      <w:divsChild>
        <w:div w:id="1921908968">
          <w:marLeft w:val="0"/>
          <w:marRight w:val="0"/>
          <w:marTop w:val="0"/>
          <w:marBottom w:val="0"/>
          <w:divBdr>
            <w:top w:val="none" w:sz="0" w:space="0" w:color="auto"/>
            <w:left w:val="none" w:sz="0" w:space="0" w:color="auto"/>
            <w:bottom w:val="none" w:sz="0" w:space="0" w:color="auto"/>
            <w:right w:val="none" w:sz="0" w:space="0" w:color="auto"/>
          </w:divBdr>
        </w:div>
      </w:divsChild>
    </w:div>
    <w:div w:id="723796769">
      <w:bodyDiv w:val="1"/>
      <w:marLeft w:val="0"/>
      <w:marRight w:val="0"/>
      <w:marTop w:val="0"/>
      <w:marBottom w:val="0"/>
      <w:divBdr>
        <w:top w:val="none" w:sz="0" w:space="0" w:color="auto"/>
        <w:left w:val="none" w:sz="0" w:space="0" w:color="auto"/>
        <w:bottom w:val="none" w:sz="0" w:space="0" w:color="auto"/>
        <w:right w:val="none" w:sz="0" w:space="0" w:color="auto"/>
      </w:divBdr>
    </w:div>
    <w:div w:id="751659398">
      <w:bodyDiv w:val="1"/>
      <w:marLeft w:val="0"/>
      <w:marRight w:val="0"/>
      <w:marTop w:val="0"/>
      <w:marBottom w:val="0"/>
      <w:divBdr>
        <w:top w:val="none" w:sz="0" w:space="0" w:color="auto"/>
        <w:left w:val="none" w:sz="0" w:space="0" w:color="auto"/>
        <w:bottom w:val="none" w:sz="0" w:space="0" w:color="auto"/>
        <w:right w:val="none" w:sz="0" w:space="0" w:color="auto"/>
      </w:divBdr>
    </w:div>
    <w:div w:id="752316566">
      <w:bodyDiv w:val="1"/>
      <w:marLeft w:val="0"/>
      <w:marRight w:val="0"/>
      <w:marTop w:val="0"/>
      <w:marBottom w:val="0"/>
      <w:divBdr>
        <w:top w:val="none" w:sz="0" w:space="0" w:color="auto"/>
        <w:left w:val="none" w:sz="0" w:space="0" w:color="auto"/>
        <w:bottom w:val="none" w:sz="0" w:space="0" w:color="auto"/>
        <w:right w:val="none" w:sz="0" w:space="0" w:color="auto"/>
      </w:divBdr>
    </w:div>
    <w:div w:id="798374377">
      <w:bodyDiv w:val="1"/>
      <w:marLeft w:val="0"/>
      <w:marRight w:val="0"/>
      <w:marTop w:val="0"/>
      <w:marBottom w:val="0"/>
      <w:divBdr>
        <w:top w:val="none" w:sz="0" w:space="0" w:color="auto"/>
        <w:left w:val="none" w:sz="0" w:space="0" w:color="auto"/>
        <w:bottom w:val="none" w:sz="0" w:space="0" w:color="auto"/>
        <w:right w:val="none" w:sz="0" w:space="0" w:color="auto"/>
      </w:divBdr>
      <w:divsChild>
        <w:div w:id="385955548">
          <w:marLeft w:val="0"/>
          <w:marRight w:val="0"/>
          <w:marTop w:val="0"/>
          <w:marBottom w:val="0"/>
          <w:divBdr>
            <w:top w:val="none" w:sz="0" w:space="0" w:color="auto"/>
            <w:left w:val="none" w:sz="0" w:space="0" w:color="auto"/>
            <w:bottom w:val="none" w:sz="0" w:space="0" w:color="auto"/>
            <w:right w:val="none" w:sz="0" w:space="0" w:color="auto"/>
          </w:divBdr>
        </w:div>
      </w:divsChild>
    </w:div>
    <w:div w:id="812940935">
      <w:bodyDiv w:val="1"/>
      <w:marLeft w:val="0"/>
      <w:marRight w:val="0"/>
      <w:marTop w:val="0"/>
      <w:marBottom w:val="0"/>
      <w:divBdr>
        <w:top w:val="none" w:sz="0" w:space="0" w:color="auto"/>
        <w:left w:val="none" w:sz="0" w:space="0" w:color="auto"/>
        <w:bottom w:val="none" w:sz="0" w:space="0" w:color="auto"/>
        <w:right w:val="none" w:sz="0" w:space="0" w:color="auto"/>
      </w:divBdr>
    </w:div>
    <w:div w:id="837817414">
      <w:bodyDiv w:val="1"/>
      <w:marLeft w:val="0"/>
      <w:marRight w:val="0"/>
      <w:marTop w:val="0"/>
      <w:marBottom w:val="0"/>
      <w:divBdr>
        <w:top w:val="none" w:sz="0" w:space="0" w:color="auto"/>
        <w:left w:val="none" w:sz="0" w:space="0" w:color="auto"/>
        <w:bottom w:val="none" w:sz="0" w:space="0" w:color="auto"/>
        <w:right w:val="none" w:sz="0" w:space="0" w:color="auto"/>
      </w:divBdr>
    </w:div>
    <w:div w:id="838353113">
      <w:bodyDiv w:val="1"/>
      <w:marLeft w:val="0"/>
      <w:marRight w:val="0"/>
      <w:marTop w:val="0"/>
      <w:marBottom w:val="0"/>
      <w:divBdr>
        <w:top w:val="none" w:sz="0" w:space="0" w:color="auto"/>
        <w:left w:val="none" w:sz="0" w:space="0" w:color="auto"/>
        <w:bottom w:val="none" w:sz="0" w:space="0" w:color="auto"/>
        <w:right w:val="none" w:sz="0" w:space="0" w:color="auto"/>
      </w:divBdr>
    </w:div>
    <w:div w:id="857893115">
      <w:bodyDiv w:val="1"/>
      <w:marLeft w:val="0"/>
      <w:marRight w:val="0"/>
      <w:marTop w:val="0"/>
      <w:marBottom w:val="0"/>
      <w:divBdr>
        <w:top w:val="none" w:sz="0" w:space="0" w:color="auto"/>
        <w:left w:val="none" w:sz="0" w:space="0" w:color="auto"/>
        <w:bottom w:val="none" w:sz="0" w:space="0" w:color="auto"/>
        <w:right w:val="none" w:sz="0" w:space="0" w:color="auto"/>
      </w:divBdr>
    </w:div>
    <w:div w:id="860896112">
      <w:bodyDiv w:val="1"/>
      <w:marLeft w:val="0"/>
      <w:marRight w:val="0"/>
      <w:marTop w:val="0"/>
      <w:marBottom w:val="0"/>
      <w:divBdr>
        <w:top w:val="none" w:sz="0" w:space="0" w:color="auto"/>
        <w:left w:val="none" w:sz="0" w:space="0" w:color="auto"/>
        <w:bottom w:val="none" w:sz="0" w:space="0" w:color="auto"/>
        <w:right w:val="none" w:sz="0" w:space="0" w:color="auto"/>
      </w:divBdr>
    </w:div>
    <w:div w:id="880441445">
      <w:bodyDiv w:val="1"/>
      <w:marLeft w:val="0"/>
      <w:marRight w:val="0"/>
      <w:marTop w:val="0"/>
      <w:marBottom w:val="0"/>
      <w:divBdr>
        <w:top w:val="none" w:sz="0" w:space="0" w:color="auto"/>
        <w:left w:val="none" w:sz="0" w:space="0" w:color="auto"/>
        <w:bottom w:val="none" w:sz="0" w:space="0" w:color="auto"/>
        <w:right w:val="none" w:sz="0" w:space="0" w:color="auto"/>
      </w:divBdr>
    </w:div>
    <w:div w:id="926773528">
      <w:bodyDiv w:val="1"/>
      <w:marLeft w:val="0"/>
      <w:marRight w:val="0"/>
      <w:marTop w:val="0"/>
      <w:marBottom w:val="0"/>
      <w:divBdr>
        <w:top w:val="none" w:sz="0" w:space="0" w:color="auto"/>
        <w:left w:val="none" w:sz="0" w:space="0" w:color="auto"/>
        <w:bottom w:val="none" w:sz="0" w:space="0" w:color="auto"/>
        <w:right w:val="none" w:sz="0" w:space="0" w:color="auto"/>
      </w:divBdr>
    </w:div>
    <w:div w:id="967315848">
      <w:bodyDiv w:val="1"/>
      <w:marLeft w:val="0"/>
      <w:marRight w:val="0"/>
      <w:marTop w:val="0"/>
      <w:marBottom w:val="0"/>
      <w:divBdr>
        <w:top w:val="none" w:sz="0" w:space="0" w:color="auto"/>
        <w:left w:val="none" w:sz="0" w:space="0" w:color="auto"/>
        <w:bottom w:val="none" w:sz="0" w:space="0" w:color="auto"/>
        <w:right w:val="none" w:sz="0" w:space="0" w:color="auto"/>
      </w:divBdr>
    </w:div>
    <w:div w:id="969475998">
      <w:bodyDiv w:val="1"/>
      <w:marLeft w:val="0"/>
      <w:marRight w:val="0"/>
      <w:marTop w:val="0"/>
      <w:marBottom w:val="0"/>
      <w:divBdr>
        <w:top w:val="none" w:sz="0" w:space="0" w:color="auto"/>
        <w:left w:val="none" w:sz="0" w:space="0" w:color="auto"/>
        <w:bottom w:val="none" w:sz="0" w:space="0" w:color="auto"/>
        <w:right w:val="none" w:sz="0" w:space="0" w:color="auto"/>
      </w:divBdr>
    </w:div>
    <w:div w:id="973027095">
      <w:bodyDiv w:val="1"/>
      <w:marLeft w:val="0"/>
      <w:marRight w:val="0"/>
      <w:marTop w:val="0"/>
      <w:marBottom w:val="0"/>
      <w:divBdr>
        <w:top w:val="none" w:sz="0" w:space="0" w:color="auto"/>
        <w:left w:val="none" w:sz="0" w:space="0" w:color="auto"/>
        <w:bottom w:val="none" w:sz="0" w:space="0" w:color="auto"/>
        <w:right w:val="none" w:sz="0" w:space="0" w:color="auto"/>
      </w:divBdr>
    </w:div>
    <w:div w:id="978268310">
      <w:bodyDiv w:val="1"/>
      <w:marLeft w:val="0"/>
      <w:marRight w:val="0"/>
      <w:marTop w:val="0"/>
      <w:marBottom w:val="0"/>
      <w:divBdr>
        <w:top w:val="none" w:sz="0" w:space="0" w:color="auto"/>
        <w:left w:val="none" w:sz="0" w:space="0" w:color="auto"/>
        <w:bottom w:val="none" w:sz="0" w:space="0" w:color="auto"/>
        <w:right w:val="none" w:sz="0" w:space="0" w:color="auto"/>
      </w:divBdr>
    </w:div>
    <w:div w:id="994996429">
      <w:bodyDiv w:val="1"/>
      <w:marLeft w:val="0"/>
      <w:marRight w:val="0"/>
      <w:marTop w:val="0"/>
      <w:marBottom w:val="0"/>
      <w:divBdr>
        <w:top w:val="none" w:sz="0" w:space="0" w:color="auto"/>
        <w:left w:val="none" w:sz="0" w:space="0" w:color="auto"/>
        <w:bottom w:val="none" w:sz="0" w:space="0" w:color="auto"/>
        <w:right w:val="none" w:sz="0" w:space="0" w:color="auto"/>
      </w:divBdr>
    </w:div>
    <w:div w:id="1016885445">
      <w:bodyDiv w:val="1"/>
      <w:marLeft w:val="0"/>
      <w:marRight w:val="0"/>
      <w:marTop w:val="0"/>
      <w:marBottom w:val="0"/>
      <w:divBdr>
        <w:top w:val="none" w:sz="0" w:space="0" w:color="auto"/>
        <w:left w:val="none" w:sz="0" w:space="0" w:color="auto"/>
        <w:bottom w:val="none" w:sz="0" w:space="0" w:color="auto"/>
        <w:right w:val="none" w:sz="0" w:space="0" w:color="auto"/>
      </w:divBdr>
    </w:div>
    <w:div w:id="1061513545">
      <w:bodyDiv w:val="1"/>
      <w:marLeft w:val="0"/>
      <w:marRight w:val="0"/>
      <w:marTop w:val="0"/>
      <w:marBottom w:val="0"/>
      <w:divBdr>
        <w:top w:val="none" w:sz="0" w:space="0" w:color="auto"/>
        <w:left w:val="none" w:sz="0" w:space="0" w:color="auto"/>
        <w:bottom w:val="none" w:sz="0" w:space="0" w:color="auto"/>
        <w:right w:val="none" w:sz="0" w:space="0" w:color="auto"/>
      </w:divBdr>
      <w:divsChild>
        <w:div w:id="1153330762">
          <w:marLeft w:val="0"/>
          <w:marRight w:val="0"/>
          <w:marTop w:val="0"/>
          <w:marBottom w:val="0"/>
          <w:divBdr>
            <w:top w:val="none" w:sz="0" w:space="0" w:color="auto"/>
            <w:left w:val="none" w:sz="0" w:space="0" w:color="auto"/>
            <w:bottom w:val="none" w:sz="0" w:space="0" w:color="auto"/>
            <w:right w:val="none" w:sz="0" w:space="0" w:color="auto"/>
          </w:divBdr>
        </w:div>
      </w:divsChild>
    </w:div>
    <w:div w:id="1094086186">
      <w:bodyDiv w:val="1"/>
      <w:marLeft w:val="0"/>
      <w:marRight w:val="0"/>
      <w:marTop w:val="0"/>
      <w:marBottom w:val="0"/>
      <w:divBdr>
        <w:top w:val="none" w:sz="0" w:space="0" w:color="auto"/>
        <w:left w:val="none" w:sz="0" w:space="0" w:color="auto"/>
        <w:bottom w:val="none" w:sz="0" w:space="0" w:color="auto"/>
        <w:right w:val="none" w:sz="0" w:space="0" w:color="auto"/>
      </w:divBdr>
    </w:div>
    <w:div w:id="1150637774">
      <w:bodyDiv w:val="1"/>
      <w:marLeft w:val="0"/>
      <w:marRight w:val="0"/>
      <w:marTop w:val="0"/>
      <w:marBottom w:val="0"/>
      <w:divBdr>
        <w:top w:val="none" w:sz="0" w:space="0" w:color="auto"/>
        <w:left w:val="none" w:sz="0" w:space="0" w:color="auto"/>
        <w:bottom w:val="none" w:sz="0" w:space="0" w:color="auto"/>
        <w:right w:val="none" w:sz="0" w:space="0" w:color="auto"/>
      </w:divBdr>
    </w:div>
    <w:div w:id="1196039040">
      <w:bodyDiv w:val="1"/>
      <w:marLeft w:val="0"/>
      <w:marRight w:val="0"/>
      <w:marTop w:val="0"/>
      <w:marBottom w:val="0"/>
      <w:divBdr>
        <w:top w:val="none" w:sz="0" w:space="0" w:color="auto"/>
        <w:left w:val="none" w:sz="0" w:space="0" w:color="auto"/>
        <w:bottom w:val="none" w:sz="0" w:space="0" w:color="auto"/>
        <w:right w:val="none" w:sz="0" w:space="0" w:color="auto"/>
      </w:divBdr>
    </w:div>
    <w:div w:id="1217934619">
      <w:bodyDiv w:val="1"/>
      <w:marLeft w:val="0"/>
      <w:marRight w:val="0"/>
      <w:marTop w:val="0"/>
      <w:marBottom w:val="0"/>
      <w:divBdr>
        <w:top w:val="none" w:sz="0" w:space="0" w:color="auto"/>
        <w:left w:val="none" w:sz="0" w:space="0" w:color="auto"/>
        <w:bottom w:val="none" w:sz="0" w:space="0" w:color="auto"/>
        <w:right w:val="none" w:sz="0" w:space="0" w:color="auto"/>
      </w:divBdr>
    </w:div>
    <w:div w:id="1241789259">
      <w:bodyDiv w:val="1"/>
      <w:marLeft w:val="0"/>
      <w:marRight w:val="0"/>
      <w:marTop w:val="0"/>
      <w:marBottom w:val="0"/>
      <w:divBdr>
        <w:top w:val="none" w:sz="0" w:space="0" w:color="auto"/>
        <w:left w:val="none" w:sz="0" w:space="0" w:color="auto"/>
        <w:bottom w:val="none" w:sz="0" w:space="0" w:color="auto"/>
        <w:right w:val="none" w:sz="0" w:space="0" w:color="auto"/>
      </w:divBdr>
    </w:div>
    <w:div w:id="1249847472">
      <w:bodyDiv w:val="1"/>
      <w:marLeft w:val="0"/>
      <w:marRight w:val="0"/>
      <w:marTop w:val="0"/>
      <w:marBottom w:val="0"/>
      <w:divBdr>
        <w:top w:val="none" w:sz="0" w:space="0" w:color="auto"/>
        <w:left w:val="none" w:sz="0" w:space="0" w:color="auto"/>
        <w:bottom w:val="none" w:sz="0" w:space="0" w:color="auto"/>
        <w:right w:val="none" w:sz="0" w:space="0" w:color="auto"/>
      </w:divBdr>
    </w:div>
    <w:div w:id="1271398452">
      <w:bodyDiv w:val="1"/>
      <w:marLeft w:val="0"/>
      <w:marRight w:val="0"/>
      <w:marTop w:val="0"/>
      <w:marBottom w:val="0"/>
      <w:divBdr>
        <w:top w:val="none" w:sz="0" w:space="0" w:color="auto"/>
        <w:left w:val="none" w:sz="0" w:space="0" w:color="auto"/>
        <w:bottom w:val="none" w:sz="0" w:space="0" w:color="auto"/>
        <w:right w:val="none" w:sz="0" w:space="0" w:color="auto"/>
      </w:divBdr>
    </w:div>
    <w:div w:id="1278757074">
      <w:bodyDiv w:val="1"/>
      <w:marLeft w:val="0"/>
      <w:marRight w:val="0"/>
      <w:marTop w:val="0"/>
      <w:marBottom w:val="0"/>
      <w:divBdr>
        <w:top w:val="none" w:sz="0" w:space="0" w:color="auto"/>
        <w:left w:val="none" w:sz="0" w:space="0" w:color="auto"/>
        <w:bottom w:val="none" w:sz="0" w:space="0" w:color="auto"/>
        <w:right w:val="none" w:sz="0" w:space="0" w:color="auto"/>
      </w:divBdr>
    </w:div>
    <w:div w:id="1279217298">
      <w:bodyDiv w:val="1"/>
      <w:marLeft w:val="0"/>
      <w:marRight w:val="0"/>
      <w:marTop w:val="0"/>
      <w:marBottom w:val="0"/>
      <w:divBdr>
        <w:top w:val="none" w:sz="0" w:space="0" w:color="auto"/>
        <w:left w:val="none" w:sz="0" w:space="0" w:color="auto"/>
        <w:bottom w:val="none" w:sz="0" w:space="0" w:color="auto"/>
        <w:right w:val="none" w:sz="0" w:space="0" w:color="auto"/>
      </w:divBdr>
    </w:div>
    <w:div w:id="1295990499">
      <w:bodyDiv w:val="1"/>
      <w:marLeft w:val="0"/>
      <w:marRight w:val="0"/>
      <w:marTop w:val="0"/>
      <w:marBottom w:val="0"/>
      <w:divBdr>
        <w:top w:val="none" w:sz="0" w:space="0" w:color="auto"/>
        <w:left w:val="none" w:sz="0" w:space="0" w:color="auto"/>
        <w:bottom w:val="none" w:sz="0" w:space="0" w:color="auto"/>
        <w:right w:val="none" w:sz="0" w:space="0" w:color="auto"/>
      </w:divBdr>
    </w:div>
    <w:div w:id="1306275635">
      <w:bodyDiv w:val="1"/>
      <w:marLeft w:val="0"/>
      <w:marRight w:val="0"/>
      <w:marTop w:val="0"/>
      <w:marBottom w:val="0"/>
      <w:divBdr>
        <w:top w:val="none" w:sz="0" w:space="0" w:color="auto"/>
        <w:left w:val="none" w:sz="0" w:space="0" w:color="auto"/>
        <w:bottom w:val="none" w:sz="0" w:space="0" w:color="auto"/>
        <w:right w:val="none" w:sz="0" w:space="0" w:color="auto"/>
      </w:divBdr>
    </w:div>
    <w:div w:id="1326859239">
      <w:bodyDiv w:val="1"/>
      <w:marLeft w:val="0"/>
      <w:marRight w:val="0"/>
      <w:marTop w:val="0"/>
      <w:marBottom w:val="0"/>
      <w:divBdr>
        <w:top w:val="none" w:sz="0" w:space="0" w:color="auto"/>
        <w:left w:val="none" w:sz="0" w:space="0" w:color="auto"/>
        <w:bottom w:val="none" w:sz="0" w:space="0" w:color="auto"/>
        <w:right w:val="none" w:sz="0" w:space="0" w:color="auto"/>
      </w:divBdr>
    </w:div>
    <w:div w:id="1336686973">
      <w:bodyDiv w:val="1"/>
      <w:marLeft w:val="0"/>
      <w:marRight w:val="0"/>
      <w:marTop w:val="0"/>
      <w:marBottom w:val="0"/>
      <w:divBdr>
        <w:top w:val="none" w:sz="0" w:space="0" w:color="auto"/>
        <w:left w:val="none" w:sz="0" w:space="0" w:color="auto"/>
        <w:bottom w:val="none" w:sz="0" w:space="0" w:color="auto"/>
        <w:right w:val="none" w:sz="0" w:space="0" w:color="auto"/>
      </w:divBdr>
    </w:div>
    <w:div w:id="1379236777">
      <w:bodyDiv w:val="1"/>
      <w:marLeft w:val="0"/>
      <w:marRight w:val="0"/>
      <w:marTop w:val="0"/>
      <w:marBottom w:val="0"/>
      <w:divBdr>
        <w:top w:val="none" w:sz="0" w:space="0" w:color="auto"/>
        <w:left w:val="none" w:sz="0" w:space="0" w:color="auto"/>
        <w:bottom w:val="none" w:sz="0" w:space="0" w:color="auto"/>
        <w:right w:val="none" w:sz="0" w:space="0" w:color="auto"/>
      </w:divBdr>
    </w:div>
    <w:div w:id="1388727035">
      <w:bodyDiv w:val="1"/>
      <w:marLeft w:val="0"/>
      <w:marRight w:val="0"/>
      <w:marTop w:val="0"/>
      <w:marBottom w:val="0"/>
      <w:divBdr>
        <w:top w:val="none" w:sz="0" w:space="0" w:color="auto"/>
        <w:left w:val="none" w:sz="0" w:space="0" w:color="auto"/>
        <w:bottom w:val="none" w:sz="0" w:space="0" w:color="auto"/>
        <w:right w:val="none" w:sz="0" w:space="0" w:color="auto"/>
      </w:divBdr>
    </w:div>
    <w:div w:id="1408841141">
      <w:bodyDiv w:val="1"/>
      <w:marLeft w:val="0"/>
      <w:marRight w:val="0"/>
      <w:marTop w:val="0"/>
      <w:marBottom w:val="0"/>
      <w:divBdr>
        <w:top w:val="none" w:sz="0" w:space="0" w:color="auto"/>
        <w:left w:val="none" w:sz="0" w:space="0" w:color="auto"/>
        <w:bottom w:val="none" w:sz="0" w:space="0" w:color="auto"/>
        <w:right w:val="none" w:sz="0" w:space="0" w:color="auto"/>
      </w:divBdr>
    </w:div>
    <w:div w:id="1412851156">
      <w:bodyDiv w:val="1"/>
      <w:marLeft w:val="0"/>
      <w:marRight w:val="0"/>
      <w:marTop w:val="0"/>
      <w:marBottom w:val="0"/>
      <w:divBdr>
        <w:top w:val="none" w:sz="0" w:space="0" w:color="auto"/>
        <w:left w:val="none" w:sz="0" w:space="0" w:color="auto"/>
        <w:bottom w:val="none" w:sz="0" w:space="0" w:color="auto"/>
        <w:right w:val="none" w:sz="0" w:space="0" w:color="auto"/>
      </w:divBdr>
    </w:div>
    <w:div w:id="1433207553">
      <w:bodyDiv w:val="1"/>
      <w:marLeft w:val="0"/>
      <w:marRight w:val="0"/>
      <w:marTop w:val="0"/>
      <w:marBottom w:val="0"/>
      <w:divBdr>
        <w:top w:val="none" w:sz="0" w:space="0" w:color="auto"/>
        <w:left w:val="none" w:sz="0" w:space="0" w:color="auto"/>
        <w:bottom w:val="none" w:sz="0" w:space="0" w:color="auto"/>
        <w:right w:val="none" w:sz="0" w:space="0" w:color="auto"/>
      </w:divBdr>
    </w:div>
    <w:div w:id="1438211474">
      <w:bodyDiv w:val="1"/>
      <w:marLeft w:val="0"/>
      <w:marRight w:val="0"/>
      <w:marTop w:val="0"/>
      <w:marBottom w:val="0"/>
      <w:divBdr>
        <w:top w:val="none" w:sz="0" w:space="0" w:color="auto"/>
        <w:left w:val="none" w:sz="0" w:space="0" w:color="auto"/>
        <w:bottom w:val="none" w:sz="0" w:space="0" w:color="auto"/>
        <w:right w:val="none" w:sz="0" w:space="0" w:color="auto"/>
      </w:divBdr>
    </w:div>
    <w:div w:id="1491291732">
      <w:bodyDiv w:val="1"/>
      <w:marLeft w:val="0"/>
      <w:marRight w:val="0"/>
      <w:marTop w:val="0"/>
      <w:marBottom w:val="0"/>
      <w:divBdr>
        <w:top w:val="none" w:sz="0" w:space="0" w:color="auto"/>
        <w:left w:val="none" w:sz="0" w:space="0" w:color="auto"/>
        <w:bottom w:val="none" w:sz="0" w:space="0" w:color="auto"/>
        <w:right w:val="none" w:sz="0" w:space="0" w:color="auto"/>
      </w:divBdr>
    </w:div>
    <w:div w:id="1534264142">
      <w:bodyDiv w:val="1"/>
      <w:marLeft w:val="0"/>
      <w:marRight w:val="0"/>
      <w:marTop w:val="0"/>
      <w:marBottom w:val="0"/>
      <w:divBdr>
        <w:top w:val="none" w:sz="0" w:space="0" w:color="auto"/>
        <w:left w:val="none" w:sz="0" w:space="0" w:color="auto"/>
        <w:bottom w:val="none" w:sz="0" w:space="0" w:color="auto"/>
        <w:right w:val="none" w:sz="0" w:space="0" w:color="auto"/>
      </w:divBdr>
    </w:div>
    <w:div w:id="1539119393">
      <w:bodyDiv w:val="1"/>
      <w:marLeft w:val="0"/>
      <w:marRight w:val="0"/>
      <w:marTop w:val="0"/>
      <w:marBottom w:val="0"/>
      <w:divBdr>
        <w:top w:val="none" w:sz="0" w:space="0" w:color="auto"/>
        <w:left w:val="none" w:sz="0" w:space="0" w:color="auto"/>
        <w:bottom w:val="none" w:sz="0" w:space="0" w:color="auto"/>
        <w:right w:val="none" w:sz="0" w:space="0" w:color="auto"/>
      </w:divBdr>
    </w:div>
    <w:div w:id="1554150183">
      <w:bodyDiv w:val="1"/>
      <w:marLeft w:val="0"/>
      <w:marRight w:val="0"/>
      <w:marTop w:val="0"/>
      <w:marBottom w:val="0"/>
      <w:divBdr>
        <w:top w:val="none" w:sz="0" w:space="0" w:color="auto"/>
        <w:left w:val="none" w:sz="0" w:space="0" w:color="auto"/>
        <w:bottom w:val="none" w:sz="0" w:space="0" w:color="auto"/>
        <w:right w:val="none" w:sz="0" w:space="0" w:color="auto"/>
      </w:divBdr>
    </w:div>
    <w:div w:id="1559439526">
      <w:bodyDiv w:val="1"/>
      <w:marLeft w:val="0"/>
      <w:marRight w:val="0"/>
      <w:marTop w:val="0"/>
      <w:marBottom w:val="0"/>
      <w:divBdr>
        <w:top w:val="none" w:sz="0" w:space="0" w:color="auto"/>
        <w:left w:val="none" w:sz="0" w:space="0" w:color="auto"/>
        <w:bottom w:val="none" w:sz="0" w:space="0" w:color="auto"/>
        <w:right w:val="none" w:sz="0" w:space="0" w:color="auto"/>
      </w:divBdr>
    </w:div>
    <w:div w:id="1576084270">
      <w:bodyDiv w:val="1"/>
      <w:marLeft w:val="0"/>
      <w:marRight w:val="0"/>
      <w:marTop w:val="0"/>
      <w:marBottom w:val="0"/>
      <w:divBdr>
        <w:top w:val="none" w:sz="0" w:space="0" w:color="auto"/>
        <w:left w:val="none" w:sz="0" w:space="0" w:color="auto"/>
        <w:bottom w:val="none" w:sz="0" w:space="0" w:color="auto"/>
        <w:right w:val="none" w:sz="0" w:space="0" w:color="auto"/>
      </w:divBdr>
    </w:div>
    <w:div w:id="1604605180">
      <w:bodyDiv w:val="1"/>
      <w:marLeft w:val="0"/>
      <w:marRight w:val="0"/>
      <w:marTop w:val="0"/>
      <w:marBottom w:val="0"/>
      <w:divBdr>
        <w:top w:val="none" w:sz="0" w:space="0" w:color="auto"/>
        <w:left w:val="none" w:sz="0" w:space="0" w:color="auto"/>
        <w:bottom w:val="none" w:sz="0" w:space="0" w:color="auto"/>
        <w:right w:val="none" w:sz="0" w:space="0" w:color="auto"/>
      </w:divBdr>
    </w:div>
    <w:div w:id="1616249057">
      <w:bodyDiv w:val="1"/>
      <w:marLeft w:val="0"/>
      <w:marRight w:val="0"/>
      <w:marTop w:val="0"/>
      <w:marBottom w:val="0"/>
      <w:divBdr>
        <w:top w:val="none" w:sz="0" w:space="0" w:color="auto"/>
        <w:left w:val="none" w:sz="0" w:space="0" w:color="auto"/>
        <w:bottom w:val="none" w:sz="0" w:space="0" w:color="auto"/>
        <w:right w:val="none" w:sz="0" w:space="0" w:color="auto"/>
      </w:divBdr>
    </w:div>
    <w:div w:id="1634824647">
      <w:bodyDiv w:val="1"/>
      <w:marLeft w:val="0"/>
      <w:marRight w:val="0"/>
      <w:marTop w:val="0"/>
      <w:marBottom w:val="0"/>
      <w:divBdr>
        <w:top w:val="none" w:sz="0" w:space="0" w:color="auto"/>
        <w:left w:val="none" w:sz="0" w:space="0" w:color="auto"/>
        <w:bottom w:val="none" w:sz="0" w:space="0" w:color="auto"/>
        <w:right w:val="none" w:sz="0" w:space="0" w:color="auto"/>
      </w:divBdr>
    </w:div>
    <w:div w:id="1650210768">
      <w:bodyDiv w:val="1"/>
      <w:marLeft w:val="0"/>
      <w:marRight w:val="0"/>
      <w:marTop w:val="0"/>
      <w:marBottom w:val="0"/>
      <w:divBdr>
        <w:top w:val="none" w:sz="0" w:space="0" w:color="auto"/>
        <w:left w:val="none" w:sz="0" w:space="0" w:color="auto"/>
        <w:bottom w:val="none" w:sz="0" w:space="0" w:color="auto"/>
        <w:right w:val="none" w:sz="0" w:space="0" w:color="auto"/>
      </w:divBdr>
    </w:div>
    <w:div w:id="1700353867">
      <w:bodyDiv w:val="1"/>
      <w:marLeft w:val="0"/>
      <w:marRight w:val="0"/>
      <w:marTop w:val="0"/>
      <w:marBottom w:val="0"/>
      <w:divBdr>
        <w:top w:val="none" w:sz="0" w:space="0" w:color="auto"/>
        <w:left w:val="none" w:sz="0" w:space="0" w:color="auto"/>
        <w:bottom w:val="none" w:sz="0" w:space="0" w:color="auto"/>
        <w:right w:val="none" w:sz="0" w:space="0" w:color="auto"/>
      </w:divBdr>
    </w:div>
    <w:div w:id="1726367099">
      <w:bodyDiv w:val="1"/>
      <w:marLeft w:val="0"/>
      <w:marRight w:val="0"/>
      <w:marTop w:val="0"/>
      <w:marBottom w:val="0"/>
      <w:divBdr>
        <w:top w:val="none" w:sz="0" w:space="0" w:color="auto"/>
        <w:left w:val="none" w:sz="0" w:space="0" w:color="auto"/>
        <w:bottom w:val="none" w:sz="0" w:space="0" w:color="auto"/>
        <w:right w:val="none" w:sz="0" w:space="0" w:color="auto"/>
      </w:divBdr>
    </w:div>
    <w:div w:id="1756512422">
      <w:bodyDiv w:val="1"/>
      <w:marLeft w:val="0"/>
      <w:marRight w:val="0"/>
      <w:marTop w:val="0"/>
      <w:marBottom w:val="0"/>
      <w:divBdr>
        <w:top w:val="none" w:sz="0" w:space="0" w:color="auto"/>
        <w:left w:val="none" w:sz="0" w:space="0" w:color="auto"/>
        <w:bottom w:val="none" w:sz="0" w:space="0" w:color="auto"/>
        <w:right w:val="none" w:sz="0" w:space="0" w:color="auto"/>
      </w:divBdr>
    </w:div>
    <w:div w:id="1765952189">
      <w:bodyDiv w:val="1"/>
      <w:marLeft w:val="0"/>
      <w:marRight w:val="0"/>
      <w:marTop w:val="0"/>
      <w:marBottom w:val="0"/>
      <w:divBdr>
        <w:top w:val="none" w:sz="0" w:space="0" w:color="auto"/>
        <w:left w:val="none" w:sz="0" w:space="0" w:color="auto"/>
        <w:bottom w:val="none" w:sz="0" w:space="0" w:color="auto"/>
        <w:right w:val="none" w:sz="0" w:space="0" w:color="auto"/>
      </w:divBdr>
    </w:div>
    <w:div w:id="1769033856">
      <w:bodyDiv w:val="1"/>
      <w:marLeft w:val="0"/>
      <w:marRight w:val="0"/>
      <w:marTop w:val="0"/>
      <w:marBottom w:val="0"/>
      <w:divBdr>
        <w:top w:val="none" w:sz="0" w:space="0" w:color="auto"/>
        <w:left w:val="none" w:sz="0" w:space="0" w:color="auto"/>
        <w:bottom w:val="none" w:sz="0" w:space="0" w:color="auto"/>
        <w:right w:val="none" w:sz="0" w:space="0" w:color="auto"/>
      </w:divBdr>
    </w:div>
    <w:div w:id="1790007535">
      <w:bodyDiv w:val="1"/>
      <w:marLeft w:val="0"/>
      <w:marRight w:val="0"/>
      <w:marTop w:val="0"/>
      <w:marBottom w:val="0"/>
      <w:divBdr>
        <w:top w:val="none" w:sz="0" w:space="0" w:color="auto"/>
        <w:left w:val="none" w:sz="0" w:space="0" w:color="auto"/>
        <w:bottom w:val="none" w:sz="0" w:space="0" w:color="auto"/>
        <w:right w:val="none" w:sz="0" w:space="0" w:color="auto"/>
      </w:divBdr>
    </w:div>
    <w:div w:id="1827087249">
      <w:bodyDiv w:val="1"/>
      <w:marLeft w:val="0"/>
      <w:marRight w:val="0"/>
      <w:marTop w:val="0"/>
      <w:marBottom w:val="0"/>
      <w:divBdr>
        <w:top w:val="none" w:sz="0" w:space="0" w:color="auto"/>
        <w:left w:val="none" w:sz="0" w:space="0" w:color="auto"/>
        <w:bottom w:val="none" w:sz="0" w:space="0" w:color="auto"/>
        <w:right w:val="none" w:sz="0" w:space="0" w:color="auto"/>
      </w:divBdr>
    </w:div>
    <w:div w:id="1828938410">
      <w:bodyDiv w:val="1"/>
      <w:marLeft w:val="0"/>
      <w:marRight w:val="0"/>
      <w:marTop w:val="0"/>
      <w:marBottom w:val="0"/>
      <w:divBdr>
        <w:top w:val="none" w:sz="0" w:space="0" w:color="auto"/>
        <w:left w:val="none" w:sz="0" w:space="0" w:color="auto"/>
        <w:bottom w:val="none" w:sz="0" w:space="0" w:color="auto"/>
        <w:right w:val="none" w:sz="0" w:space="0" w:color="auto"/>
      </w:divBdr>
    </w:div>
    <w:div w:id="1906643810">
      <w:bodyDiv w:val="1"/>
      <w:marLeft w:val="0"/>
      <w:marRight w:val="0"/>
      <w:marTop w:val="0"/>
      <w:marBottom w:val="0"/>
      <w:divBdr>
        <w:top w:val="none" w:sz="0" w:space="0" w:color="auto"/>
        <w:left w:val="none" w:sz="0" w:space="0" w:color="auto"/>
        <w:bottom w:val="none" w:sz="0" w:space="0" w:color="auto"/>
        <w:right w:val="none" w:sz="0" w:space="0" w:color="auto"/>
      </w:divBdr>
    </w:div>
    <w:div w:id="1989673573">
      <w:bodyDiv w:val="1"/>
      <w:marLeft w:val="0"/>
      <w:marRight w:val="0"/>
      <w:marTop w:val="0"/>
      <w:marBottom w:val="0"/>
      <w:divBdr>
        <w:top w:val="none" w:sz="0" w:space="0" w:color="auto"/>
        <w:left w:val="none" w:sz="0" w:space="0" w:color="auto"/>
        <w:bottom w:val="none" w:sz="0" w:space="0" w:color="auto"/>
        <w:right w:val="none" w:sz="0" w:space="0" w:color="auto"/>
      </w:divBdr>
    </w:div>
    <w:div w:id="2000692794">
      <w:bodyDiv w:val="1"/>
      <w:marLeft w:val="0"/>
      <w:marRight w:val="0"/>
      <w:marTop w:val="0"/>
      <w:marBottom w:val="0"/>
      <w:divBdr>
        <w:top w:val="none" w:sz="0" w:space="0" w:color="auto"/>
        <w:left w:val="none" w:sz="0" w:space="0" w:color="auto"/>
        <w:bottom w:val="none" w:sz="0" w:space="0" w:color="auto"/>
        <w:right w:val="none" w:sz="0" w:space="0" w:color="auto"/>
      </w:divBdr>
    </w:div>
    <w:div w:id="2009870612">
      <w:bodyDiv w:val="1"/>
      <w:marLeft w:val="0"/>
      <w:marRight w:val="0"/>
      <w:marTop w:val="0"/>
      <w:marBottom w:val="0"/>
      <w:divBdr>
        <w:top w:val="none" w:sz="0" w:space="0" w:color="auto"/>
        <w:left w:val="none" w:sz="0" w:space="0" w:color="auto"/>
        <w:bottom w:val="none" w:sz="0" w:space="0" w:color="auto"/>
        <w:right w:val="none" w:sz="0" w:space="0" w:color="auto"/>
      </w:divBdr>
    </w:div>
    <w:div w:id="2029745853">
      <w:bodyDiv w:val="1"/>
      <w:marLeft w:val="0"/>
      <w:marRight w:val="0"/>
      <w:marTop w:val="0"/>
      <w:marBottom w:val="0"/>
      <w:divBdr>
        <w:top w:val="none" w:sz="0" w:space="0" w:color="auto"/>
        <w:left w:val="none" w:sz="0" w:space="0" w:color="auto"/>
        <w:bottom w:val="none" w:sz="0" w:space="0" w:color="auto"/>
        <w:right w:val="none" w:sz="0" w:space="0" w:color="auto"/>
      </w:divBdr>
    </w:div>
    <w:div w:id="2049639948">
      <w:bodyDiv w:val="1"/>
      <w:marLeft w:val="0"/>
      <w:marRight w:val="0"/>
      <w:marTop w:val="0"/>
      <w:marBottom w:val="0"/>
      <w:divBdr>
        <w:top w:val="none" w:sz="0" w:space="0" w:color="auto"/>
        <w:left w:val="none" w:sz="0" w:space="0" w:color="auto"/>
        <w:bottom w:val="none" w:sz="0" w:space="0" w:color="auto"/>
        <w:right w:val="none" w:sz="0" w:space="0" w:color="auto"/>
      </w:divBdr>
    </w:div>
    <w:div w:id="206814407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events.q4inc.com/attendee/616795871"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6405</Words>
  <Characters>36512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Manickam, Sivakumar</dc:creator>
  <cp:lastModifiedBy/>
  <cp:revision>1</cp:revision>
  <dcterms:created xsi:type="dcterms:W3CDTF">2023-10-19T13:27:00Z</dcterms:created>
  <dcterms:modified xsi:type="dcterms:W3CDTF">2023-10-19T13:28:00Z</dcterms:modified>
</cp:coreProperties>
</file>