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81915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8" w:lineRule="exact"/>
        <w:rPr>
          <w:sz w:val="24"/>
          <w:szCs w:val="24"/>
          <w:color w:val="auto"/>
        </w:rPr>
      </w:pPr>
    </w:p>
    <w:p>
      <w:pPr>
        <w:ind w:left="1740" w:hanging="169"/>
        <w:spacing w:after="0"/>
        <w:tabs>
          <w:tab w:leader="none" w:pos="17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QUARTERLY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93" w:lineRule="exact"/>
        <w:rPr>
          <w:sz w:val="24"/>
          <w:szCs w:val="24"/>
          <w:color w:val="auto"/>
        </w:rPr>
      </w:pPr>
    </w:p>
    <w:p>
      <w:pPr>
        <w:ind w:left="1760" w:hanging="215"/>
        <w:spacing w:after="0"/>
        <w:tabs>
          <w:tab w:leader="none" w:pos="17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09" w:lineRule="exact"/>
        <w:rPr>
          <w:sz w:val="24"/>
          <w:szCs w:val="24"/>
          <w:color w:val="auto"/>
        </w:rPr>
      </w:pPr>
    </w:p>
    <w:p>
      <w:pPr>
        <w:ind w:left="4000"/>
        <w:spacing w:after="0"/>
        <w:tabs>
          <w:tab w:leader="none" w:pos="6120" w:val="left"/>
        </w:tabs>
        <w:rPr>
          <w:sz w:val="20"/>
          <w:szCs w:val="20"/>
          <w:color w:val="auto"/>
        </w:rPr>
      </w:pPr>
      <w:r>
        <w:rPr>
          <w:rFonts w:ascii="Times New Roman" w:cs="Times New Roman" w:eastAsia="Times New Roman" w:hAnsi="Times New Roman"/>
          <w:sz w:val="14"/>
          <w:szCs w:val="14"/>
          <w:color w:val="auto"/>
        </w:rPr>
        <w:t>For the transition period from</w:t>
      </w:r>
      <w:r>
        <w:rPr>
          <w:sz w:val="20"/>
          <w:szCs w:val="20"/>
          <w:color w:val="auto"/>
        </w:rPr>
        <w:tab/>
      </w:r>
      <w:r>
        <w:rPr>
          <w:rFonts w:ascii="Times New Roman" w:cs="Times New Roman" w:eastAsia="Times New Roman" w:hAnsi="Times New Roman"/>
          <w:sz w:val="14"/>
          <w:szCs w:val="14"/>
          <w:color w:val="auto"/>
        </w:rPr>
        <w:t>to</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 001-34096</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DIME COMMERCIAL BANCSHARES, INC.</w:t>
      </w:r>
    </w:p>
    <w:p>
      <w:pPr>
        <w:spacing w:after="0" w:line="5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jc w:val="center"/>
              <w:ind w:left="1664"/>
              <w:spacing w:after="0"/>
              <w:rPr>
                <w:sz w:val="20"/>
                <w:szCs w:val="20"/>
                <w:color w:val="auto"/>
              </w:rPr>
            </w:pPr>
            <w:r>
              <w:rPr>
                <w:rFonts w:ascii="Times New Roman" w:cs="Times New Roman" w:eastAsia="Times New Roman" w:hAnsi="Times New Roman"/>
                <w:sz w:val="16"/>
                <w:szCs w:val="16"/>
                <w:b w:val="1"/>
                <w:bCs w:val="1"/>
                <w:color w:val="auto"/>
                <w:w w:val="97"/>
              </w:rPr>
              <w:t>New York</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Pr>
          <w:p>
            <w:pPr>
              <w:jc w:val="right"/>
              <w:ind w:right="2024"/>
              <w:spacing w:after="0"/>
              <w:rPr>
                <w:sz w:val="20"/>
                <w:szCs w:val="20"/>
                <w:color w:val="auto"/>
              </w:rPr>
            </w:pPr>
            <w:r>
              <w:rPr>
                <w:rFonts w:ascii="Times New Roman" w:cs="Times New Roman" w:eastAsia="Times New Roman" w:hAnsi="Times New Roman"/>
                <w:sz w:val="16"/>
                <w:szCs w:val="16"/>
                <w:b w:val="1"/>
                <w:bCs w:val="1"/>
                <w:color w:val="auto"/>
              </w:rPr>
              <w:t>11-2934195</w:t>
            </w:r>
          </w:p>
        </w:tc>
        <w:tc>
          <w:tcPr>
            <w:tcW w:w="0" w:type="dxa"/>
            <w:vAlign w:val="bottom"/>
          </w:tcPr>
          <w:p>
            <w:pPr>
              <w:spacing w:after="0"/>
              <w:rPr>
                <w:sz w:val="1"/>
                <w:szCs w:val="1"/>
                <w:color w:val="auto"/>
              </w:rPr>
            </w:pPr>
          </w:p>
        </w:tc>
      </w:tr>
      <w:tr>
        <w:trPr>
          <w:trHeight w:val="212"/>
        </w:trPr>
        <w:tc>
          <w:tcPr>
            <w:tcW w:w="6000" w:type="dxa"/>
            <w:vAlign w:val="bottom"/>
            <w:gridSpan w:val="6"/>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4220" w:type="dxa"/>
            <w:vAlign w:val="bottom"/>
          </w:tcPr>
          <w:p>
            <w:pPr>
              <w:jc w:val="center"/>
              <w:ind w:right="684"/>
              <w:spacing w:after="0"/>
              <w:rPr>
                <w:sz w:val="20"/>
                <w:szCs w:val="20"/>
                <w:color w:val="auto"/>
              </w:rPr>
            </w:pPr>
            <w:r>
              <w:rPr>
                <w:rFonts w:ascii="Times New Roman" w:cs="Times New Roman" w:eastAsia="Times New Roman" w:hAnsi="Times New Roman"/>
                <w:sz w:val="16"/>
                <w:szCs w:val="16"/>
                <w:b w:val="1"/>
                <w:bCs w:val="1"/>
                <w:color w:val="auto"/>
              </w:rPr>
              <w:t>(I.R.S. employer identification number)</w:t>
            </w:r>
          </w:p>
        </w:tc>
        <w:tc>
          <w:tcPr>
            <w:tcW w:w="0" w:type="dxa"/>
            <w:vAlign w:val="bottom"/>
          </w:tcPr>
          <w:p>
            <w:pPr>
              <w:spacing w:after="0"/>
              <w:rPr>
                <w:sz w:val="1"/>
                <w:szCs w:val="1"/>
                <w:color w:val="auto"/>
              </w:rPr>
            </w:pPr>
          </w:p>
        </w:tc>
      </w:tr>
      <w:tr>
        <w:trPr>
          <w:trHeight w:val="393"/>
        </w:trPr>
        <w:tc>
          <w:tcPr>
            <w:tcW w:w="6000" w:type="dxa"/>
            <w:vAlign w:val="bottom"/>
            <w:gridSpan w:val="6"/>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898 Veterans Memorial Highway, Suite 560, Hauppauge, NY</w:t>
            </w:r>
          </w:p>
        </w:tc>
        <w:tc>
          <w:tcPr>
            <w:tcW w:w="4220" w:type="dxa"/>
            <w:vAlign w:val="bottom"/>
          </w:tcPr>
          <w:p>
            <w:pPr>
              <w:jc w:val="right"/>
              <w:ind w:right="2224"/>
              <w:spacing w:after="0"/>
              <w:rPr>
                <w:sz w:val="20"/>
                <w:szCs w:val="20"/>
                <w:color w:val="auto"/>
              </w:rPr>
            </w:pPr>
            <w:r>
              <w:rPr>
                <w:rFonts w:ascii="Times New Roman" w:cs="Times New Roman" w:eastAsia="Times New Roman" w:hAnsi="Times New Roman"/>
                <w:sz w:val="16"/>
                <w:szCs w:val="16"/>
                <w:b w:val="1"/>
                <w:bCs w:val="1"/>
                <w:color w:val="auto"/>
              </w:rPr>
              <w:t>11788</w:t>
            </w:r>
          </w:p>
        </w:tc>
        <w:tc>
          <w:tcPr>
            <w:tcW w:w="0" w:type="dxa"/>
            <w:vAlign w:val="bottom"/>
          </w:tcPr>
          <w:p>
            <w:pPr>
              <w:spacing w:after="0"/>
              <w:rPr>
                <w:sz w:val="1"/>
                <w:szCs w:val="1"/>
                <w:color w:val="auto"/>
              </w:rPr>
            </w:pPr>
          </w:p>
        </w:tc>
      </w:tr>
      <w:tr>
        <w:trPr>
          <w:trHeight w:val="214"/>
        </w:trPr>
        <w:tc>
          <w:tcPr>
            <w:tcW w:w="6000" w:type="dxa"/>
            <w:vAlign w:val="bottom"/>
            <w:gridSpan w:val="6"/>
          </w:tcPr>
          <w:p>
            <w:pPr>
              <w:jc w:val="center"/>
              <w:ind w:right="920"/>
              <w:spacing w:after="0"/>
              <w:rPr>
                <w:sz w:val="20"/>
                <w:szCs w:val="20"/>
                <w:color w:val="auto"/>
              </w:rPr>
            </w:pP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Address of principal executive offices)</w:t>
            </w:r>
          </w:p>
        </w:tc>
        <w:tc>
          <w:tcPr>
            <w:tcW w:w="4220" w:type="dxa"/>
            <w:vAlign w:val="bottom"/>
          </w:tcPr>
          <w:p>
            <w:pPr>
              <w:jc w:val="center"/>
              <w:ind w:right="704"/>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0" w:type="dxa"/>
            <w:vAlign w:val="bottom"/>
          </w:tcPr>
          <w:p>
            <w:pPr>
              <w:spacing w:after="0"/>
              <w:rPr>
                <w:sz w:val="1"/>
                <w:szCs w:val="1"/>
                <w:color w:val="auto"/>
              </w:rPr>
            </w:pPr>
          </w:p>
        </w:tc>
      </w:tr>
      <w:tr>
        <w:trPr>
          <w:trHeight w:val="274"/>
        </w:trPr>
        <w:tc>
          <w:tcPr>
            <w:tcW w:w="3300" w:type="dxa"/>
            <w:vAlign w:val="bottom"/>
          </w:tcPr>
          <w:p>
            <w:pPr>
              <w:spacing w:after="0"/>
              <w:rPr>
                <w:sz w:val="23"/>
                <w:szCs w:val="23"/>
                <w:color w:val="auto"/>
              </w:rPr>
            </w:pPr>
          </w:p>
        </w:tc>
        <w:tc>
          <w:tcPr>
            <w:tcW w:w="270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(631) 537-1000</w:t>
            </w:r>
          </w:p>
        </w:tc>
        <w:tc>
          <w:tcPr>
            <w:tcW w:w="4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18"/>
                <w:szCs w:val="18"/>
                <w:color w:val="auto"/>
              </w:rPr>
            </w:pPr>
          </w:p>
        </w:tc>
        <w:tc>
          <w:tcPr>
            <w:tcW w:w="6920" w:type="dxa"/>
            <w:vAlign w:val="bottom"/>
            <w:gridSpan w:val="6"/>
          </w:tcPr>
          <w:p>
            <w:pPr>
              <w:jc w:val="center"/>
              <w:ind w:right="3184"/>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0" w:type="dxa"/>
            <w:vAlign w:val="bottom"/>
          </w:tcPr>
          <w:p>
            <w:pPr>
              <w:spacing w:after="0"/>
              <w:rPr>
                <w:sz w:val="1"/>
                <w:szCs w:val="1"/>
                <w:color w:val="auto"/>
              </w:rPr>
            </w:pPr>
          </w:p>
        </w:tc>
      </w:tr>
      <w:tr>
        <w:trPr>
          <w:trHeight w:val="251"/>
        </w:trPr>
        <w:tc>
          <w:tcPr>
            <w:tcW w:w="3300" w:type="dxa"/>
            <w:vAlign w:val="bottom"/>
            <w:vMerge w:val="restart"/>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220" w:type="dxa"/>
            <w:vAlign w:val="bottom"/>
            <w:vMerge w:val="restart"/>
          </w:tcPr>
          <w:p>
            <w:pPr>
              <w:jc w:val="center"/>
              <w:ind w:right="30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3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300" w:type="dxa"/>
            <w:vAlign w:val="bottom"/>
            <w:tcBorders>
              <w:top w:val="single" w:sz="8" w:color="auto"/>
            </w:tcBorders>
          </w:tcPr>
          <w:p>
            <w:pPr>
              <w:jc w:val="center"/>
              <w:ind w:left="544"/>
              <w:spacing w:after="0" w:line="119" w:lineRule="exact"/>
              <w:rPr>
                <w:sz w:val="20"/>
                <w:szCs w:val="20"/>
                <w:color w:val="auto"/>
              </w:rPr>
            </w:pPr>
            <w:r>
              <w:rPr>
                <w:rFonts w:ascii="Times New Roman" w:cs="Times New Roman" w:eastAsia="Times New Roman" w:hAnsi="Times New Roman"/>
                <w:sz w:val="13"/>
                <w:szCs w:val="13"/>
                <w:color w:val="auto"/>
              </w:rPr>
              <w:t>Common Stock, $0.01 Par Value</w:t>
            </w: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DCOM</w:t>
            </w: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220" w:type="dxa"/>
            <w:vAlign w:val="bottom"/>
            <w:tcBorders>
              <w:top w:val="single" w:sz="8" w:color="auto"/>
            </w:tcBorders>
          </w:tcPr>
          <w:p>
            <w:pPr>
              <w:jc w:val="center"/>
              <w:ind w:right="304"/>
              <w:spacing w:after="0" w:line="119" w:lineRule="exact"/>
              <w:rPr>
                <w:sz w:val="20"/>
                <w:szCs w:val="20"/>
                <w:color w:val="auto"/>
              </w:rPr>
            </w:pPr>
            <w:r>
              <w:rPr>
                <w:rFonts w:ascii="Times New Roman" w:cs="Times New Roman" w:eastAsia="Times New Roman" w:hAnsi="Times New Roman"/>
                <w:sz w:val="13"/>
                <w:szCs w:val="13"/>
                <w:color w:val="auto"/>
              </w:rPr>
              <w:t>The New York Stock Exchange</w:t>
            </w:r>
          </w:p>
        </w:tc>
        <w:tc>
          <w:tcPr>
            <w:tcW w:w="0" w:type="dxa"/>
            <w:vAlign w:val="bottom"/>
          </w:tcPr>
          <w:p>
            <w:pPr>
              <w:spacing w:after="0"/>
              <w:rPr>
                <w:sz w:val="1"/>
                <w:szCs w:val="1"/>
                <w:color w:val="auto"/>
              </w:rPr>
            </w:pPr>
          </w:p>
        </w:tc>
      </w:tr>
      <w:tr>
        <w:trPr>
          <w:trHeight w:val="148"/>
        </w:trPr>
        <w:tc>
          <w:tcPr>
            <w:tcW w:w="3300" w:type="dxa"/>
            <w:vAlign w:val="bottom"/>
          </w:tcPr>
          <w:p>
            <w:pPr>
              <w:jc w:val="center"/>
              <w:ind w:left="524"/>
              <w:spacing w:after="0" w:line="149" w:lineRule="exact"/>
              <w:rPr>
                <w:sz w:val="20"/>
                <w:szCs w:val="20"/>
                <w:color w:val="auto"/>
              </w:rPr>
            </w:pPr>
            <w:r>
              <w:rPr>
                <w:rFonts w:ascii="Times New Roman" w:cs="Times New Roman" w:eastAsia="Times New Roman" w:hAnsi="Times New Roman"/>
                <w:sz w:val="14"/>
                <w:szCs w:val="14"/>
                <w:color w:val="auto"/>
              </w:rPr>
              <w:t>Preferred Stock, Series A, $0.01 Par Value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DCOM PR</w:t>
            </w:r>
          </w:p>
        </w:tc>
        <w:tc>
          <w:tcPr>
            <w:tcW w:w="4220" w:type="dxa"/>
            <w:vAlign w:val="bottom"/>
          </w:tcPr>
          <w:p>
            <w:pPr>
              <w:jc w:val="center"/>
              <w:ind w:right="304"/>
              <w:spacing w:after="0" w:line="149" w:lineRule="exact"/>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r>
        <w:trPr>
          <w:trHeight w:val="188"/>
        </w:trPr>
        <w:tc>
          <w:tcPr>
            <w:tcW w:w="3300" w:type="dxa"/>
            <w:vAlign w:val="bottom"/>
          </w:tcPr>
          <w:p>
            <w:pPr>
              <w:jc w:val="center"/>
              <w:ind w:left="544"/>
              <w:spacing w:after="0"/>
              <w:rPr>
                <w:sz w:val="20"/>
                <w:szCs w:val="20"/>
                <w:color w:val="auto"/>
              </w:rPr>
            </w:pPr>
            <w:r>
              <w:rPr>
                <w:rFonts w:ascii="Times New Roman" w:cs="Times New Roman" w:eastAsia="Times New Roman" w:hAnsi="Times New Roman"/>
                <w:sz w:val="14"/>
                <w:szCs w:val="14"/>
                <w:color w:val="auto"/>
              </w:rPr>
              <w:t>9.000% Subordinated Notes, $25.00 Par Value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DCBG</w:t>
            </w:r>
          </w:p>
        </w:tc>
        <w:tc>
          <w:tcPr>
            <w:tcW w:w="4220" w:type="dxa"/>
            <w:vAlign w:val="bottom"/>
          </w:tcPr>
          <w:p>
            <w:pPr>
              <w:jc w:val="center"/>
              <w:ind w:right="304"/>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bl>
    <w:p>
      <w:pPr>
        <w:spacing w:after="0" w:line="50" w:lineRule="exact"/>
        <w:rPr>
          <w:sz w:val="24"/>
          <w:szCs w:val="24"/>
          <w:color w:val="auto"/>
        </w:rPr>
      </w:pPr>
    </w:p>
    <w:p>
      <w:pPr>
        <w:jc w:val="both"/>
        <w:ind w:lef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the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ind w:lef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ind w:lef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sectPr>
      </w:pPr>
    </w:p>
    <w:p>
      <w:pPr>
        <w:spacing w:after="0" w:line="47"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3">
            <w:col w:w="4400" w:space="720"/>
            <w:col w:w="1860" w:space="60"/>
            <w:col w:w="3200"/>
          </w:cols>
          <w:pgMar w:left="820" w:top="661" w:right="839" w:bottom="1440" w:gutter="0" w:footer="0" w:header="0"/>
          <w:type w:val="continuous"/>
        </w:sectPr>
      </w:pPr>
    </w:p>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20" w:right="18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3080" w:type="dxa"/>
            <w:vAlign w:val="bottom"/>
            <w:gridSpan w:val="2"/>
          </w:tcPr>
          <w:p>
            <w:pPr>
              <w:jc w:val="center"/>
              <w:ind w:right="1300"/>
              <w:spacing w:after="0"/>
              <w:rPr>
                <w:sz w:val="20"/>
                <w:szCs w:val="20"/>
                <w:color w:val="auto"/>
              </w:rPr>
            </w:pPr>
            <w:r>
              <w:rPr>
                <w:rFonts w:ascii="Times New Roman" w:cs="Times New Roman" w:eastAsia="Times New Roman" w:hAnsi="Times New Roman"/>
                <w:sz w:val="16"/>
                <w:szCs w:val="16"/>
                <w:b w:val="1"/>
                <w:bCs w:val="1"/>
                <w:color w:val="auto"/>
              </w:rPr>
              <w:t>Classes of Common Stock</w:t>
            </w:r>
          </w:p>
        </w:tc>
        <w:tc>
          <w:tcPr>
            <w:tcW w:w="5540" w:type="dxa"/>
            <w:vAlign w:val="bottom"/>
            <w:gridSpan w:val="3"/>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Number of shares outstanding at October 23, 2026</w:t>
            </w:r>
          </w:p>
        </w:tc>
      </w:tr>
      <w:tr>
        <w:trPr>
          <w:trHeight w:val="217"/>
        </w:trPr>
        <w:tc>
          <w:tcPr>
            <w:tcW w:w="1620" w:type="dxa"/>
            <w:vAlign w:val="bottom"/>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$0.01 Par Value</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80" w:type="dxa"/>
            <w:vAlign w:val="bottom"/>
            <w:tcBorders>
              <w:top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color w:val="auto"/>
              </w:rPr>
              <w:t>43,729,549</w:t>
            </w:r>
          </w:p>
        </w:tc>
        <w:tc>
          <w:tcPr>
            <w:tcW w:w="780" w:type="dxa"/>
            <w:vAlign w:val="bottom"/>
          </w:tcPr>
          <w:p>
            <w:pPr>
              <w:spacing w:after="0"/>
              <w:rPr>
                <w:sz w:val="18"/>
                <w:szCs w:val="18"/>
                <w:color w:val="auto"/>
              </w:rPr>
            </w:pPr>
          </w:p>
        </w:tc>
      </w:tr>
      <w:tr>
        <w:trPr>
          <w:trHeight w:val="101"/>
        </w:trPr>
        <w:tc>
          <w:tcPr>
            <w:tcW w:w="16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68"/>
        </w:trPr>
        <w:tc>
          <w:tcPr>
            <w:tcW w:w="16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574"/>
        </w:trPr>
        <w:tc>
          <w:tcPr>
            <w:tcW w:w="1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6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42"/>
        </w:trPr>
        <w:tc>
          <w:tcPr>
            <w:tcW w:w="8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0000EE"/>
              </w:rPr>
              <w:t>Item 1.</w:t>
            </w:r>
          </w:p>
        </w:tc>
        <w:tc>
          <w:tcPr>
            <w:tcW w:w="7640" w:type="dxa"/>
            <w:vAlign w:val="bottom"/>
            <w:gridSpan w:val="12"/>
          </w:tcPr>
          <w:p>
            <w:pPr>
              <w:spacing w:after="0" w:line="142" w:lineRule="exact"/>
              <w:rPr>
                <w:sz w:val="20"/>
                <w:szCs w:val="20"/>
                <w:color w:val="auto"/>
              </w:rPr>
            </w:pPr>
            <w:r>
              <w:rPr>
                <w:rFonts w:ascii="Times New Roman" w:cs="Times New Roman" w:eastAsia="Times New Roman" w:hAnsi="Times New Roman"/>
                <w:sz w:val="16"/>
                <w:szCs w:val="16"/>
                <w:color w:val="0000EE"/>
              </w:rPr>
              <w:t>Unaudited Condensed Consolidated Financial Statements</w:t>
            </w:r>
          </w:p>
        </w:tc>
        <w:tc>
          <w:tcPr>
            <w:tcW w:w="380" w:type="dxa"/>
            <w:vAlign w:val="bottom"/>
          </w:tcPr>
          <w:p>
            <w:pPr>
              <w:spacing w:after="0"/>
              <w:rPr>
                <w:sz w:val="12"/>
                <w:szCs w:val="12"/>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Consolidated Statements of Financial Condition at September 30, 2026 and December 31, 2025</w:t>
            </w:r>
          </w:p>
        </w:tc>
        <w:tc>
          <w:tcPr>
            <w:tcW w:w="1440" w:type="dxa"/>
            <w:vAlign w:val="bottom"/>
            <w:gridSpan w:val="4"/>
          </w:tcPr>
          <w:p>
            <w:pPr>
              <w:spacing w:after="0"/>
              <w:rPr>
                <w:sz w:val="17"/>
                <w:szCs w:val="17"/>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20" w:type="dxa"/>
            <w:vAlign w:val="bottom"/>
            <w:tcBorders>
              <w:bottom w:val="single" w:sz="8" w:color="0000EE"/>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Operations for the Three and Nine Months Ended September 30, 2026 and 2025</w:t>
            </w:r>
          </w:p>
        </w:tc>
        <w:tc>
          <w:tcPr>
            <w:tcW w:w="620" w:type="dxa"/>
            <w:vAlign w:val="bottom"/>
            <w:gridSpan w:val="2"/>
          </w:tcPr>
          <w:p>
            <w:pPr>
              <w:spacing w:after="0"/>
              <w:rPr>
                <w:sz w:val="15"/>
                <w:szCs w:val="15"/>
                <w:color w:val="auto"/>
              </w:rPr>
            </w:pP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6</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40" w:type="dxa"/>
            <w:vAlign w:val="bottom"/>
            <w:tcBorders>
              <w:bottom w:val="single" w:sz="8" w:color="0000EE"/>
            </w:tcBorders>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Comprehensive Income for the Three and Nine Months Ended September 30, 2026 and</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7</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3"/>
              </w:rPr>
              <w:t>2025</w:t>
            </w: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4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Changes in Stockholders’ Equity for the Three and Nine Months Ended September 30,</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8</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Borders>
              <w:top w:val="single" w:sz="8" w:color="0000EE"/>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w w:val="98"/>
              </w:rPr>
              <w:t>2026 and 2025</w:t>
            </w:r>
          </w:p>
        </w:tc>
        <w:tc>
          <w:tcPr>
            <w:tcW w:w="666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380" w:type="dxa"/>
            <w:vAlign w:val="bottom"/>
            <w:tcBorders>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Cash Flows for the Nine Months Ended September 30, 2026 and 2025</w:t>
            </w:r>
          </w:p>
        </w:tc>
        <w:tc>
          <w:tcPr>
            <w:tcW w:w="1260" w:type="dxa"/>
            <w:vAlign w:val="bottom"/>
            <w:gridSpan w:val="3"/>
          </w:tcPr>
          <w:p>
            <w:pPr>
              <w:spacing w:after="0"/>
              <w:rPr>
                <w:sz w:val="15"/>
                <w:szCs w:val="15"/>
                <w:color w:val="auto"/>
              </w:rPr>
            </w:pP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4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Notes to Unaudited Condensed Consolidated Financial Statements</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87"/>
              </w:rPr>
              <w:t>11</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2.</w:t>
            </w:r>
          </w:p>
        </w:tc>
        <w:tc>
          <w:tcPr>
            <w:tcW w:w="764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42</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3.</w:t>
            </w:r>
          </w:p>
        </w:tc>
        <w:tc>
          <w:tcPr>
            <w:tcW w:w="764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61</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4.</w:t>
            </w:r>
          </w:p>
        </w:tc>
        <w:tc>
          <w:tcPr>
            <w:tcW w:w="764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Controls and Procedures</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63</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Item 1.</w:t>
            </w: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1A.</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Risk Factors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64</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5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2.</w:t>
            </w:r>
          </w:p>
        </w:tc>
        <w:tc>
          <w:tcPr>
            <w:tcW w:w="300" w:type="dxa"/>
            <w:vAlign w:val="bottom"/>
          </w:tcPr>
          <w:p>
            <w:pPr>
              <w:spacing w:after="0"/>
              <w:rPr>
                <w:sz w:val="15"/>
                <w:szCs w:val="15"/>
                <w:color w:val="auto"/>
              </w:rPr>
            </w:pP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Unregistered Sales of Equity Securities, Use of Proceeds and Issuer Purchases of Equity Securities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65</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3.</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Defaults Upon Senior Securities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65</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4.</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Mine Safety Disclosures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65</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5.</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Other Information</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65</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6.</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Exhibits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66</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w w:val="97"/>
              </w:rPr>
              <w:t>Signatures</w:t>
            </w:r>
          </w:p>
        </w:tc>
        <w:tc>
          <w:tcPr>
            <w:tcW w:w="6400" w:type="dxa"/>
            <w:vAlign w:val="bottom"/>
            <w:gridSpan w:val="6"/>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a number of forward-looking statements within the meaning of Section 27A of the Securities Act of 1933, as amended and Section 21E of the Securities Exchange Act of 1934, as amended (the “Exchange Act”). These statements may be identified by use of words such as “annualized,” “anticipate,” “believe,” “continue,” “could,” “estimate,” “expect,” “intend,” “seek,” “may,” “outlook,” “plan,” “potential,” “predict,” “project,” “should,” “will,” “would” and similar terms and phrases, including references to assumptions. Examples of forward-looking statements include, but are not limited to, the proposed use of proceeds from any offering, possible or assumed estimates with respect to the financial condition, asset quality, expected or anticipated revenue, and results of operations and our business, including earnings growth; revenue growth in retail banking, lending and other areas; origination volume in the consumer, commercial and other lending businesses; current and future capital management programs; non-interest income levels, including fees from the title insurance subsidiary and banking services as well as product sales; tangible capital generation; market share; expense levels; and other business operations and strategies.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upon various assumptions and analyses made by Dime Commercial Bancshares, Inc. (together with its direct and indirect subsidiaries, the “Company”), in light of management’s experience and its perception of historical trends, current conditions and expected future developments, as well as other factors it believes appropriate under the circumstances. These statements are not guarantees of future performance and are subject to risks, uncertainties and other factors (many of which are beyond the Company’s control) that could cause actual conditions or results to differ materially from those expressed or implied by such forward-looking statements. Such factors include, without limitation, the following:</w:t>
      </w:r>
    </w:p>
    <w:p>
      <w:pPr>
        <w:spacing w:after="0" w:line="189"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competitive pressure among financial institutions or from non-financial institutions;</w:t>
      </w:r>
    </w:p>
    <w:p>
      <w:pPr>
        <w:spacing w:after="0" w:line="27"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fluctuation in market interest rates, which may affect demand for our products, interest margins and the fair value of financial instruments;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interest margin is subject to material short-term fluctuation based upon market rates;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deposit flows or composition, loan demand or real estate values;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quality and composition of our loan or investment portfolios or unanticipated or significant increases in loan losses;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and/or individual income tax laws or policies;</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conditions, including conditions caused by public health emergencies, international conflict, inflation and recessionary pressures, either nationally or locally in some or all areas in which the Company conducts business, or conditions in the securities markets or the banking industry;</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 including any changes in the monetary policies of the U.S. Treasury and the Board of Governors of the Federal Reserve System;</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and the responses of third parties thereto, which may increase inflationary pressures;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distribution of federal funds or freezing of federal funding or grants, which could have an adverse effect on the ability of consumers and businesses to pay debts or affect the demand for loans and deposits;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adapt to, or implement, technological changes;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conditions that contribute to market volatility and uncertainty;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failures of the Company’s information technology security systems;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effect strategic plans;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new business initiatives or the integration of any acquired entities;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unanticipated expenses incurred in the consummation of new business initiatives or the integration of any acquired entities;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matters before regulatory agencies;</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referred to in the section entitled “Risk Factors” in our Annual Report on Form 10-K for the year ended December 31, 2025, as updated by our subsequent Quarterly Reports on Form 10-Q and Current Reports on Form 8-K; and/or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unexpected material adverse changes in our financial condition, operations or earnings.</w:t>
      </w:r>
    </w:p>
    <w:p>
      <w:pPr>
        <w:spacing w:after="0" w:line="11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Accordingly, you should not place undue reliance on forward-looking statements. The Company has no obligation to update any forward-looking statements to reflect events or circumstances after the date of this document.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left="1520" w:right="1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COMMERCIAL BANCSHARES, INC. AND SUBSIDIARIES CONSOLIDATED STATEMENTS OF FINANCIAL CONDITION (UNAUDITED) </w:t>
      </w:r>
      <w:r>
        <w:rPr>
          <w:rFonts w:ascii="Times New Roman" w:cs="Times New Roman" w:eastAsia="Times New Roman" w:hAnsi="Times New Roman"/>
          <w:sz w:val="18"/>
          <w:szCs w:val="18"/>
          <w:color w:val="auto"/>
        </w:rPr>
        <w:t>(Dollars in thousands except share amounts)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60" w:type="dxa"/>
            <w:vAlign w:val="bottom"/>
            <w:vMerge w:val="restart"/>
          </w:tcPr>
          <w:p>
            <w:pPr>
              <w:ind w:left="66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4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due from banks</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2,184,800</w:t>
            </w:r>
          </w:p>
        </w:tc>
        <w:tc>
          <w:tcPr>
            <w:tcW w:w="60" w:type="dxa"/>
            <w:vAlign w:val="bottom"/>
          </w:tcPr>
          <w:p>
            <w:pPr>
              <w:spacing w:after="0"/>
              <w:rPr>
                <w:sz w:val="12"/>
                <w:szCs w:val="12"/>
                <w:color w:val="auto"/>
              </w:rPr>
            </w:pPr>
          </w:p>
        </w:tc>
        <w:tc>
          <w:tcPr>
            <w:tcW w:w="2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2,353,966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Securities available-for-sale, at fair value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897,276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797,935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Securities held-to-maturity</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701,601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618,901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held for sale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2,413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held for investment, net of fees and costs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10,918,155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10,758,208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(108,548)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(97,372)</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loans held for investment, net</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10,809,607</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10,660,836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Premises and fixed assets,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28,711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31,255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59,046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67,197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Bank Owned Life Insurance ("BOLI")</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422,101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401,163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155,797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intangible 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2,339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44,114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99,951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76,315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interest receivable</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57,694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55,572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81,419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7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15,546,869</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15,341,631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Interest-bearing deposits</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8,898,693</w:t>
            </w: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8,879,114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Non-interest-bearing deposits</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4,158,300</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3,915,081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Deposits (excluding mortgage escrow deposits)</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13,056,993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12,794,195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Non-interest-bearing mortgage escrow deposits</w:t>
            </w: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81,429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47,051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Interest-bearing mortgage escrow deposits</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mortgage escrow deposits</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81,429</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47,051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deposits (including mortgage escrow deposits)</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13,138,422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12,841,246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Federal Home Loan Bank of New York ("FHLBNY") advances</w:t>
            </w: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508,000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231,313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272,503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100,550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46,834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45,729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liabilities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99,394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72,598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72,411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14,024,111</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13,865,862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67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stock, Series A ($0.01 par, $25.00 liquidation value, 10,000,000 shares authorized and 5,299,200 shares</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116,569</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116,569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 and outstanding at September 30, 2026 and December 31, 2025)</w:t>
            </w: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($0.01 par, 80,000,000 shares authorized, 46,154,333 and 46,151,302 shares issued at</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September 30, 2026 and December 31, 2025 respectively, and 43,811,483 shares and 43,862,327 shares</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2026 and December 31, 2025, respectively)</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622,827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623,041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926,880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854,167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net of deferred taxes</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(46,314)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(31,468)</w:t>
            </w:r>
          </w:p>
        </w:tc>
        <w:tc>
          <w:tcPr>
            <w:tcW w:w="0" w:type="dxa"/>
            <w:vAlign w:val="bottom"/>
          </w:tcPr>
          <w:p>
            <w:pPr>
              <w:spacing w:after="0"/>
              <w:rPr>
                <w:sz w:val="1"/>
                <w:szCs w:val="1"/>
                <w:color w:val="auto"/>
              </w:rPr>
            </w:pPr>
          </w:p>
        </w:tc>
      </w:tr>
      <w:tr>
        <w:trPr>
          <w:trHeight w:val="149"/>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Unearned equity awards</w:t>
            </w:r>
          </w:p>
        </w:tc>
        <w:tc>
          <w:tcPr>
            <w:tcW w:w="1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(15,311)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(8,661)</w:t>
            </w:r>
          </w:p>
        </w:tc>
        <w:tc>
          <w:tcPr>
            <w:tcW w:w="0" w:type="dxa"/>
            <w:vAlign w:val="bottom"/>
          </w:tcPr>
          <w:p>
            <w:pPr>
              <w:spacing w:after="0"/>
              <w:rPr>
                <w:sz w:val="1"/>
                <w:szCs w:val="1"/>
                <w:color w:val="auto"/>
              </w:rPr>
            </w:pPr>
          </w:p>
        </w:tc>
      </w:tr>
      <w:tr>
        <w:trPr>
          <w:trHeight w:val="126"/>
        </w:trPr>
        <w:tc>
          <w:tcPr>
            <w:tcW w:w="67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Treasury stock, at cost (2,342,850 shares and 2,288,975 shares at September 30, 2026 and December 31, 2025,</w:t>
            </w: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(82,355)</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(78,341)</w:t>
            </w: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1,522,758</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1,475,769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15,546,869</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15,341,631</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COMMERCIAL BANCSHARES, INC. AND SUBSIDIARIES CONSOLIDATED STATEMENTS OF OPERATIONS (UNAUDITED) </w:t>
      </w:r>
      <w:r>
        <w:rPr>
          <w:rFonts w:ascii="Times New Roman" w:cs="Times New Roman" w:eastAsia="Times New Roman" w:hAnsi="Times New Roman"/>
          <w:sz w:val="18"/>
          <w:szCs w:val="18"/>
          <w:color w:val="auto"/>
        </w:rPr>
        <w:t>(Dollars in thousands except per share amounts)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5"/>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4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149,776</w:t>
            </w:r>
          </w:p>
        </w:tc>
        <w:tc>
          <w:tcPr>
            <w:tcW w:w="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147,756</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435,758</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15,428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42,734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short-term investments</w:t>
            </w:r>
          </w:p>
        </w:tc>
        <w:tc>
          <w:tcPr>
            <w:tcW w:w="4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18,182</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53,544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interest income</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183,386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175,543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532,036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 and escrow</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54,220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158,755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Borrowed funds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7,279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22,930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cash collateral</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1,695</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4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62,167</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72,144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183,380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209,249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121,219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348,656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13,812</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40,000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for credit losses</w:t>
            </w: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107,407</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90,105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308,656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other fees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6,879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19,092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Title fees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level derivative income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1,709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BOLI income</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4,683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14,279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SBA Loans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residential loans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change in equity securities and loans held for sale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securities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sale of loans and other assets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(1,563)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2,347</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4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14,128</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36,740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39,303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118,677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 and equipment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7,855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23,963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processing costs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5,835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16,409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2,258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6,234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6,215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deposit insurance premiums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4,605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(gain) on extinguishment of debt for FHLB advances and</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(972)</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due to pension settlement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5,475</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15,700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65,503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62,224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192,960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56,032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152,436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14,472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41,480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41,560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110,956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5,465</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39,738</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105,491</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73,361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0.90</w:t>
            </w:r>
          </w:p>
        </w:tc>
        <w:tc>
          <w:tcPr>
            <w:tcW w:w="6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2.40</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COMMERCIAL BANCSHARES, INC. AND SUBSIDIARIES CONSOLIDATED STATEMENTS OF COMPREHENSIVE INCOME (UNAUDITED) </w:t>
      </w:r>
      <w:r>
        <w:rPr>
          <w:rFonts w:ascii="Times New Roman" w:cs="Times New Roman" w:eastAsia="Times New Roman" w:hAnsi="Times New Roman"/>
          <w:sz w:val="18"/>
          <w:szCs w:val="18"/>
          <w:color w:val="auto"/>
        </w:rPr>
        <w:t>(Dollars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5"/>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6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26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41,560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27,671</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110,956</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78,826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gridSpan w:val="2"/>
          </w:tcPr>
          <w:p>
            <w:pPr>
              <w:jc w:val="right"/>
              <w:ind w:right="2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unrealized gain (loss) on securities: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net unrealized (loss) gain during the period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(25,973)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6,563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(32,350)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08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Reclassification adjustment for net gain realized in net income on securities and other</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Accretion of net unrealized loss on securities transferred to held-to-maturity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2,073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Credit loss expense</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pension and other postretirement obligations: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Reclassification adjustment for benefit included in other expense</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the net actuarial gain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unrealized gain (loss) on derivatives: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net unrealized gain (loss) during the period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6,274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Reclassification adjustment for expense/income included in interest expense</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2,077</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1,740</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Other comprehensive (loss) income before income taxes</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(21,337)</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6,264</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(21,490)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Deferred tax (benefit) expense</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(6,596)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1,923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(6,644)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 other comprehensive (loss) income, net of tax</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(14,741)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(14,846)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26,819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32,012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96,110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90,248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COMMERCIAL BANCSHARES, INC. AND SUBSIDIARIES CONSOLIDATED STATEMENTS OF CHANGES IN STOCKHOLDERS’ EQUITY (UNAUDITED) </w:t>
      </w:r>
      <w:r>
        <w:rPr>
          <w:rFonts w:ascii="Times New Roman" w:cs="Times New Roman" w:eastAsia="Times New Roman" w:hAnsi="Times New Roman"/>
          <w:sz w:val="18"/>
          <w:szCs w:val="18"/>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6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Net of Deferred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80" w:type="dxa"/>
            <w:vAlign w:val="bottom"/>
            <w:gridSpan w:val="4"/>
          </w:tcPr>
          <w:p>
            <w:pPr>
              <w:jc w:val="right"/>
              <w:ind w:right="53"/>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Stock</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Capital</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Earnings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Taxes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Awards</w:t>
            </w:r>
          </w:p>
        </w:tc>
        <w:tc>
          <w:tcPr>
            <w:tcW w:w="68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at cost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Beginning balance as of January 1, 2026</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43,862,327</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8"/>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462</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$ 623,041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8"/>
              </w:rPr>
              <w:t>$854,167</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(31,468)</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(8,661)</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$(78,341)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1,475,769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34,582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34,582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275,652</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(626)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(8,980)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9,765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1,838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1,838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(80,853)</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(1,211)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(1,211)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(10,794)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(10,794)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March 31, 2026</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44,057,126</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462</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$ 622,415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876,133</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(33,019)</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(15,803)</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(69,787)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1,496,970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34,814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34,814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1,446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Exercise of stock options, net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1,953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122,357</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234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(4,279)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4,193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2,492</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2,492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(23,078)</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(2,556)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(2,556)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(11,037)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(11,037)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June 30, 2026</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44,158,358</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462</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$ 622,636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898,089</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(31,573)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(17,590)</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(68,137)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1,520,456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41,560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(14,741)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(14,741)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2,071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2,272</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2,272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(50,943)</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(2,058)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(2,058)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10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(10,947)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(10,947)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(298,003)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(12,230)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(12,230)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September 30, 2026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43,811,483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116,569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$ 622,827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926,880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(46,314)</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(15,311)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(82,355)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1,522,758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240" w:right="1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DIME COMMERCIAL BANCSHARES, INC. AND SUBSIDIARIES CONSOLIDATED STATEMENTS OF CHANGES IN STOCKHOLDERS’ EQUITY (UNAUDITED) (CONTINUED) </w:t>
      </w:r>
      <w:r>
        <w:rPr>
          <w:rFonts w:ascii="Times New Roman" w:cs="Times New Roman" w:eastAsia="Times New Roman" w:hAnsi="Times New Roman"/>
          <w:sz w:val="18"/>
          <w:szCs w:val="18"/>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ind w:left="8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4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6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Net of Deferred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65"/>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80" w:type="dxa"/>
            <w:vAlign w:val="bottom"/>
            <w:gridSpan w:val="4"/>
          </w:tcPr>
          <w:p>
            <w:pPr>
              <w:jc w:val="right"/>
              <w:ind w:right="53"/>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Stock</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Capital</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Earnings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Taxes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Awards</w:t>
            </w:r>
          </w:p>
        </w:tc>
        <w:tc>
          <w:tcPr>
            <w:tcW w:w="68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at cost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42"/>
        </w:trPr>
        <w:tc>
          <w:tcPr>
            <w:tcW w:w="20" w:type="dxa"/>
            <w:vAlign w:val="bottom"/>
          </w:tcPr>
          <w:p>
            <w:pPr>
              <w:spacing w:after="0"/>
              <w:rPr>
                <w:sz w:val="12"/>
                <w:szCs w:val="12"/>
                <w:color w:val="auto"/>
              </w:rPr>
            </w:pPr>
          </w:p>
        </w:tc>
        <w:tc>
          <w:tcPr>
            <w:tcW w:w="2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Beginning balance as of January 1, 2025</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43,622,292</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461</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$ 624,822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$794,526</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(45,018)</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(7,640)</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$(87,203)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1,396,517</w:t>
            </w:r>
          </w:p>
        </w:tc>
      </w:tr>
      <w:tr>
        <w:trPr>
          <w:trHeight w:val="148"/>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21,458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21,458</w:t>
            </w: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5,973</w:t>
            </w:r>
          </w:p>
        </w:tc>
      </w:tr>
      <w:tr>
        <w:trPr>
          <w:trHeight w:val="148"/>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252,273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1,884</w:t>
            </w:r>
          </w:p>
        </w:tc>
      </w:tr>
      <w:tr>
        <w:trPr>
          <w:trHeight w:val="136"/>
        </w:trPr>
        <w:tc>
          <w:tcPr>
            <w:tcW w:w="20" w:type="dxa"/>
            <w:vAlign w:val="bottom"/>
          </w:tcPr>
          <w:p>
            <w:pPr>
              <w:spacing w:after="0"/>
              <w:rPr>
                <w:sz w:val="11"/>
                <w:szCs w:val="11"/>
                <w:color w:val="auto"/>
              </w:rPr>
            </w:pPr>
          </w:p>
        </w:tc>
        <w:tc>
          <w:tcPr>
            <w:tcW w:w="23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(75,489)</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w:t>
            </w:r>
          </w:p>
        </w:tc>
      </w:tr>
      <w:tr>
        <w:trPr>
          <w:trHeight w:val="136"/>
        </w:trPr>
        <w:tc>
          <w:tcPr>
            <w:tcW w:w="20" w:type="dxa"/>
            <w:vAlign w:val="bottom"/>
          </w:tcPr>
          <w:p>
            <w:pPr>
              <w:spacing w:after="0"/>
              <w:rPr>
                <w:sz w:val="11"/>
                <w:szCs w:val="11"/>
                <w:color w:val="auto"/>
              </w:rPr>
            </w:pPr>
          </w:p>
        </w:tc>
        <w:tc>
          <w:tcPr>
            <w:tcW w:w="23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r>
      <w:tr>
        <w:trPr>
          <w:trHeight w:val="136"/>
        </w:trPr>
        <w:tc>
          <w:tcPr>
            <w:tcW w:w="20" w:type="dxa"/>
            <w:vAlign w:val="bottom"/>
          </w:tcPr>
          <w:p>
            <w:pPr>
              <w:spacing w:after="0"/>
              <w:rPr>
                <w:sz w:val="11"/>
                <w:szCs w:val="11"/>
                <w:color w:val="auto"/>
              </w:rPr>
            </w:pPr>
          </w:p>
        </w:tc>
        <w:tc>
          <w:tcPr>
            <w:tcW w:w="23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(10,960)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(10,960)</w:t>
            </w:r>
          </w:p>
        </w:tc>
      </w:tr>
      <w:tr>
        <w:trPr>
          <w:trHeight w:val="142"/>
        </w:trPr>
        <w:tc>
          <w:tcPr>
            <w:tcW w:w="20" w:type="dxa"/>
            <w:vAlign w:val="bottom"/>
          </w:tcPr>
          <w:p>
            <w:pPr>
              <w:spacing w:after="0"/>
              <w:rPr>
                <w:sz w:val="12"/>
                <w:szCs w:val="12"/>
                <w:color w:val="auto"/>
              </w:rPr>
            </w:pPr>
          </w:p>
        </w:tc>
        <w:tc>
          <w:tcPr>
            <w:tcW w:w="2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March 31, 2025</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43,799,076</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u w:val="single" w:color="auto"/>
                <w:color w:val="auto"/>
                <w:w w:val="98"/>
              </w:rPr>
              <w:t>$</w:t>
            </w:r>
            <w:r>
              <w:rPr>
                <w:rFonts w:ascii="Times New Roman" w:cs="Times New Roman" w:eastAsia="Times New Roman" w:hAnsi="Times New Roman"/>
                <w:sz w:val="13"/>
                <w:szCs w:val="13"/>
                <w:color w:val="auto"/>
                <w:w w:val="98"/>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461</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$ 623,305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u w:val="single" w:color="auto"/>
                <w:color w:val="auto"/>
                <w:w w:val="98"/>
              </w:rPr>
              <w:t>$</w:t>
            </w:r>
            <w:r>
              <w:rPr>
                <w:rFonts w:ascii="Times New Roman" w:cs="Times New Roman" w:eastAsia="Times New Roman" w:hAnsi="Times New Roman"/>
                <w:sz w:val="13"/>
                <w:szCs w:val="13"/>
                <w:color w:val="auto"/>
                <w:w w:val="98"/>
              </w:rPr>
              <w:t>803,202</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(39,045)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(12,909)</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(79,570)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1,412,013</w:t>
            </w: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29,697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29,697</w:t>
            </w:r>
          </w:p>
        </w:tc>
      </w:tr>
      <w:tr>
        <w:trPr>
          <w:trHeight w:val="148"/>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w:t>
            </w: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100,690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r>
      <w:tr>
        <w:trPr>
          <w:trHeight w:val="149"/>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w:t>
            </w:r>
          </w:p>
        </w:tc>
      </w:tr>
      <w:tr>
        <w:trPr>
          <w:trHeight w:val="136"/>
        </w:trPr>
        <w:tc>
          <w:tcPr>
            <w:tcW w:w="20" w:type="dxa"/>
            <w:vAlign w:val="bottom"/>
          </w:tcPr>
          <w:p>
            <w:pPr>
              <w:spacing w:after="0"/>
              <w:rPr>
                <w:sz w:val="11"/>
                <w:szCs w:val="11"/>
                <w:color w:val="auto"/>
              </w:rPr>
            </w:pPr>
          </w:p>
        </w:tc>
        <w:tc>
          <w:tcPr>
            <w:tcW w:w="23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(10,828)</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w:t>
            </w:r>
          </w:p>
        </w:tc>
      </w:tr>
      <w:tr>
        <w:trPr>
          <w:trHeight w:val="136"/>
        </w:trPr>
        <w:tc>
          <w:tcPr>
            <w:tcW w:w="20" w:type="dxa"/>
            <w:vAlign w:val="bottom"/>
          </w:tcPr>
          <w:p>
            <w:pPr>
              <w:spacing w:after="0"/>
              <w:rPr>
                <w:sz w:val="11"/>
                <w:szCs w:val="11"/>
                <w:color w:val="auto"/>
              </w:rPr>
            </w:pPr>
          </w:p>
        </w:tc>
        <w:tc>
          <w:tcPr>
            <w:tcW w:w="23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(1,821)</w:t>
            </w:r>
          </w:p>
        </w:tc>
      </w:tr>
      <w:tr>
        <w:trPr>
          <w:trHeight w:val="136"/>
        </w:trPr>
        <w:tc>
          <w:tcPr>
            <w:tcW w:w="20" w:type="dxa"/>
            <w:vAlign w:val="bottom"/>
          </w:tcPr>
          <w:p>
            <w:pPr>
              <w:spacing w:after="0"/>
              <w:rPr>
                <w:sz w:val="11"/>
                <w:szCs w:val="11"/>
                <w:color w:val="auto"/>
              </w:rPr>
            </w:pPr>
          </w:p>
        </w:tc>
        <w:tc>
          <w:tcPr>
            <w:tcW w:w="23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 net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(10,857)</w:t>
            </w:r>
          </w:p>
        </w:tc>
      </w:tr>
      <w:tr>
        <w:trPr>
          <w:trHeight w:val="142"/>
        </w:trPr>
        <w:tc>
          <w:tcPr>
            <w:tcW w:w="23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June 30, 2025</w:t>
            </w:r>
          </w:p>
        </w:tc>
        <w:tc>
          <w:tcPr>
            <w:tcW w:w="10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43,888,938</w:t>
            </w:r>
          </w:p>
        </w:tc>
        <w:tc>
          <w:tcPr>
            <w:tcW w:w="14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u w:val="single" w:color="auto"/>
                <w:color w:val="auto"/>
                <w:w w:val="98"/>
              </w:rPr>
              <w:t>$</w:t>
            </w:r>
            <w:r>
              <w:rPr>
                <w:rFonts w:ascii="Times New Roman" w:cs="Times New Roman" w:eastAsia="Times New Roman" w:hAnsi="Times New Roman"/>
                <w:sz w:val="13"/>
                <w:szCs w:val="13"/>
                <w:color w:val="auto"/>
                <w:w w:val="98"/>
              </w:rPr>
              <w:t>116,569</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461</w:t>
            </w:r>
          </w:p>
        </w:tc>
        <w:tc>
          <w:tcPr>
            <w:tcW w:w="14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$ 622,660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u w:val="single" w:color="auto"/>
                <w:color w:val="auto"/>
                <w:w w:val="98"/>
              </w:rPr>
              <w:t>$</w:t>
            </w:r>
            <w:r>
              <w:rPr>
                <w:rFonts w:ascii="Times New Roman" w:cs="Times New Roman" w:eastAsia="Times New Roman" w:hAnsi="Times New Roman"/>
                <w:sz w:val="13"/>
                <w:szCs w:val="13"/>
                <w:color w:val="auto"/>
                <w:w w:val="98"/>
              </w:rPr>
              <w:t>820,221</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(37,937)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(13,525)</w:t>
            </w:r>
          </w:p>
        </w:tc>
        <w:tc>
          <w:tcPr>
            <w:tcW w:w="14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(77,443)</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1,431,006</w:t>
            </w:r>
          </w:p>
        </w:tc>
      </w:tr>
      <w:tr>
        <w:trPr>
          <w:trHeight w:val="142"/>
        </w:trPr>
        <w:tc>
          <w:tcPr>
            <w:tcW w:w="20" w:type="dxa"/>
            <w:vAlign w:val="bottom"/>
          </w:tcPr>
          <w:p>
            <w:pPr>
              <w:spacing w:after="0"/>
              <w:rPr>
                <w:sz w:val="12"/>
                <w:szCs w:val="12"/>
                <w:color w:val="auto"/>
              </w:rPr>
            </w:pPr>
          </w:p>
        </w:tc>
        <w:tc>
          <w:tcPr>
            <w:tcW w:w="2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27,671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27,671</w:t>
            </w: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4,341</w:t>
            </w:r>
          </w:p>
        </w:tc>
      </w:tr>
      <w:tr>
        <w:trPr>
          <w:trHeight w:val="148"/>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2,063</w:t>
            </w:r>
          </w:p>
        </w:tc>
      </w:tr>
      <w:tr>
        <w:trPr>
          <w:trHeight w:val="136"/>
        </w:trPr>
        <w:tc>
          <w:tcPr>
            <w:tcW w:w="20" w:type="dxa"/>
            <w:vAlign w:val="bottom"/>
          </w:tcPr>
          <w:p>
            <w:pPr>
              <w:spacing w:after="0"/>
              <w:rPr>
                <w:sz w:val="11"/>
                <w:szCs w:val="11"/>
                <w:color w:val="auto"/>
              </w:rPr>
            </w:pPr>
          </w:p>
        </w:tc>
        <w:tc>
          <w:tcPr>
            <w:tcW w:w="23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36"/>
        </w:trPr>
        <w:tc>
          <w:tcPr>
            <w:tcW w:w="20" w:type="dxa"/>
            <w:vAlign w:val="bottom"/>
          </w:tcPr>
          <w:p>
            <w:pPr>
              <w:spacing w:after="0"/>
              <w:rPr>
                <w:sz w:val="11"/>
                <w:szCs w:val="11"/>
                <w:color w:val="auto"/>
              </w:rPr>
            </w:pPr>
          </w:p>
        </w:tc>
        <w:tc>
          <w:tcPr>
            <w:tcW w:w="23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r>
      <w:tr>
        <w:trPr>
          <w:trHeight w:val="136"/>
        </w:trPr>
        <w:tc>
          <w:tcPr>
            <w:tcW w:w="20" w:type="dxa"/>
            <w:vAlign w:val="bottom"/>
          </w:tcPr>
          <w:p>
            <w:pPr>
              <w:spacing w:after="0"/>
              <w:rPr>
                <w:sz w:val="11"/>
                <w:szCs w:val="11"/>
                <w:color w:val="auto"/>
              </w:rPr>
            </w:pPr>
          </w:p>
        </w:tc>
        <w:tc>
          <w:tcPr>
            <w:tcW w:w="23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(10,987)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(10,987)</w:t>
            </w:r>
          </w:p>
        </w:tc>
      </w:tr>
      <w:tr>
        <w:trPr>
          <w:trHeight w:val="142"/>
        </w:trPr>
        <w:tc>
          <w:tcPr>
            <w:tcW w:w="20" w:type="dxa"/>
            <w:vAlign w:val="bottom"/>
          </w:tcPr>
          <w:p>
            <w:pPr>
              <w:spacing w:after="0"/>
              <w:rPr>
                <w:sz w:val="12"/>
                <w:szCs w:val="12"/>
                <w:color w:val="auto"/>
              </w:rPr>
            </w:pPr>
          </w:p>
        </w:tc>
        <w:tc>
          <w:tcPr>
            <w:tcW w:w="23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September 30, 2025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43,888,927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u w:val="single" w:color="auto"/>
                <w:color w:val="auto"/>
                <w:w w:val="98"/>
              </w:rPr>
              <w:t>$</w:t>
            </w:r>
            <w:r>
              <w:rPr>
                <w:rFonts w:ascii="Times New Roman" w:cs="Times New Roman" w:eastAsia="Times New Roman" w:hAnsi="Times New Roman"/>
                <w:sz w:val="13"/>
                <w:szCs w:val="13"/>
                <w:color w:val="auto"/>
                <w:w w:val="98"/>
              </w:rPr>
              <w:t>116,569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461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$ 622,657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u w:val="single" w:color="auto"/>
                <w:color w:val="auto"/>
                <w:w w:val="98"/>
              </w:rPr>
              <w:t>$</w:t>
            </w:r>
            <w:r>
              <w:rPr>
                <w:rFonts w:ascii="Times New Roman" w:cs="Times New Roman" w:eastAsia="Times New Roman" w:hAnsi="Times New Roman"/>
                <w:sz w:val="13"/>
                <w:szCs w:val="13"/>
                <w:color w:val="auto"/>
                <w:w w:val="98"/>
              </w:rPr>
              <w:t>835,083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(33,596)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(11,332)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(77,500)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1,452,342</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40" w:right="59"/>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DIME COMMERCIAL BANCSHARES, INC. AND SUBSIDIARIES CONSOLIDATED STATEMENTS OF CASH FLOWS (UNAUDITED) </w:t>
      </w:r>
      <w:r>
        <w:rPr>
          <w:rFonts w:ascii="Times New Roman" w:cs="Times New Roman" w:eastAsia="Times New Roman" w:hAnsi="Times New Roman"/>
          <w:sz w:val="18"/>
          <w:szCs w:val="18"/>
          <w:color w:val="auto"/>
        </w:rPr>
        <w:t>(Dollars in thousands)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vMerge w:val="restart"/>
          </w:tcPr>
          <w:p>
            <w:pPr>
              <w:ind w:left="6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4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44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4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110,956</w:t>
            </w:r>
          </w:p>
        </w:tc>
        <w:tc>
          <w:tcPr>
            <w:tcW w:w="20" w:type="dxa"/>
            <w:vAlign w:val="bottom"/>
          </w:tcPr>
          <w:p>
            <w:pPr>
              <w:spacing w:after="0"/>
              <w:rPr>
                <w:sz w:val="12"/>
                <w:szCs w:val="12"/>
                <w:color w:val="auto"/>
              </w:rPr>
            </w:pPr>
          </w:p>
        </w:tc>
        <w:tc>
          <w:tcPr>
            <w:tcW w:w="44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78,826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income to net cash provided by operating activities:</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on securities available-for-sale</w:t>
            </w:r>
          </w:p>
        </w:tc>
        <w:tc>
          <w:tcPr>
            <w:tcW w:w="10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on sale of loans and other assets</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1,563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change in equity securities and loans held for sale</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on sale of loans held for sale</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(394)</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depreciation, amortization and accretion</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3,161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(accretion) of fair value hedge basis point adjustments</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other intangible assets</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gain on extinguishment of debt for FHLB advances and subordinated debt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(972)</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6,602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40,000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Originations of loans held for sale</w:t>
            </w:r>
          </w:p>
        </w:tc>
        <w:tc>
          <w:tcPr>
            <w:tcW w:w="10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(12,740)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sale of loans originated for sale</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17,196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cash surrender value of BOLI</w:t>
            </w:r>
          </w:p>
        </w:tc>
        <w:tc>
          <w:tcPr>
            <w:tcW w:w="10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(13,653)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from death benefits from BOLI</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 other assets</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5,206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95,858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(decrease) in other liabilities</w:t>
            </w: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54,410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(69,877)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211,944</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140,577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sales of securities available-for-sale</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4,000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securities available-for-sale</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(249,116)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securities held-to-maturity</w:t>
            </w:r>
          </w:p>
        </w:tc>
        <w:tc>
          <w:tcPr>
            <w:tcW w:w="10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(108,156)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calls and principal repayments of securities available-for-sale</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113,361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calls and principal repayments of securities held-to-maturity</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27,765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BOLI</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(97,317)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received from cash surrender value of BOLI</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2,173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purchased</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(16,705)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the sale of portfolio loans transferred to held for sale</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47,737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decrease in loans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(228,097)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fixed assets, net</w:t>
            </w:r>
          </w:p>
        </w:tc>
        <w:tc>
          <w:tcPr>
            <w:tcW w:w="10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(3,773)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the sale of fixed assets and premises held for sale</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2,665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Sales of restricted stock, net</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8,151</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(409,995)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104,949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4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deposits</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297,176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375,472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of FHLBNY advances, short-term, net</w:t>
            </w:r>
          </w:p>
        </w:tc>
        <w:tc>
          <w:tcPr>
            <w:tcW w:w="10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(125,000)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of FHLBNY advances, long-term</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(48,000)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of other short-term borrowings, net</w:t>
            </w:r>
          </w:p>
        </w:tc>
        <w:tc>
          <w:tcPr>
            <w:tcW w:w="10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Redemption of subordinated debentures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(40,000)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Release of stock for benefit plan awards</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Payments related to tax withholding for equity awards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(5,825)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10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(12,230)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paid to preferred stockholders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(5,465)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paid to common stockholders</w:t>
            </w:r>
          </w:p>
        </w:tc>
        <w:tc>
          <w:tcPr>
            <w:tcW w:w="10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(32,346)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28,885</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185,947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(Decrease) increase in cash and cash equivalents</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(169,166)</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431,473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2,353,966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1,283,571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2,184,800</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1,715,044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4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4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2"/>
                <w:szCs w:val="12"/>
                <w:color w:val="auto"/>
              </w:rPr>
            </w:pPr>
          </w:p>
        </w:tc>
        <w:tc>
          <w:tcPr>
            <w:tcW w:w="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36,460</w:t>
            </w:r>
          </w:p>
        </w:tc>
        <w:tc>
          <w:tcPr>
            <w:tcW w:w="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185,323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210,149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transferred to held for sale</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55,204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transferred to held for investment</w:t>
            </w:r>
          </w:p>
        </w:tc>
        <w:tc>
          <w:tcPr>
            <w:tcW w:w="10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assets in exchange for operating lease liabilities</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11,894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Dime Commercial Bancshares, Inc. (the “Company”), formerly known as Dime Community Bancshares, Inc., is engaged in commercial banking and financial services through its wholly-owned subsidiary, Dime Commercial Bank (“the Bank”), formerly known as Dime Community Bank. The name change became effective during the quarter ended June 30, 2026.</w:t>
      </w:r>
    </w:p>
    <w:p>
      <w:pPr>
        <w:spacing w:after="0" w:line="13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Bank was established in 1910 and is headquartered in Hauppauge, New York. The Company was incorporated under the laws of the State of New York in 1988 to serve as the holding company for the Bank. The Company functions primarily as the holder of all of the Bank’s common stock. Our bank operations also include Dime Abstract LLC (“Dime Abstract”), a wholly-owned subsidiary of the Bank, which is a broker of title insurance services. As of September 30, 2026, we operated 62 branch locations throughout Long Island and the New York City boroughs of Brooklyn, Queens, Manhattan, Staten Island, and the Bronx, Westchester County and New Jersey.</w:t>
      </w:r>
    </w:p>
    <w:p>
      <w:pPr>
        <w:spacing w:after="0" w:line="14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unaudited Consolidated Financial Statements presented in this Quarterly Report on Form 10-Q include the collective results of the Company and its wholly-owned subsidiary, the Bank, which are collectively herein referred to as “we”, “us”, “our” and the “Company.”</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(“GAAP”) for interim financial information and with the instructions to Form 10-Q and Article 10 of Regulation S-X. The unaudited Consolidated Financial Statements included herein reflect all normal recurring adjustments that are, in the opinion of management, necessary for a fair presentation of the results for the interim periods presented. In preparing the interim financial statements, management has made estimates and assumptions that affect the reported amounts of assets and liabilities and disclosure of contingent assets and liabilities at the date of the financial statements and the reported amounts of revenue and expense during the reported periods. Such estimates are subject to change in the future as additional information becomes available or previously existing circumstances are modified. Actual future results could differ significantly from those estimates. The annualized results of operations for the three and nine months ended September 30, 2026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Certain reclassifications have been made to prior year amounts, and the related discussion and analysis, to conform to the current year presentation. These reclassifications did not have an impact on net income or total stockholders' equity. The unaudited Consolidated Financial Statements should be read in conjunction with the audited Consolidated Financial Statements and notes thereto included in the Company’s Annual Report on Form 10-K for the year ended December 31, 2025.</w:t>
      </w:r>
    </w:p>
    <w:p>
      <w:pPr>
        <w:spacing w:after="0" w:line="203" w:lineRule="exact"/>
        <w:rPr>
          <w:sz w:val="20"/>
          <w:szCs w:val="20"/>
          <w:color w:val="auto"/>
        </w:rPr>
      </w:pPr>
    </w:p>
    <w:p>
      <w:pPr>
        <w:ind w:left="60" w:right="5339" w:hanging="10"/>
        <w:spacing w:after="0" w:line="532" w:lineRule="auto"/>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ACCOUNTING POLICIES Summary of Significant Accounting Policies</w:t>
      </w:r>
    </w:p>
    <w:p>
      <w:pPr>
        <w:spacing w:after="0" w:line="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necessary for a fair presentation of the Company’s financial condition as of September 30, 2026 and December 31, 2025, the results of operations and comprehensive income for three and nine months ended September 30, 2026 and 2025, the changes in stockholders’ equity for the three and nine months ended September 30, 2026 and 2025, and cash flows for the nine months ended September 30, 2026 and 2025.</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Please see “Part I - Item 2. Management’s Discussion and Analysis of Financial Condition and Results of Operations - Critical Accounting Policies” for a discussion of areas in the accompanying unaudited condensed Consolidated Financial Statements utilizing significant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Adoption of Recent Accounting Standards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accounting standards adopted during the nine months ended September 30, 2026 that had a material impact on the Company’s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Relevant Accounting Standards Issued That Have Not Yet Been Adopted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Update (“ASU”) No. 2025-08, Financial Instruments—Credit Losses (Topic 326): Purchased Loans</w:t>
      </w:r>
    </w:p>
    <w:p>
      <w:pPr>
        <w:spacing w:after="0" w:line="227" w:lineRule="exact"/>
        <w:rPr>
          <w:sz w:val="20"/>
          <w:szCs w:val="20"/>
          <w:color w:val="auto"/>
        </w:rPr>
      </w:pPr>
    </w:p>
    <w:p>
      <w:pPr>
        <w:jc w:val="both"/>
        <w:ind w:left="60" w:right="59"/>
        <w:spacing w:after="0" w:line="219" w:lineRule="exact"/>
        <w:rPr>
          <w:sz w:val="20"/>
          <w:szCs w:val="20"/>
          <w:color w:val="auto"/>
        </w:rPr>
      </w:pPr>
      <w:r>
        <w:rPr>
          <w:rFonts w:ascii="Times New Roman" w:cs="Times New Roman" w:eastAsia="Times New Roman" w:hAnsi="Times New Roman"/>
          <w:sz w:val="18"/>
          <w:szCs w:val="18"/>
          <w:color w:val="auto"/>
        </w:rPr>
        <w:t>In November 2025, the Financial Accounting Standards Board issued ASU 2025-08, Financial Instruments—Credit Losses (Topic 326): Purchased Loans, which expands the application of the gross-up approach to acquired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PCD loans that meet certain criteria, now referred to as purchased seasoned loans (“PSLs”). PSLs are defined as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PCD loans acquired either through a business combination or purchased more than 90 days after origination when the acquirer was not involved in origination of the loans. Under the new guidance, an allowance for expected credit losses is established at acquisition through an adjustment to the amortized cost basis of the acquired loans rather than through the recognition of a provision for credit losses.</w:t>
      </w:r>
    </w:p>
    <w:p>
      <w:pPr>
        <w:spacing w:after="0" w:line="20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standard is effective for the Company on a prospective basis to loans that are acquired on or after the adoption date, for annual reporting periods beginning after December 15, 2026, and interim periods within those annual reporting periods. Early adoption is permitted. The Company is currently evaluating the impact of adopting this new guidance.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ASU No. 2025-09—Derivatives and Hedging (Topic 815): Hedge Accounting Improvements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November 2025, the Financial Accounting Standards Board issued ASU 2025-09, Derivatives and Hedging (Topic 815): Hedge Accounting Improvements, which provides targeted improvements to hedge accounting guidance, including amendments related to cash flow hedges, hedging of forecasted interest payments, nonfinancial forecasted transactions, certain compound derivatives, and dual-hedge strategies.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standard is effective for the Company for fiscal years beginning after December 15, 2026, and interim periods within those fiscal years. Early adoption is permitted. The Company is currently evaluating the impact that adoption of this standard will have on its consolidated financial statements and related disclosures.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ACCUMULATED OTHER COMPREHENSIVE INCOME (LOSS)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Activity in accumulated other comprehensive income (loss), net of tax, was as follows: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Defined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2"/>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Plans</w:t>
            </w: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 Income (Loss)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2026</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(25,232)</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(4,398)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(22,348)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216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(loss) income during the period</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(20,916)</w:t>
            </w:r>
          </w:p>
        </w:tc>
        <w:tc>
          <w:tcPr>
            <w:tcW w:w="16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534</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5,536</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2026</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(46,148)</w:t>
            </w:r>
          </w:p>
        </w:tc>
        <w:tc>
          <w:tcPr>
            <w:tcW w:w="1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(3,864)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3,698</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(46,314)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(43,767)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(7,499)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13,813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3,510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 during the period</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15,241</w:t>
            </w:r>
          </w:p>
        </w:tc>
        <w:tc>
          <w:tcPr>
            <w:tcW w:w="16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(7,445)</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(28,526)</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(3,873)</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before-tax and after-tax amounts allocated to each component of other comprehensive income (loss) are presented in the table below for the periods indicated.</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bottom w:val="single" w:sz="8" w:color="auto"/>
            </w:tcBorders>
            <w:gridSpan w:val="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920" w:type="dxa"/>
            <w:vAlign w:val="bottom"/>
            <w:gridSpan w:val="3"/>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2026</w:t>
            </w:r>
          </w:p>
        </w:tc>
        <w:tc>
          <w:tcPr>
            <w:tcW w:w="24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7"/>
                <w:szCs w:val="17"/>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unrealized gain (loss) on securities:</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net unrealized (loss) gain during the period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(25,973)</w:t>
            </w:r>
          </w:p>
        </w:tc>
        <w:tc>
          <w:tcPr>
            <w:tcW w:w="40" w:type="dxa"/>
            <w:vAlign w:val="bottom"/>
          </w:tcPr>
          <w:p>
            <w:pPr>
              <w:spacing w:after="0"/>
              <w:rPr>
                <w:sz w:val="17"/>
                <w:szCs w:val="17"/>
                <w:color w:val="auto"/>
              </w:rPr>
            </w:pP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6,563</w:t>
            </w: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(32,350)</w:t>
            </w:r>
          </w:p>
        </w:tc>
        <w:tc>
          <w:tcPr>
            <w:tcW w:w="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net gain realized in net income on securities and</w:t>
            </w:r>
          </w:p>
        </w:tc>
        <w:tc>
          <w:tcPr>
            <w:tcW w:w="18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Accretion of net unrealized loss on securities transferred to held-to-maturity</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691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Credit loss expense</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change</w:t>
            </w:r>
          </w:p>
        </w:tc>
        <w:tc>
          <w:tcPr>
            <w:tcW w:w="18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(25,282)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(30,277)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(benefit) expense</w:t>
            </w:r>
          </w:p>
        </w:tc>
        <w:tc>
          <w:tcPr>
            <w:tcW w:w="1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(7,816)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(9,361)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420" w:type="dxa"/>
            <w:vAlign w:val="bottom"/>
          </w:tcPr>
          <w:p>
            <w:pPr>
              <w:ind w:left="220"/>
              <w:spacing w:after="0" w:line="169" w:lineRule="exact"/>
              <w:rPr>
                <w:sz w:val="20"/>
                <w:szCs w:val="20"/>
                <w:color w:val="auto"/>
              </w:rPr>
            </w:pPr>
            <w:r>
              <w:rPr>
                <w:rFonts w:ascii="Times New Roman" w:cs="Times New Roman" w:eastAsia="Times New Roman" w:hAnsi="Times New Roman"/>
                <w:sz w:val="16"/>
                <w:szCs w:val="16"/>
                <w:color w:val="auto"/>
              </w:rPr>
              <w:t>Net change in unrealized (loss) gain on securities, net of reclassification</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(17,466)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(20,916)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and tax</w:t>
            </w:r>
          </w:p>
        </w:tc>
        <w:tc>
          <w:tcPr>
            <w:tcW w:w="8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pension and other postretirement obligations: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benefit included in other expense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 in the net actuarial gain</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change</w:t>
            </w:r>
          </w:p>
        </w:tc>
        <w:tc>
          <w:tcPr>
            <w:tcW w:w="18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expense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change in pension and other postretirement obligations</w:t>
            </w:r>
          </w:p>
        </w:tc>
        <w:tc>
          <w:tcPr>
            <w:tcW w:w="18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unrealized gain (loss) on derivatives:</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net unrealized gain (loss) during the period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3,611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6,274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expense/income included in interest expense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change</w:t>
            </w:r>
          </w:p>
        </w:tc>
        <w:tc>
          <w:tcPr>
            <w:tcW w:w="18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3,687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8,014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expense (benefit)</w:t>
            </w:r>
          </w:p>
        </w:tc>
        <w:tc>
          <w:tcPr>
            <w:tcW w:w="1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420" w:type="dxa"/>
            <w:vAlign w:val="bottom"/>
          </w:tcPr>
          <w:p>
            <w:pPr>
              <w:ind w:left="220"/>
              <w:spacing w:after="0" w:line="169" w:lineRule="exact"/>
              <w:rPr>
                <w:sz w:val="20"/>
                <w:szCs w:val="20"/>
                <w:color w:val="auto"/>
              </w:rPr>
            </w:pPr>
            <w:r>
              <w:rPr>
                <w:rFonts w:ascii="Times New Roman" w:cs="Times New Roman" w:eastAsia="Times New Roman" w:hAnsi="Times New Roman"/>
                <w:sz w:val="16"/>
                <w:szCs w:val="16"/>
                <w:color w:val="auto"/>
              </w:rPr>
              <w:t>Net change in unrealized gain (loss) on derivatives, net of reclassification</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2,547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5,536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and tax</w:t>
            </w:r>
          </w:p>
        </w:tc>
        <w:tc>
          <w:tcPr>
            <w:tcW w:w="8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(14,741)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(14,846)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EARNINGS PER COMMON SHARE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available to common stockholders by the weighted-average common shares outstanding during the reporting period. Diluted EPS is computed using the same method as basic EPS, but reflects the potential dilution that would occur if “in the money” stock options were exercised and converted into common stock. In determining the weighted-average shares outstanding for basic and diluted EPS, treasury shares are excluded. Vested restricted stock award (“RSA”) shares are included in the calculation of the weighted-average shares outstanding for basic and diluted EPS. Unvested RSA and performance-based share awards (“PSA”) shares not yet awarded are recognized as a special class of participating securities under ASC 260 and are included in the calculation of the weighted-average shares outstanding for basic and diluted EPS. Basic and diluted EPS on common stock and the basic and diluted EPS on participating securities are the same.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the numerators and denominators of basic and diluted EPS for the periods presented: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5"/>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7"/>
                <w:szCs w:val="17"/>
                <w:color w:val="auto"/>
              </w:rPr>
            </w:pP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39,738</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105,491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Dividends paid and earnings allocated to participating securities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(801)</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(2,081)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38,937</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103,410</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5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Weighted-average common shares outstanding, including participating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44,016,949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44,018,275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43,888,983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43,795,578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weighted-average participating securities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(879,520)</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(836,085)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(863,116)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43,137,429</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43,052,898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43,155,159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43,010,919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EPS</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0.90</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77"/>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38,937</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103,410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43,137,429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43,052,898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43,155,159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43,010,919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common equivalent shares outstanding</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and equivalent shares outstanding</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43,137,429</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43,052,898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43,155,159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43,010,919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EPS</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0.90</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Common and equivalent shares resulting from the dilutive effect of outstanding stock options are calculated using the treasury stock method based on the average market price of the Company's common stock during the period.</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All outstanding stock options were exercised during the three months ended June 30, 2026. As a result, no stock options remained outstanding as of September 30, 2026.</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approximately 15,722 weighted-average stock options, were excluded from the calculation of diluted earnings per share because their effect would have been anti-dilutive.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26,995 weighted-average stock options were excluded from the calculation of diluted earnings per share because their exercise prices exceeded the average market price of the Company’s common stock for the period.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PREFERRED STOCK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Dime Commercial Bancshares, Inc. has 5,299,200 shares currently outstanding, or $132.5 million in aggregate liquidation preference, of its 5.50% Fixed-Rate Non-Cumulative Perpetual Preferred Stock, Series A, par value $0.01 per share, with a liquidation preference of $25.00 per share (the “Preferred Stock”).</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expects to pay dividends when, as, and if declared by its board of directors, at a fixed rate of 5.50% per annum, payable quarterly, in arrears, on February 15, May 15, August 15 and November 15 of each year. The Preferred Stock is perpetual and has no stated maturity. The Company may redeem the Preferred Stock at its option at a redemption price equal to $25.00 per share, plus any declared and unpaid dividends (without regard to any undeclared dividends), subject to regulatory approval, on or after June 15, 2026, or within 90 days following a regulatory capital treatment event, as described in the prospectus supplement and accompanying prospectus relating to the offering.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major categories of securities as of the dates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continue"/>
          </w:tcPr>
          <w:p>
            <w:pPr>
              <w:spacing w:after="0"/>
              <w:rPr>
                <w:sz w:val="12"/>
                <w:szCs w:val="12"/>
                <w:color w:val="auto"/>
              </w:rPr>
            </w:pP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gridSpan w:val="2"/>
            <w:vMerge w:val="continue"/>
          </w:tcPr>
          <w:p>
            <w:pPr>
              <w:spacing w:after="0"/>
              <w:rPr>
                <w:sz w:val="15"/>
                <w:szCs w:val="15"/>
                <w:color w:val="auto"/>
              </w:rPr>
            </w:pPr>
          </w:p>
        </w:tc>
        <w:tc>
          <w:tcPr>
            <w:tcW w:w="84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gridSpan w:val="2"/>
            <w:vMerge w:val="continue"/>
          </w:tcPr>
          <w:p>
            <w:pPr>
              <w:spacing w:after="0"/>
              <w:rPr>
                <w:sz w:val="15"/>
                <w:szCs w:val="15"/>
                <w:color w:val="auto"/>
              </w:rPr>
            </w:pPr>
          </w:p>
        </w:tc>
        <w:tc>
          <w:tcPr>
            <w:tcW w:w="8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6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available-for-sale:</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10,000</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w:t>
            </w:r>
          </w:p>
        </w:tc>
        <w:tc>
          <w:tcPr>
            <w:tcW w:w="3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197,894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(7,011)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191,321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Pass-through mortgage-backed securities ("MBS") issued by U.S. government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518,031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(17,790)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500,286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sponsored entities ("U.S. GSEs")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collateralized mortgage obligations ("CMOs")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209,640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(26,611)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183,033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 and municipal obligations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13,788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(1,132)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12,656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Borders>
              <w:top w:val="single" w:sz="8" w:color="CCEEFF"/>
              <w:bottom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available-for-sale</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949,353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(52,564)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897,276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3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gridSpan w:val="2"/>
            <w:vMerge w:val="continue"/>
          </w:tcPr>
          <w:p>
            <w:pPr>
              <w:spacing w:after="0"/>
              <w:rPr>
                <w:sz w:val="15"/>
                <w:szCs w:val="15"/>
                <w:color w:val="auto"/>
              </w:rPr>
            </w:pPr>
          </w:p>
        </w:tc>
        <w:tc>
          <w:tcPr>
            <w:tcW w:w="7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6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held-to-maturity:</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90,723</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(8,922)</w:t>
            </w:r>
          </w:p>
        </w:tc>
        <w:tc>
          <w:tcPr>
            <w:tcW w:w="3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81,801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22,422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U.S. GSEs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336,035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(46,867)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289,168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CMOs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251,843</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(33,998)</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217,849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held-to-maturity</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701,601</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(90,480)</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611,240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continue"/>
          </w:tcPr>
          <w:p>
            <w:pPr>
              <w:spacing w:after="0"/>
              <w:rPr>
                <w:sz w:val="12"/>
                <w:szCs w:val="12"/>
                <w:color w:val="auto"/>
              </w:rPr>
            </w:pP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gridSpan w:val="2"/>
            <w:vMerge w:val="continue"/>
          </w:tcPr>
          <w:p>
            <w:pPr>
              <w:spacing w:after="0"/>
              <w:rPr>
                <w:sz w:val="15"/>
                <w:szCs w:val="15"/>
                <w:color w:val="auto"/>
              </w:rPr>
            </w:pPr>
          </w:p>
        </w:tc>
        <w:tc>
          <w:tcPr>
            <w:tcW w:w="84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gridSpan w:val="2"/>
            <w:vMerge w:val="continue"/>
          </w:tcPr>
          <w:p>
            <w:pPr>
              <w:spacing w:after="0"/>
              <w:rPr>
                <w:sz w:val="15"/>
                <w:szCs w:val="15"/>
                <w:color w:val="auto"/>
              </w:rPr>
            </w:pPr>
          </w:p>
        </w:tc>
        <w:tc>
          <w:tcPr>
            <w:tcW w:w="8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gridSpan w:val="2"/>
            <w:vMerge w:val="continue"/>
          </w:tcPr>
          <w:p>
            <w:pPr>
              <w:spacing w:after="0"/>
              <w:rPr>
                <w:sz w:val="15"/>
                <w:szCs w:val="15"/>
                <w:color w:val="auto"/>
              </w:rPr>
            </w:pPr>
          </w:p>
        </w:tc>
        <w:tc>
          <w:tcPr>
            <w:tcW w:w="7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6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available-for-sale:</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3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169,051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166,459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U.S. GSEs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387,549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391,733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CMOs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231,309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(21,280)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210,933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 and municipal obligations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19,753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available-for-sale</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817,662</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7,130</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(26,857)</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797,935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3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gridSpan w:val="2"/>
            <w:vMerge w:val="continue"/>
          </w:tcPr>
          <w:p>
            <w:pPr>
              <w:spacing w:after="0"/>
              <w:rPr>
                <w:sz w:val="15"/>
                <w:szCs w:val="15"/>
                <w:color w:val="auto"/>
              </w:rPr>
            </w:pPr>
          </w:p>
        </w:tc>
        <w:tc>
          <w:tcPr>
            <w:tcW w:w="7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6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held-to-maturity:</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90,400</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(6,287)</w:t>
            </w:r>
          </w:p>
        </w:tc>
        <w:tc>
          <w:tcPr>
            <w:tcW w:w="3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84,113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U.S. GSEs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280,102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(31,101)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249,457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CMOs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231,399</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(22,321)</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209,460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held-to-maturity</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618,901</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(59,947)</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560,082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transfers to or from securities held-to-maturity during the three or nine months ended September 30, 2026 and 2025, respectively.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carrying value of securities pledged at September 30, 2026 and December 31, 2025 was $885.6 million and $766.2 million,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September 30, 2026 and December 31, 2025, there were no holdings of securities of any one issuer, other than the 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Government and its agencies, in an amount greater than 10% of stockholders' equity.</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fair value of securities by contractual maturity. Expected maturities may differ from contractual maturities if borrowers have the right to call or prepay obligations with or without call or prepayment penalties. Securities not due at a single maturity date are shown separately.</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117"/>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0"/>
                <w:szCs w:val="10"/>
                <w:color w:val="auto"/>
              </w:rPr>
            </w:pPr>
          </w:p>
        </w:tc>
        <w:tc>
          <w:tcPr>
            <w:tcW w:w="12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Pr>
          <w:p>
            <w:pPr>
              <w:spacing w:after="0"/>
              <w:rPr>
                <w:sz w:val="10"/>
                <w:szCs w:val="10"/>
                <w:color w:val="auto"/>
              </w:rPr>
            </w:pPr>
          </w:p>
        </w:tc>
        <w:tc>
          <w:tcPr>
            <w:tcW w:w="960" w:type="dxa"/>
            <w:vAlign w:val="bottom"/>
          </w:tcPr>
          <w:p>
            <w:pPr>
              <w:jc w:val="right"/>
              <w:ind w:right="38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73"/>
        </w:trPr>
        <w:tc>
          <w:tcPr>
            <w:tcW w:w="6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60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Within one year</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11,947</w:t>
            </w:r>
          </w:p>
        </w:tc>
        <w:tc>
          <w:tcPr>
            <w:tcW w:w="220" w:type="dxa"/>
            <w:vAlign w:val="bottom"/>
          </w:tcPr>
          <w:p>
            <w:pPr>
              <w:spacing w:after="0"/>
              <w:rPr>
                <w:sz w:val="12"/>
                <w:szCs w:val="12"/>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11,916</w:t>
            </w:r>
          </w:p>
        </w:tc>
        <w:tc>
          <w:tcPr>
            <w:tcW w:w="0" w:type="dxa"/>
            <w:vAlign w:val="bottom"/>
          </w:tcPr>
          <w:p>
            <w:pPr>
              <w:spacing w:after="0"/>
              <w:rPr>
                <w:sz w:val="1"/>
                <w:szCs w:val="1"/>
                <w:color w:val="auto"/>
              </w:rPr>
            </w:pPr>
          </w:p>
        </w:tc>
      </w:tr>
      <w:tr>
        <w:trPr>
          <w:trHeight w:val="148"/>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 to five years</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41,874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39,096</w:t>
            </w:r>
          </w:p>
        </w:tc>
        <w:tc>
          <w:tcPr>
            <w:tcW w:w="0" w:type="dxa"/>
            <w:vAlign w:val="bottom"/>
          </w:tcPr>
          <w:p>
            <w:pPr>
              <w:spacing w:after="0"/>
              <w:rPr>
                <w:sz w:val="1"/>
                <w:szCs w:val="1"/>
                <w:color w:val="auto"/>
              </w:rPr>
            </w:pPr>
          </w:p>
        </w:tc>
      </w:tr>
      <w:tr>
        <w:trPr>
          <w:trHeight w:val="149"/>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Five to ten years</w:t>
            </w: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157,861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152,944</w:t>
            </w:r>
          </w:p>
        </w:tc>
        <w:tc>
          <w:tcPr>
            <w:tcW w:w="0" w:type="dxa"/>
            <w:vAlign w:val="bottom"/>
          </w:tcPr>
          <w:p>
            <w:pPr>
              <w:spacing w:after="0"/>
              <w:rPr>
                <w:sz w:val="1"/>
                <w:szCs w:val="1"/>
                <w:color w:val="auto"/>
              </w:rPr>
            </w:pPr>
          </w:p>
        </w:tc>
      </w:tr>
      <w:tr>
        <w:trPr>
          <w:trHeight w:val="148"/>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Beyond ten years</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10,001</w:t>
            </w:r>
          </w:p>
        </w:tc>
        <w:tc>
          <w:tcPr>
            <w:tcW w:w="0" w:type="dxa"/>
            <w:vAlign w:val="bottom"/>
          </w:tcPr>
          <w:p>
            <w:pPr>
              <w:spacing w:after="0"/>
              <w:rPr>
                <w:sz w:val="1"/>
                <w:szCs w:val="1"/>
                <w:color w:val="auto"/>
              </w:rPr>
            </w:pPr>
          </w:p>
        </w:tc>
      </w:tr>
      <w:tr>
        <w:trPr>
          <w:trHeight w:val="149"/>
        </w:trPr>
        <w:tc>
          <w:tcPr>
            <w:tcW w:w="628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U.S. GSEs and agency CMOs</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727,671</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683,319</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949,353</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897,276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Held-to-maturity</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Within one year</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tcPr>
          <w:p>
            <w:pPr>
              <w:spacing w:after="0"/>
              <w:rPr>
                <w:sz w:val="12"/>
                <w:szCs w:val="12"/>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9,915</w:t>
            </w:r>
          </w:p>
        </w:tc>
        <w:tc>
          <w:tcPr>
            <w:tcW w:w="0" w:type="dxa"/>
            <w:vAlign w:val="bottom"/>
          </w:tcPr>
          <w:p>
            <w:pPr>
              <w:spacing w:after="0"/>
              <w:rPr>
                <w:sz w:val="1"/>
                <w:szCs w:val="1"/>
                <w:color w:val="auto"/>
              </w:rPr>
            </w:pPr>
          </w:p>
        </w:tc>
      </w:tr>
      <w:tr>
        <w:trPr>
          <w:trHeight w:val="148"/>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 to five years</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80,723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71,886</w:t>
            </w:r>
          </w:p>
        </w:tc>
        <w:tc>
          <w:tcPr>
            <w:tcW w:w="0" w:type="dxa"/>
            <w:vAlign w:val="bottom"/>
          </w:tcPr>
          <w:p>
            <w:pPr>
              <w:spacing w:after="0"/>
              <w:rPr>
                <w:sz w:val="1"/>
                <w:szCs w:val="1"/>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Five to ten years</w:t>
            </w: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22,422</w:t>
            </w: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Beyond ten years</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U.S. GSEs and agency CMOs</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587,878</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507,017</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701,601</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611,240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information related to sales of securities available-for-sale as of the periods indicated:</w:t>
      </w:r>
    </w:p>
    <w:p>
      <w:pPr>
        <w:spacing w:after="0" w:line="241"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6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2025</w:t>
            </w:r>
          </w:p>
        </w:tc>
      </w:tr>
      <w:tr>
        <w:trPr>
          <w:trHeight w:val="196"/>
        </w:trPr>
        <w:tc>
          <w:tcPr>
            <w:tcW w:w="20" w:type="dxa"/>
            <w:vAlign w:val="bottom"/>
          </w:tcPr>
          <w:p>
            <w:pPr>
              <w:spacing w:after="0"/>
              <w:rPr>
                <w:sz w:val="17"/>
                <w:szCs w:val="17"/>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$ 14,005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4,000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$ 38,842</w:t>
            </w: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gains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1,073</w:t>
            </w:r>
          </w:p>
        </w:tc>
      </w:tr>
      <w:tr>
        <w:trPr>
          <w:trHeight w:val="203"/>
        </w:trPr>
        <w:tc>
          <w:tcPr>
            <w:tcW w:w="2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expense on gains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318</w:t>
            </w: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losses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996</w:t>
            </w:r>
          </w:p>
        </w:tc>
      </w:tr>
      <w:tr>
        <w:trPr>
          <w:trHeight w:val="212"/>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benefit on losses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295</w:t>
            </w:r>
          </w:p>
        </w:tc>
      </w:tr>
    </w:tbl>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sales of securities held-to-maturity during the three or nine months ended September 30, 2026 and 2025, respectively.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gross unrealized losses and fair value of securities available-for-sale aggregated by investment category and the length of time the securities were in a continuous unrealized loss position as of the dates indicated:</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8"/>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Less than 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9"/>
          </w:tcPr>
          <w:p>
            <w:pPr>
              <w:ind w:left="180"/>
              <w:spacing w:after="0"/>
              <w:rPr>
                <w:sz w:val="20"/>
                <w:szCs w:val="20"/>
                <w:color w:val="auto"/>
              </w:rPr>
            </w:pPr>
            <w:r>
              <w:rPr>
                <w:rFonts w:ascii="Times New Roman" w:cs="Times New Roman" w:eastAsia="Times New Roman" w:hAnsi="Times New Roman"/>
                <w:sz w:val="16"/>
                <w:szCs w:val="16"/>
                <w:b w:val="1"/>
                <w:bCs w:val="1"/>
                <w:color w:val="auto"/>
              </w:rPr>
              <w:t>12 Consecutive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8"/>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Consecutive Months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9"/>
          </w:tcPr>
          <w:p>
            <w:pPr>
              <w:ind w:left="60"/>
              <w:spacing w:after="0"/>
              <w:rPr>
                <w:sz w:val="20"/>
                <w:szCs w:val="20"/>
                <w:color w:val="auto"/>
              </w:rPr>
            </w:pPr>
            <w:r>
              <w:rPr>
                <w:rFonts w:ascii="Times New Roman" w:cs="Times New Roman" w:eastAsia="Times New Roman" w:hAnsi="Times New Roman"/>
                <w:sz w:val="16"/>
                <w:szCs w:val="16"/>
                <w:b w:val="1"/>
                <w:bCs w:val="1"/>
                <w:color w:val="auto"/>
              </w:rPr>
              <w:t>Months or Longer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3"/>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6"/>
                <w:szCs w:val="16"/>
                <w:color w:val="auto"/>
              </w:rPr>
            </w:pPr>
          </w:p>
        </w:tc>
      </w:tr>
      <w:tr>
        <w:trPr>
          <w:trHeight w:val="21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 w:type="dxa"/>
            <w:vAlign w:val="bottom"/>
          </w:tcPr>
          <w:p>
            <w:pPr>
              <w:spacing w:after="0"/>
              <w:rPr>
                <w:sz w:val="18"/>
                <w:szCs w:val="18"/>
                <w:color w:val="auto"/>
              </w:rPr>
            </w:pP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3"/>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3"/>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02"/>
        </w:trPr>
        <w:tc>
          <w:tcPr>
            <w:tcW w:w="34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9,980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9,980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6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105,600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3,357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48,834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154,434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7,011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Pass-through MBS issued by U.S. GSEs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479,048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16,981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4,436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483,484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17,790</w:t>
            </w:r>
          </w:p>
        </w:tc>
        <w:tc>
          <w:tcPr>
            <w:tcW w:w="60" w:type="dxa"/>
            <w:vAlign w:val="bottom"/>
          </w:tcPr>
          <w:p>
            <w:pPr>
              <w:spacing w:after="0"/>
              <w:rPr>
                <w:sz w:val="17"/>
                <w:szCs w:val="17"/>
                <w:color w:val="auto"/>
              </w:rPr>
            </w:pPr>
          </w:p>
        </w:tc>
      </w:tr>
      <w:tr>
        <w:trPr>
          <w:trHeight w:val="202"/>
        </w:trPr>
        <w:tc>
          <w:tcPr>
            <w:tcW w:w="20" w:type="dxa"/>
            <w:vAlign w:val="bottom"/>
            <w:shd w:val="clear" w:color="auto" w:fill="CCEEFF"/>
          </w:tcPr>
          <w:p>
            <w:pPr>
              <w:spacing w:after="0"/>
              <w:rPr>
                <w:sz w:val="17"/>
                <w:szCs w:val="17"/>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65,226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112,803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24,661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178,029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26,611</w:t>
            </w:r>
          </w:p>
        </w:tc>
        <w:tc>
          <w:tcPr>
            <w:tcW w:w="6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7,307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1,132</w:t>
            </w:r>
          </w:p>
        </w:tc>
        <w:tc>
          <w:tcPr>
            <w:tcW w:w="60" w:type="dxa"/>
            <w:vAlign w:val="bottom"/>
          </w:tcPr>
          <w:p>
            <w:pPr>
              <w:spacing w:after="0"/>
              <w:rPr>
                <w:sz w:val="18"/>
                <w:szCs w:val="18"/>
                <w:color w:val="auto"/>
              </w:rPr>
            </w:pPr>
          </w:p>
        </w:tc>
      </w:tr>
      <w:tr>
        <w:trPr>
          <w:trHeight w:val="41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9"/>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8"/>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Less than 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9"/>
          </w:tcPr>
          <w:p>
            <w:pPr>
              <w:ind w:left="200"/>
              <w:spacing w:after="0"/>
              <w:rPr>
                <w:sz w:val="20"/>
                <w:szCs w:val="20"/>
                <w:color w:val="auto"/>
              </w:rPr>
            </w:pPr>
            <w:r>
              <w:rPr>
                <w:rFonts w:ascii="Times New Roman" w:cs="Times New Roman" w:eastAsia="Times New Roman" w:hAnsi="Times New Roman"/>
                <w:sz w:val="16"/>
                <w:szCs w:val="16"/>
                <w:b w:val="1"/>
                <w:bCs w:val="1"/>
                <w:color w:val="auto"/>
              </w:rPr>
              <w:t>12 Consecutive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8"/>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Consecutive Months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9"/>
          </w:tcPr>
          <w:p>
            <w:pPr>
              <w:ind w:left="80"/>
              <w:spacing w:after="0"/>
              <w:rPr>
                <w:sz w:val="20"/>
                <w:szCs w:val="20"/>
                <w:color w:val="auto"/>
              </w:rPr>
            </w:pPr>
            <w:r>
              <w:rPr>
                <w:rFonts w:ascii="Times New Roman" w:cs="Times New Roman" w:eastAsia="Times New Roman" w:hAnsi="Times New Roman"/>
                <w:sz w:val="16"/>
                <w:szCs w:val="16"/>
                <w:b w:val="1"/>
                <w:bCs w:val="1"/>
                <w:color w:val="auto"/>
              </w:rPr>
              <w:t>Months or Longer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3"/>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6"/>
                <w:szCs w:val="16"/>
                <w:color w:val="auto"/>
              </w:rPr>
            </w:pPr>
          </w:p>
        </w:tc>
      </w:tr>
      <w:tr>
        <w:trPr>
          <w:trHeight w:val="21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 w:type="dxa"/>
            <w:vAlign w:val="bottom"/>
          </w:tcPr>
          <w:p>
            <w:pPr>
              <w:spacing w:after="0"/>
              <w:rPr>
                <w:sz w:val="18"/>
                <w:szCs w:val="18"/>
                <w:color w:val="auto"/>
              </w:rPr>
            </w:pPr>
          </w:p>
        </w:tc>
        <w:tc>
          <w:tcPr>
            <w:tcW w:w="2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3"/>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3"/>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202"/>
        </w:trPr>
        <w:tc>
          <w:tcPr>
            <w:tcW w:w="20" w:type="dxa"/>
            <w:vAlign w:val="bottom"/>
          </w:tcPr>
          <w:p>
            <w:pPr>
              <w:spacing w:after="0"/>
              <w:rPr>
                <w:sz w:val="17"/>
                <w:szCs w:val="17"/>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69,646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75,616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w:t>
            </w:r>
          </w:p>
        </w:tc>
        <w:tc>
          <w:tcPr>
            <w:tcW w:w="60" w:type="dxa"/>
            <w:vAlign w:val="bottom"/>
            <w:tcBorders>
              <w:left w:val="single" w:sz="8" w:color="CCEEFF"/>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Pass-through MBS issued by U.S. GSEs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135,961</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144,439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21,280</w:t>
            </w:r>
          </w:p>
        </w:tc>
        <w:tc>
          <w:tcPr>
            <w:tcW w:w="60" w:type="dxa"/>
            <w:vAlign w:val="bottom"/>
            <w:tcBorders>
              <w:left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60" w:type="dxa"/>
            <w:vAlign w:val="bottom"/>
          </w:tcPr>
          <w:p>
            <w:pPr>
              <w:spacing w:after="0"/>
              <w:rPr>
                <w:sz w:val="18"/>
                <w:szCs w:val="18"/>
                <w:color w:val="auto"/>
              </w:rPr>
            </w:pPr>
          </w:p>
        </w:tc>
      </w:tr>
    </w:tbl>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September 30, 2026, none of the Company’s available-for-sale debt securities were in an unrealized loss position due to credit and therefore no allowance for credit losses on available-for-sale debt securities was required. Given the high-quality composition of the Company’s held-to-maturity portfolio, the Company did not record an allowance for credit losses on the held-to-maturity portfolio as of September 30, 2026. With respect to certain classes of debt securities, primarily U.S. Treasuries and securities issued by Government Sponsored Entities, the Company considers the history of credit losses, current conditions and reasonable and supportable forecasts, which may indicate that the expectation that nonpayment of the amortized cost basis is or continues to be zero, even if the U.S. government were to technically default. Accrued interest receivable on securities totaling $7.3 million and $5.9 million at September 30, 2026 and December 31, 2025, respectively, was included in other assets in the Consolidated Statements of Financial Condition and excluded from the amortized cost and estimated fair value totals in the table above.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Management evaluates available-for-sale debt securities in unrealized loss positions to determine whether the impairment is due to credit-related factors or noncredit-related factors. Consideration is given to (1) the extent to which the fair value is less than amortized cost, (2) the financial condition and near-term prospects of the issuer, and (3) the intent and ability of the Company to retain its investment in the security for a period of time sufficient to allow for any anticipated recovery in fair value.</w:t>
      </w:r>
    </w:p>
    <w:p>
      <w:pPr>
        <w:spacing w:after="0" w:line="183"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At September 30, 2026, substantially all of the securities in an unrealized loss position had a fixed interest rate and the cause of the temporary impairment was directly related to changes in interest rates. The Company generally views changes in fair value caused by changes in interest rates as temporary, which is consistent with its experience. The following major security types held by the Company are all issued by U.S. government entities and agencies and therefore either explicitly or implicitly guaranteed by the U.S. government: Agency Notes, Treasury Securities, Pass-through MBS issued by U.S. GSEs, Agency Collateralized Mortgage Obligations. None of the unrealized losses are related to credit quality of the issuer. A majority of the state and municipal obligations within the portfolio have all maintained an investment grade rating by either Moody’s or Standard and Poor’s. The Company does not have the intent to sell these securities, and it is more likely than not that it will not be required to sell the securities before their anticipated recovery. The issuers continue to make timely principal and interest payments on the debt. The fair value is expected to recover as the securities approach maturity.</w:t>
      </w:r>
    </w:p>
    <w:p>
      <w:pPr>
        <w:spacing w:after="0" w:line="17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allowance for credit losses for corporate securities available-for-sale for the three and nine months ended September 30, 2026 and 2025:</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5"/>
                <w:szCs w:val="15"/>
                <w:color w:val="auto"/>
              </w:rPr>
            </w:pPr>
          </w:p>
        </w:tc>
        <w:tc>
          <w:tcPr>
            <w:tcW w:w="23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2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4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Beginning balance</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1,800</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300</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2,100</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LOANS HELD FOR INVESTMENT,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loan categories for the period ended as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7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​​​September 30, 2026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December 31, 2025</w:t>
            </w:r>
          </w:p>
        </w:tc>
      </w:tr>
      <w:tr>
        <w:trPr>
          <w:trHeight w:val="142"/>
        </w:trPr>
        <w:tc>
          <w:tcPr>
            <w:tcW w:w="620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6"/>
                <w:szCs w:val="16"/>
                <w:color w:val="auto"/>
                <w:vertAlign w:val="superscript"/>
              </w:rPr>
              <w:t>(1)</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3,992,772</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3,240,436</w:t>
            </w:r>
          </w:p>
        </w:tc>
      </w:tr>
      <w:tr>
        <w:trPr>
          <w:trHeight w:val="148"/>
        </w:trPr>
        <w:tc>
          <w:tcPr>
            <w:tcW w:w="6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1,124,571</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1,035,803</w:t>
            </w:r>
          </w:p>
        </w:tc>
      </w:tr>
      <w:tr>
        <w:trPr>
          <w:trHeight w:val="148"/>
        </w:trPr>
        <w:tc>
          <w:tcPr>
            <w:tcW w:w="62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2,951,993</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3,424,522</w:t>
            </w:r>
          </w:p>
        </w:tc>
      </w:tr>
      <w:tr>
        <w:trPr>
          <w:trHeight w:val="149"/>
        </w:trPr>
        <w:tc>
          <w:tcPr>
            <w:tcW w:w="6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2,753,575</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2,933,011</w:t>
            </w:r>
          </w:p>
        </w:tc>
      </w:tr>
      <w:tr>
        <w:trPr>
          <w:trHeight w:val="148"/>
        </w:trPr>
        <w:tc>
          <w:tcPr>
            <w:tcW w:w="62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Acquisition, development, and construction ("ADC")</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88,587</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117,215</w:t>
            </w:r>
          </w:p>
        </w:tc>
      </w:tr>
      <w:tr>
        <w:trPr>
          <w:trHeight w:val="149"/>
        </w:trPr>
        <w:tc>
          <w:tcPr>
            <w:tcW w:w="620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8,668</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6,558</w:t>
            </w:r>
          </w:p>
        </w:tc>
      </w:tr>
      <w:tr>
        <w:trPr>
          <w:trHeight w:val="142"/>
        </w:trPr>
        <w:tc>
          <w:tcPr>
            <w:tcW w:w="62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10,920,166</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10,757,545</w:t>
            </w:r>
          </w:p>
        </w:tc>
      </w:tr>
      <w:tr>
        <w:trPr>
          <w:trHeight w:val="149"/>
        </w:trPr>
        <w:tc>
          <w:tcPr>
            <w:tcW w:w="6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Fair value hedge basis point 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w:t>
            </w:r>
          </w:p>
        </w:tc>
      </w:tr>
      <w:tr>
        <w:trPr>
          <w:trHeight w:val="142"/>
        </w:trPr>
        <w:tc>
          <w:tcPr>
            <w:tcW w:w="620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loans, net of fair value hedge basis point adjustments</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10,918,155</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10,758,208</w:t>
            </w:r>
          </w:p>
        </w:tc>
      </w:tr>
      <w:tr>
        <w:trPr>
          <w:trHeight w:val="149"/>
        </w:trPr>
        <w:tc>
          <w:tcPr>
            <w:tcW w:w="6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(108,548)</w:t>
            </w:r>
          </w:p>
        </w:tc>
        <w:tc>
          <w:tcPr>
            <w:tcW w:w="2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(97,372)</w:t>
            </w:r>
          </w:p>
        </w:tc>
      </w:tr>
      <w:tr>
        <w:trPr>
          <w:trHeight w:val="142"/>
        </w:trPr>
        <w:tc>
          <w:tcPr>
            <w:tcW w:w="620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Loans held for investment, net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10,809,607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10,660,836</w:t>
            </w:r>
          </w:p>
        </w:tc>
      </w:tr>
      <w:tr>
        <w:trPr>
          <w:trHeight w:val="20"/>
        </w:trPr>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15"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Business loans include commercial and industrial loans (“C&amp;I loans”) and owner-occupied commercial real estate loans.</w:t>
      </w:r>
    </w:p>
    <w:p>
      <w:pPr>
        <w:spacing w:after="0" w:line="64" w:lineRule="exact"/>
        <w:rPr>
          <w:rFonts w:ascii="Times New Roman" w:cs="Times New Roman" w:eastAsia="Times New Roman" w:hAnsi="Times New Roman"/>
          <w:sz w:val="24"/>
          <w:szCs w:val="24"/>
          <w:color w:val="auto"/>
          <w:vertAlign w:val="superscript"/>
        </w:rPr>
      </w:pPr>
    </w:p>
    <w:p>
      <w:pPr>
        <w:ind w:left="380" w:right="79" w:hanging="330"/>
        <w:spacing w:after="0" w:line="206" w:lineRule="auto"/>
        <w:tabs>
          <w:tab w:leader="none" w:pos="38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loan portfolio included a fair value hedge basis point adjustment to the carrying amount of hedged business loans, one-to-four family residential mortgage loans, multifamily residential mortgage loans and non-owner occupied commercial real estate loans.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data regarding the allowance for credit losses activity on loans held for investment for the periods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gridSpan w:val="9"/>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At or for the Three Months Ended September 30, 2026</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140" w:type="dxa"/>
            <w:vAlign w:val="bottom"/>
          </w:tcPr>
          <w:p>
            <w:pPr>
              <w:spacing w:after="0"/>
              <w:rPr>
                <w:sz w:val="10"/>
                <w:szCs w:val="10"/>
                <w:color w:val="auto"/>
              </w:rPr>
            </w:pP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Multifamily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Family</w:t>
            </w:r>
          </w:p>
        </w:tc>
        <w:tc>
          <w:tcPr>
            <w:tcW w:w="14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2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Coop/ Condo</w:t>
            </w:r>
          </w:p>
        </w:tc>
        <w:tc>
          <w:tcPr>
            <w:tcW w:w="14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6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ADC</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2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60" w:type="dxa"/>
            <w:vAlign w:val="bottom"/>
            <w:vMerge w:val="continue"/>
          </w:tcPr>
          <w:p>
            <w:pPr>
              <w:spacing w:after="0"/>
              <w:rPr>
                <w:sz w:val="15"/>
                <w:szCs w:val="15"/>
                <w:color w:val="auto"/>
              </w:rPr>
            </w:pP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Mixed-Use</w:t>
            </w:r>
          </w:p>
        </w:tc>
        <w:tc>
          <w:tcPr>
            <w:tcW w:w="300" w:type="dxa"/>
            <w:vAlign w:val="bottom"/>
            <w:gridSpan w:val="2"/>
            <w:vMerge w:val="continue"/>
          </w:tcPr>
          <w:p>
            <w:pPr>
              <w:spacing w:after="0"/>
              <w:rPr>
                <w:sz w:val="15"/>
                <w:szCs w:val="15"/>
                <w:color w:val="auto"/>
              </w:rPr>
            </w:pPr>
          </w:p>
        </w:tc>
        <w:tc>
          <w:tcPr>
            <w:tcW w:w="12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40" w:type="dxa"/>
            <w:vAlign w:val="bottom"/>
            <w:gridSpan w:val="2"/>
            <w:vMerge w:val="continue"/>
          </w:tcPr>
          <w:p>
            <w:pPr>
              <w:spacing w:after="0"/>
              <w:rPr>
                <w:sz w:val="15"/>
                <w:szCs w:val="15"/>
                <w:color w:val="auto"/>
              </w:rPr>
            </w:pPr>
          </w:p>
        </w:tc>
        <w:tc>
          <w:tcPr>
            <w:tcW w:w="6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Loans</w:t>
            </w:r>
          </w:p>
        </w:tc>
        <w:tc>
          <w:tcPr>
            <w:tcW w:w="220" w:type="dxa"/>
            <w:vAlign w:val="bottom"/>
            <w:gridSpan w:val="3"/>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56,266</w:t>
            </w:r>
          </w:p>
        </w:tc>
        <w:tc>
          <w:tcPr>
            <w:tcW w:w="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9,526</w:t>
            </w:r>
          </w:p>
        </w:tc>
        <w:tc>
          <w:tcPr>
            <w:tcW w:w="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17,489</w:t>
            </w:r>
          </w:p>
        </w:tc>
        <w:tc>
          <w:tcPr>
            <w:tcW w:w="3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19,747</w:t>
            </w:r>
          </w:p>
        </w:tc>
        <w:tc>
          <w:tcPr>
            <w:tcW w:w="6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$ 1,491</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444</w:t>
            </w:r>
          </w:p>
        </w:tc>
        <w:tc>
          <w:tcPr>
            <w:tcW w:w="7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​​​$ 104,963</w:t>
            </w:r>
          </w:p>
        </w:tc>
        <w:tc>
          <w:tcPr>
            <w:tcW w:w="0" w:type="dxa"/>
            <w:vAlign w:val="bottom"/>
          </w:tcPr>
          <w:p>
            <w:pPr>
              <w:spacing w:after="0"/>
              <w:rPr>
                <w:sz w:val="1"/>
                <w:szCs w:val="1"/>
                <w:color w:val="auto"/>
              </w:rPr>
            </w:pPr>
          </w:p>
        </w:tc>
      </w:tr>
      <w:tr>
        <w:trPr>
          <w:trHeight w:val="148"/>
        </w:trPr>
        <w:tc>
          <w:tcPr>
            <w:tcW w:w="2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(recovery) for credit losses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8,543</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(1,423)</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7,123</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(1,012)</w:t>
            </w:r>
          </w:p>
        </w:tc>
        <w:tc>
          <w:tcPr>
            <w:tcW w:w="6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161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13,334</w:t>
            </w:r>
          </w:p>
        </w:tc>
        <w:tc>
          <w:tcPr>
            <w:tcW w:w="0" w:type="dxa"/>
            <w:vAlign w:val="bottom"/>
          </w:tcPr>
          <w:p>
            <w:pPr>
              <w:spacing w:after="0"/>
              <w:rPr>
                <w:sz w:val="1"/>
                <w:szCs w:val="1"/>
                <w:color w:val="auto"/>
              </w:rPr>
            </w:pPr>
          </w:p>
        </w:tc>
      </w:tr>
      <w:tr>
        <w:trPr>
          <w:trHeight w:val="148"/>
        </w:trPr>
        <w:tc>
          <w:tcPr>
            <w:tcW w:w="2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(8,337)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(9,991)</w:t>
            </w:r>
          </w:p>
        </w:tc>
        <w:tc>
          <w:tcPr>
            <w:tcW w:w="0" w:type="dxa"/>
            <w:vAlign w:val="bottom"/>
          </w:tcPr>
          <w:p>
            <w:pPr>
              <w:spacing w:after="0"/>
              <w:rPr>
                <w:sz w:val="1"/>
                <w:szCs w:val="1"/>
                <w:color w:val="auto"/>
              </w:rPr>
            </w:pPr>
          </w:p>
        </w:tc>
      </w:tr>
      <w:tr>
        <w:trPr>
          <w:trHeight w:val="148"/>
        </w:trPr>
        <w:tc>
          <w:tcPr>
            <w:tcW w:w="2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238</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242</w:t>
            </w: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63,409</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ind w:right="9"/>
              <w:spacing w:after="0" w:line="142" w:lineRule="exact"/>
              <w:rPr>
                <w:sz w:val="20"/>
                <w:szCs w:val="20"/>
                <w:color w:val="auto"/>
              </w:rPr>
            </w:pPr>
            <w:r>
              <w:rPr>
                <w:rFonts w:ascii="Times New Roman" w:cs="Times New Roman" w:eastAsia="Times New Roman" w:hAnsi="Times New Roman"/>
                <w:sz w:val="14"/>
                <w:szCs w:val="14"/>
                <w:b w:val="1"/>
                <w:bCs w:val="1"/>
                <w:color w:val="auto"/>
              </w:rPr>
              <w:t>8,103</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16,275</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18,735</w:t>
            </w: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$ 1,433</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593</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$ 108,548</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9"/>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At or for the Three Months Ended September 30, 2025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140" w:type="dxa"/>
            <w:vAlign w:val="bottom"/>
          </w:tcPr>
          <w:p>
            <w:pPr>
              <w:spacing w:after="0"/>
              <w:rPr>
                <w:sz w:val="10"/>
                <w:szCs w:val="10"/>
                <w:color w:val="auto"/>
              </w:rPr>
            </w:pP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Multifamily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Family</w:t>
            </w:r>
          </w:p>
        </w:tc>
        <w:tc>
          <w:tcPr>
            <w:tcW w:w="14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2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Coop/ Condo</w:t>
            </w:r>
          </w:p>
        </w:tc>
        <w:tc>
          <w:tcPr>
            <w:tcW w:w="14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6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ADC</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2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60" w:type="dxa"/>
            <w:vAlign w:val="bottom"/>
            <w:vMerge w:val="continue"/>
          </w:tcPr>
          <w:p>
            <w:pPr>
              <w:spacing w:after="0"/>
              <w:rPr>
                <w:sz w:val="15"/>
                <w:szCs w:val="15"/>
                <w:color w:val="auto"/>
              </w:rPr>
            </w:pP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200" w:type="dxa"/>
            <w:vAlign w:val="bottom"/>
            <w:gridSpan w:val="2"/>
            <w:vMerge w:val="continue"/>
          </w:tcPr>
          <w:p>
            <w:pPr>
              <w:spacing w:after="0"/>
              <w:rPr>
                <w:sz w:val="15"/>
                <w:szCs w:val="15"/>
                <w:color w:val="auto"/>
              </w:rPr>
            </w:pPr>
          </w:p>
        </w:tc>
        <w:tc>
          <w:tcPr>
            <w:tcW w:w="9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Mixed-Use</w:t>
            </w:r>
          </w:p>
        </w:tc>
        <w:tc>
          <w:tcPr>
            <w:tcW w:w="300" w:type="dxa"/>
            <w:vAlign w:val="bottom"/>
            <w:gridSpan w:val="2"/>
            <w:vMerge w:val="continue"/>
          </w:tcPr>
          <w:p>
            <w:pPr>
              <w:spacing w:after="0"/>
              <w:rPr>
                <w:sz w:val="15"/>
                <w:szCs w:val="15"/>
                <w:color w:val="auto"/>
              </w:rPr>
            </w:pPr>
          </w:p>
        </w:tc>
        <w:tc>
          <w:tcPr>
            <w:tcW w:w="12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640" w:type="dxa"/>
            <w:vAlign w:val="bottom"/>
            <w:gridSpan w:val="2"/>
            <w:vMerge w:val="continue"/>
          </w:tcPr>
          <w:p>
            <w:pPr>
              <w:spacing w:after="0"/>
              <w:rPr>
                <w:sz w:val="15"/>
                <w:szCs w:val="15"/>
                <w:color w:val="auto"/>
              </w:rPr>
            </w:pPr>
          </w:p>
        </w:tc>
        <w:tc>
          <w:tcPr>
            <w:tcW w:w="6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Loans</w:t>
            </w:r>
          </w:p>
        </w:tc>
        <w:tc>
          <w:tcPr>
            <w:tcW w:w="220" w:type="dxa"/>
            <w:vAlign w:val="bottom"/>
            <w:gridSpan w:val="3"/>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42,965</w:t>
            </w:r>
          </w:p>
        </w:tc>
        <w:tc>
          <w:tcPr>
            <w:tcW w:w="2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9,567</w:t>
            </w:r>
          </w:p>
        </w:tc>
        <w:tc>
          <w:tcPr>
            <w:tcW w:w="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13,667</w:t>
            </w:r>
          </w:p>
        </w:tc>
        <w:tc>
          <w:tcPr>
            <w:tcW w:w="3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24,326</w:t>
            </w:r>
          </w:p>
        </w:tc>
        <w:tc>
          <w:tcPr>
            <w:tcW w:w="6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$ 2,380</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93,189</w:t>
            </w:r>
          </w:p>
        </w:tc>
        <w:tc>
          <w:tcPr>
            <w:tcW w:w="0" w:type="dxa"/>
            <w:vAlign w:val="bottom"/>
          </w:tcPr>
          <w:p>
            <w:pPr>
              <w:spacing w:after="0"/>
              <w:rPr>
                <w:sz w:val="1"/>
                <w:szCs w:val="1"/>
                <w:color w:val="auto"/>
              </w:rPr>
            </w:pPr>
          </w:p>
        </w:tc>
      </w:tr>
      <w:tr>
        <w:trPr>
          <w:trHeight w:val="149"/>
        </w:trPr>
        <w:tc>
          <w:tcPr>
            <w:tcW w:w="2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(recovery) for credit losses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6,053</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(747)</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7,990</w:t>
            </w:r>
          </w:p>
        </w:tc>
        <w:tc>
          <w:tcPr>
            <w:tcW w:w="6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13,458</w:t>
            </w:r>
          </w:p>
        </w:tc>
        <w:tc>
          <w:tcPr>
            <w:tcW w:w="0" w:type="dxa"/>
            <w:vAlign w:val="bottom"/>
          </w:tcPr>
          <w:p>
            <w:pPr>
              <w:spacing w:after="0"/>
              <w:rPr>
                <w:sz w:val="1"/>
                <w:szCs w:val="1"/>
                <w:color w:val="auto"/>
              </w:rPr>
            </w:pPr>
          </w:p>
        </w:tc>
      </w:tr>
      <w:tr>
        <w:trPr>
          <w:trHeight w:val="148"/>
        </w:trPr>
        <w:tc>
          <w:tcPr>
            <w:tcW w:w="2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(10,992)</w:t>
            </w:r>
          </w:p>
        </w:tc>
        <w:tc>
          <w:tcPr>
            <w:tcW w:w="10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(12,957)</w:t>
            </w:r>
          </w:p>
        </w:tc>
        <w:tc>
          <w:tcPr>
            <w:tcW w:w="0" w:type="dxa"/>
            <w:vAlign w:val="bottom"/>
          </w:tcPr>
          <w:p>
            <w:pPr>
              <w:spacing w:after="0"/>
              <w:rPr>
                <w:sz w:val="1"/>
                <w:szCs w:val="1"/>
                <w:color w:val="auto"/>
              </w:rPr>
            </w:pPr>
          </w:p>
        </w:tc>
      </w:tr>
      <w:tr>
        <w:trPr>
          <w:trHeight w:val="148"/>
        </w:trPr>
        <w:tc>
          <w:tcPr>
            <w:tcW w:w="2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47,502</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12,851</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21,324</w:t>
            </w: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$ 1,994</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359</w:t>
            </w:r>
          </w:p>
        </w:tc>
        <w:tc>
          <w:tcPr>
            <w:tcW w:w="120" w:type="dxa"/>
            <w:vAlign w:val="bottom"/>
            <w:gridSpan w:val="2"/>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94,061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9"/>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At or for the Nine Months Ended September 30, 2026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140" w:type="dxa"/>
            <w:vAlign w:val="bottom"/>
          </w:tcPr>
          <w:p>
            <w:pPr>
              <w:spacing w:after="0"/>
              <w:rPr>
                <w:sz w:val="10"/>
                <w:szCs w:val="10"/>
                <w:color w:val="auto"/>
              </w:rPr>
            </w:pP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Multifamily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Family</w:t>
            </w:r>
          </w:p>
        </w:tc>
        <w:tc>
          <w:tcPr>
            <w:tcW w:w="14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2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Coop/ Condo</w:t>
            </w:r>
          </w:p>
        </w:tc>
        <w:tc>
          <w:tcPr>
            <w:tcW w:w="14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6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ADC</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2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60" w:type="dxa"/>
            <w:vAlign w:val="bottom"/>
            <w:vMerge w:val="continue"/>
          </w:tcPr>
          <w:p>
            <w:pPr>
              <w:spacing w:after="0"/>
              <w:rPr>
                <w:sz w:val="15"/>
                <w:szCs w:val="15"/>
                <w:color w:val="auto"/>
              </w:rPr>
            </w:pP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Mixed-Use</w:t>
            </w:r>
          </w:p>
        </w:tc>
        <w:tc>
          <w:tcPr>
            <w:tcW w:w="300" w:type="dxa"/>
            <w:vAlign w:val="bottom"/>
            <w:gridSpan w:val="2"/>
            <w:vMerge w:val="continue"/>
          </w:tcPr>
          <w:p>
            <w:pPr>
              <w:spacing w:after="0"/>
              <w:rPr>
                <w:sz w:val="15"/>
                <w:szCs w:val="15"/>
                <w:color w:val="auto"/>
              </w:rPr>
            </w:pPr>
          </w:p>
        </w:tc>
        <w:tc>
          <w:tcPr>
            <w:tcW w:w="12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40" w:type="dxa"/>
            <w:vAlign w:val="bottom"/>
            <w:gridSpan w:val="2"/>
            <w:vMerge w:val="continue"/>
          </w:tcPr>
          <w:p>
            <w:pPr>
              <w:spacing w:after="0"/>
              <w:rPr>
                <w:sz w:val="15"/>
                <w:szCs w:val="15"/>
                <w:color w:val="auto"/>
              </w:rPr>
            </w:pPr>
          </w:p>
        </w:tc>
        <w:tc>
          <w:tcPr>
            <w:tcW w:w="6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Loans</w:t>
            </w:r>
          </w:p>
        </w:tc>
        <w:tc>
          <w:tcPr>
            <w:tcW w:w="220" w:type="dxa"/>
            <w:vAlign w:val="bottom"/>
            <w:gridSpan w:val="3"/>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20" w:type="dxa"/>
            <w:vAlign w:val="bottom"/>
            <w:gridSpan w:val="3"/>
            <w:shd w:val="clear" w:color="auto" w:fill="CCEEFF"/>
          </w:tcPr>
          <w:p>
            <w:pPr>
              <w:jc w:val="right"/>
              <w:ind w:right="2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49,770</w:t>
            </w:r>
          </w:p>
        </w:tc>
        <w:tc>
          <w:tcPr>
            <w:tcW w:w="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10,034</w:t>
            </w:r>
          </w:p>
        </w:tc>
        <w:tc>
          <w:tcPr>
            <w:tcW w:w="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14,053</w:t>
            </w:r>
          </w:p>
        </w:tc>
        <w:tc>
          <w:tcPr>
            <w:tcW w:w="3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21,130</w:t>
            </w:r>
          </w:p>
        </w:tc>
        <w:tc>
          <w:tcPr>
            <w:tcW w:w="6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$ 2,070</w:t>
            </w:r>
          </w:p>
        </w:tc>
        <w:tc>
          <w:tcPr>
            <w:tcW w:w="100" w:type="dxa"/>
            <w:vAlign w:val="bottom"/>
          </w:tcPr>
          <w:p>
            <w:pPr>
              <w:spacing w:after="0"/>
              <w:rPr>
                <w:sz w:val="12"/>
                <w:szCs w:val="12"/>
                <w:color w:val="auto"/>
              </w:rPr>
            </w:pPr>
          </w:p>
        </w:tc>
        <w:tc>
          <w:tcPr>
            <w:tcW w:w="1240" w:type="dxa"/>
            <w:vAlign w:val="bottom"/>
            <w:gridSpan w:val="6"/>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315  ​​​$  97,372</w:t>
            </w:r>
          </w:p>
        </w:tc>
        <w:tc>
          <w:tcPr>
            <w:tcW w:w="0" w:type="dxa"/>
            <w:vAlign w:val="bottom"/>
          </w:tcPr>
          <w:p>
            <w:pPr>
              <w:spacing w:after="0"/>
              <w:rPr>
                <w:sz w:val="1"/>
                <w:szCs w:val="1"/>
                <w:color w:val="auto"/>
              </w:rPr>
            </w:pPr>
          </w:p>
        </w:tc>
      </w:tr>
      <w:tr>
        <w:trPr>
          <w:trHeight w:val="149"/>
        </w:trPr>
        <w:tc>
          <w:tcPr>
            <w:tcW w:w="2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(recovery) for credit losses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15,961</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(1,931)</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22,670</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2,707</w:t>
            </w:r>
          </w:p>
        </w:tc>
        <w:tc>
          <w:tcPr>
            <w:tcW w:w="6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391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39,161</w:t>
            </w:r>
          </w:p>
        </w:tc>
        <w:tc>
          <w:tcPr>
            <w:tcW w:w="0" w:type="dxa"/>
            <w:vAlign w:val="bottom"/>
          </w:tcPr>
          <w:p>
            <w:pPr>
              <w:spacing w:after="0"/>
              <w:rPr>
                <w:sz w:val="1"/>
                <w:szCs w:val="1"/>
                <w:color w:val="auto"/>
              </w:rPr>
            </w:pPr>
          </w:p>
        </w:tc>
      </w:tr>
      <w:tr>
        <w:trPr>
          <w:trHeight w:val="148"/>
        </w:trPr>
        <w:tc>
          <w:tcPr>
            <w:tcW w:w="2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(20,556)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(5,256)</w:t>
            </w:r>
          </w:p>
        </w:tc>
        <w:tc>
          <w:tcPr>
            <w:tcW w:w="10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(28,824)</w:t>
            </w:r>
          </w:p>
        </w:tc>
        <w:tc>
          <w:tcPr>
            <w:tcW w:w="0" w:type="dxa"/>
            <w:vAlign w:val="bottom"/>
          </w:tcPr>
          <w:p>
            <w:pPr>
              <w:spacing w:after="0"/>
              <w:rPr>
                <w:sz w:val="1"/>
                <w:szCs w:val="1"/>
                <w:color w:val="auto"/>
              </w:rPr>
            </w:pPr>
          </w:p>
        </w:tc>
      </w:tr>
      <w:tr>
        <w:trPr>
          <w:trHeight w:val="148"/>
        </w:trPr>
        <w:tc>
          <w:tcPr>
            <w:tcW w:w="2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565</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108</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154</w:t>
            </w: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839</w:t>
            </w: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63,409</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ind w:right="9"/>
              <w:spacing w:after="0" w:line="142" w:lineRule="exact"/>
              <w:rPr>
                <w:sz w:val="20"/>
                <w:szCs w:val="20"/>
                <w:color w:val="auto"/>
              </w:rPr>
            </w:pPr>
            <w:r>
              <w:rPr>
                <w:rFonts w:ascii="Times New Roman" w:cs="Times New Roman" w:eastAsia="Times New Roman" w:hAnsi="Times New Roman"/>
                <w:sz w:val="14"/>
                <w:szCs w:val="14"/>
                <w:b w:val="1"/>
                <w:bCs w:val="1"/>
                <w:color w:val="auto"/>
              </w:rPr>
              <w:t>8,103</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16,275</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18,735</w:t>
            </w: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$ 1,433</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593</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$ 108,548</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9"/>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At or for the Nine Months Ended September 30, 2025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140" w:type="dxa"/>
            <w:vAlign w:val="bottom"/>
          </w:tcPr>
          <w:p>
            <w:pPr>
              <w:spacing w:after="0"/>
              <w:rPr>
                <w:sz w:val="10"/>
                <w:szCs w:val="10"/>
                <w:color w:val="auto"/>
              </w:rPr>
            </w:pP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Multifamily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Family</w:t>
            </w:r>
          </w:p>
        </w:tc>
        <w:tc>
          <w:tcPr>
            <w:tcW w:w="14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2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Coop/ Condo</w:t>
            </w:r>
          </w:p>
        </w:tc>
        <w:tc>
          <w:tcPr>
            <w:tcW w:w="14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6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ADC</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2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60" w:type="dxa"/>
            <w:vAlign w:val="bottom"/>
            <w:vMerge w:val="continue"/>
          </w:tcPr>
          <w:p>
            <w:pPr>
              <w:spacing w:after="0"/>
              <w:rPr>
                <w:sz w:val="15"/>
                <w:szCs w:val="15"/>
                <w:color w:val="auto"/>
              </w:rPr>
            </w:pP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200" w:type="dxa"/>
            <w:vAlign w:val="bottom"/>
            <w:gridSpan w:val="2"/>
            <w:vMerge w:val="continue"/>
          </w:tcPr>
          <w:p>
            <w:pPr>
              <w:spacing w:after="0"/>
              <w:rPr>
                <w:sz w:val="15"/>
                <w:szCs w:val="15"/>
                <w:color w:val="auto"/>
              </w:rPr>
            </w:pPr>
          </w:p>
        </w:tc>
        <w:tc>
          <w:tcPr>
            <w:tcW w:w="9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Mixed-Use</w:t>
            </w:r>
          </w:p>
        </w:tc>
        <w:tc>
          <w:tcPr>
            <w:tcW w:w="300" w:type="dxa"/>
            <w:vAlign w:val="bottom"/>
            <w:gridSpan w:val="2"/>
            <w:vMerge w:val="continue"/>
          </w:tcPr>
          <w:p>
            <w:pPr>
              <w:spacing w:after="0"/>
              <w:rPr>
                <w:sz w:val="15"/>
                <w:szCs w:val="15"/>
                <w:color w:val="auto"/>
              </w:rPr>
            </w:pPr>
          </w:p>
        </w:tc>
        <w:tc>
          <w:tcPr>
            <w:tcW w:w="12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640" w:type="dxa"/>
            <w:vAlign w:val="bottom"/>
            <w:gridSpan w:val="2"/>
            <w:vMerge w:val="continue"/>
          </w:tcPr>
          <w:p>
            <w:pPr>
              <w:spacing w:after="0"/>
              <w:rPr>
                <w:sz w:val="15"/>
                <w:szCs w:val="15"/>
                <w:color w:val="auto"/>
              </w:rPr>
            </w:pPr>
          </w:p>
        </w:tc>
        <w:tc>
          <w:tcPr>
            <w:tcW w:w="6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Loans</w:t>
            </w:r>
          </w:p>
        </w:tc>
        <w:tc>
          <w:tcPr>
            <w:tcW w:w="220" w:type="dxa"/>
            <w:vAlign w:val="bottom"/>
            <w:gridSpan w:val="3"/>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42,898</w:t>
            </w:r>
          </w:p>
        </w:tc>
        <w:tc>
          <w:tcPr>
            <w:tcW w:w="2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9,501</w:t>
            </w:r>
          </w:p>
        </w:tc>
        <w:tc>
          <w:tcPr>
            <w:tcW w:w="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11,946</w:t>
            </w:r>
          </w:p>
        </w:tc>
        <w:tc>
          <w:tcPr>
            <w:tcW w:w="3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21,876</w:t>
            </w:r>
          </w:p>
        </w:tc>
        <w:tc>
          <w:tcPr>
            <w:tcW w:w="6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$ 2,323</w:t>
            </w:r>
          </w:p>
        </w:tc>
        <w:tc>
          <w:tcPr>
            <w:tcW w:w="100" w:type="dxa"/>
            <w:vAlign w:val="bottom"/>
          </w:tcPr>
          <w:p>
            <w:pPr>
              <w:spacing w:after="0"/>
              <w:rPr>
                <w:sz w:val="12"/>
                <w:szCs w:val="12"/>
                <w:color w:val="auto"/>
              </w:rPr>
            </w:pPr>
          </w:p>
        </w:tc>
        <w:tc>
          <w:tcPr>
            <w:tcW w:w="1240" w:type="dxa"/>
            <w:vAlign w:val="bottom"/>
            <w:gridSpan w:val="6"/>
          </w:tcPr>
          <w:p>
            <w:pPr>
              <w:jc w:val="right"/>
              <w:spacing w:after="0" w:line="149" w:lineRule="exact"/>
              <w:rPr>
                <w:sz w:val="20"/>
                <w:szCs w:val="20"/>
                <w:color w:val="auto"/>
              </w:rPr>
            </w:pPr>
            <w:r>
              <w:rPr>
                <w:rFonts w:ascii="Times New Roman" w:cs="Times New Roman" w:eastAsia="Times New Roman" w:hAnsi="Times New Roman"/>
                <w:sz w:val="14"/>
                <w:szCs w:val="14"/>
                <w:color w:val="auto"/>
              </w:rPr>
              <w:t>$  207  ​​​$  88,751</w:t>
            </w:r>
          </w:p>
        </w:tc>
        <w:tc>
          <w:tcPr>
            <w:tcW w:w="0" w:type="dxa"/>
            <w:vAlign w:val="bottom"/>
          </w:tcPr>
          <w:p>
            <w:pPr>
              <w:spacing w:after="0"/>
              <w:rPr>
                <w:sz w:val="1"/>
                <w:szCs w:val="1"/>
                <w:color w:val="auto"/>
              </w:rPr>
            </w:pPr>
          </w:p>
        </w:tc>
      </w:tr>
      <w:tr>
        <w:trPr>
          <w:trHeight w:val="148"/>
        </w:trPr>
        <w:tc>
          <w:tcPr>
            <w:tcW w:w="2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11,018</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973</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17,938</w:t>
            </w:r>
          </w:p>
        </w:tc>
        <w:tc>
          <w:tcPr>
            <w:tcW w:w="6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30,359</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(18,490)</w:t>
            </w:r>
          </w:p>
        </w:tc>
        <w:tc>
          <w:tcPr>
            <w:tcW w:w="10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(25,776)</w:t>
            </w:r>
          </w:p>
        </w:tc>
        <w:tc>
          <w:tcPr>
            <w:tcW w:w="0" w:type="dxa"/>
            <w:vAlign w:val="bottom"/>
          </w:tcPr>
          <w:p>
            <w:pPr>
              <w:spacing w:after="0"/>
              <w:rPr>
                <w:sz w:val="1"/>
                <w:szCs w:val="1"/>
                <w:color w:val="auto"/>
              </w:rPr>
            </w:pPr>
          </w:p>
        </w:tc>
      </w:tr>
      <w:tr>
        <w:trPr>
          <w:trHeight w:val="148"/>
        </w:trPr>
        <w:tc>
          <w:tcPr>
            <w:tcW w:w="2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47,502</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12,851</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21,324</w:t>
            </w: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$ 1,994</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359</w:t>
            </w:r>
          </w:p>
        </w:tc>
        <w:tc>
          <w:tcPr>
            <w:tcW w:w="120" w:type="dxa"/>
            <w:vAlign w:val="bottom"/>
            <w:gridSpan w:val="2"/>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94,061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the amortized cost basis of loans on non-accrual status as of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Non-accrual with</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Non-accrual with</w:t>
            </w:r>
          </w:p>
        </w:tc>
        <w:tc>
          <w:tcPr>
            <w:tcW w:w="30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Related</w:t>
            </w:r>
          </w:p>
        </w:tc>
        <w:tc>
          <w:tcPr>
            <w:tcW w:w="0" w:type="dxa"/>
            <w:vAlign w:val="bottom"/>
          </w:tcPr>
          <w:p>
            <w:pPr>
              <w:spacing w:after="0"/>
              <w:rPr>
                <w:sz w:val="1"/>
                <w:szCs w:val="1"/>
                <w:color w:val="auto"/>
              </w:rPr>
            </w:pPr>
          </w:p>
        </w:tc>
      </w:tr>
      <w:tr>
        <w:trPr>
          <w:trHeight w:val="173"/>
        </w:trPr>
        <w:tc>
          <w:tcPr>
            <w:tcW w:w="5140" w:type="dxa"/>
            <w:vAlign w:val="bottom"/>
            <w:gridSpan w:val="2"/>
            <w:vMerge w:val="continue"/>
          </w:tcPr>
          <w:p>
            <w:pPr>
              <w:spacing w:after="0"/>
              <w:rPr>
                <w:sz w:val="15"/>
                <w:szCs w:val="15"/>
                <w:color w:val="auto"/>
              </w:rPr>
            </w:pP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No Allowance</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00" w:type="dxa"/>
            <w:vAlign w:val="bottom"/>
            <w:gridSpan w:val="3"/>
            <w:vMerge w:val="continue"/>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142"/>
        </w:trPr>
        <w:tc>
          <w:tcPr>
            <w:tcW w:w="514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2,544</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30,627</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20,497</w:t>
            </w:r>
          </w:p>
        </w:tc>
        <w:tc>
          <w:tcPr>
            <w:tcW w:w="0" w:type="dxa"/>
            <w:vAlign w:val="bottom"/>
          </w:tcPr>
          <w:p>
            <w:pPr>
              <w:spacing w:after="0"/>
              <w:rPr>
                <w:sz w:val="1"/>
                <w:szCs w:val="1"/>
                <w:color w:val="auto"/>
              </w:rPr>
            </w:pPr>
          </w:p>
        </w:tc>
      </w:tr>
      <w:tr>
        <w:trPr>
          <w:trHeight w:val="148"/>
        </w:trPr>
        <w:tc>
          <w:tcPr>
            <w:tcW w:w="5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4,852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35</w:t>
            </w:r>
          </w:p>
        </w:tc>
        <w:tc>
          <w:tcPr>
            <w:tcW w:w="0" w:type="dxa"/>
            <w:vAlign w:val="bottom"/>
          </w:tcPr>
          <w:p>
            <w:pPr>
              <w:spacing w:after="0"/>
              <w:rPr>
                <w:sz w:val="1"/>
                <w:szCs w:val="1"/>
                <w:color w:val="auto"/>
              </w:rPr>
            </w:pPr>
          </w:p>
        </w:tc>
      </w:tr>
      <w:tr>
        <w:trPr>
          <w:trHeight w:val="148"/>
        </w:trPr>
        <w:tc>
          <w:tcPr>
            <w:tcW w:w="5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24,918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22,855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5,954</w:t>
            </w:r>
          </w:p>
        </w:tc>
        <w:tc>
          <w:tcPr>
            <w:tcW w:w="0" w:type="dxa"/>
            <w:vAlign w:val="bottom"/>
          </w:tcPr>
          <w:p>
            <w:pPr>
              <w:spacing w:after="0"/>
              <w:rPr>
                <w:sz w:val="1"/>
                <w:szCs w:val="1"/>
                <w:color w:val="auto"/>
              </w:rPr>
            </w:pPr>
          </w:p>
        </w:tc>
      </w:tr>
      <w:tr>
        <w:trPr>
          <w:trHeight w:val="148"/>
        </w:trPr>
        <w:tc>
          <w:tcPr>
            <w:tcW w:w="5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3,167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7,942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2,362</w:t>
            </w:r>
          </w:p>
        </w:tc>
        <w:tc>
          <w:tcPr>
            <w:tcW w:w="0" w:type="dxa"/>
            <w:vAlign w:val="bottom"/>
          </w:tcPr>
          <w:p>
            <w:pPr>
              <w:spacing w:after="0"/>
              <w:rPr>
                <w:sz w:val="1"/>
                <w:szCs w:val="1"/>
                <w:color w:val="auto"/>
              </w:rPr>
            </w:pPr>
          </w:p>
        </w:tc>
      </w:tr>
      <w:tr>
        <w:trPr>
          <w:trHeight w:val="148"/>
        </w:trPr>
        <w:tc>
          <w:tcPr>
            <w:tcW w:w="5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412</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367</w:t>
            </w:r>
          </w:p>
        </w:tc>
        <w:tc>
          <w:tcPr>
            <w:tcW w:w="0" w:type="dxa"/>
            <w:vAlign w:val="bottom"/>
          </w:tcPr>
          <w:p>
            <w:pPr>
              <w:spacing w:after="0"/>
              <w:rPr>
                <w:sz w:val="1"/>
                <w:szCs w:val="1"/>
                <w:color w:val="auto"/>
              </w:rPr>
            </w:pPr>
          </w:p>
        </w:tc>
      </w:tr>
      <w:tr>
        <w:trPr>
          <w:trHeight w:val="142"/>
        </w:trPr>
        <w:tc>
          <w:tcPr>
            <w:tcW w:w="5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30,629</w:t>
            </w: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66,688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29,215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0"/>
                <w:szCs w:val="10"/>
                <w:color w:val="auto"/>
              </w:rPr>
            </w:pPr>
          </w:p>
        </w:tc>
        <w:tc>
          <w:tcPr>
            <w:tcW w:w="112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Non-accrual with</w:t>
            </w:r>
          </w:p>
        </w:tc>
        <w:tc>
          <w:tcPr>
            <w:tcW w:w="140" w:type="dxa"/>
            <w:vAlign w:val="bottom"/>
          </w:tcPr>
          <w:p>
            <w:pPr>
              <w:spacing w:after="0"/>
              <w:rPr>
                <w:sz w:val="10"/>
                <w:szCs w:val="10"/>
                <w:color w:val="auto"/>
              </w:rPr>
            </w:pPr>
          </w:p>
        </w:tc>
        <w:tc>
          <w:tcPr>
            <w:tcW w:w="114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Non-accrual with</w:t>
            </w:r>
          </w:p>
        </w:tc>
        <w:tc>
          <w:tcPr>
            <w:tcW w:w="30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29"/>
              <w:spacing w:after="0" w:line="118" w:lineRule="exact"/>
              <w:rPr>
                <w:sz w:val="20"/>
                <w:szCs w:val="20"/>
                <w:color w:val="auto"/>
              </w:rPr>
            </w:pPr>
            <w:r>
              <w:rPr>
                <w:rFonts w:ascii="Times New Roman" w:cs="Times New Roman" w:eastAsia="Times New Roman" w:hAnsi="Times New Roman"/>
                <w:sz w:val="13"/>
                <w:szCs w:val="13"/>
                <w:b w:val="1"/>
                <w:bCs w:val="1"/>
                <w:color w:val="auto"/>
              </w:rPr>
              <w:t>Related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40" w:type="dxa"/>
            <w:vAlign w:val="bottom"/>
            <w:gridSpan w:val="2"/>
            <w:vMerge w:val="continue"/>
          </w:tcPr>
          <w:p>
            <w:pPr>
              <w:spacing w:after="0"/>
              <w:rPr>
                <w:sz w:val="15"/>
                <w:szCs w:val="15"/>
                <w:color w:val="auto"/>
              </w:rPr>
            </w:pP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No Allowance</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00" w:type="dxa"/>
            <w:vAlign w:val="bottom"/>
            <w:gridSpan w:val="3"/>
            <w:vMerge w:val="continue"/>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142"/>
        </w:trPr>
        <w:tc>
          <w:tcPr>
            <w:tcW w:w="51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3,973</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18,633</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25,656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29,629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22,683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did not recognize interest income on non-accrual loans held for investment during the three and nine months ended September 30, 2026 and 2025.</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past due status of the Company’s loan held for investment portfolio as of the dates indicated:</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90 Days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30 to 59</w:t>
            </w:r>
          </w:p>
        </w:tc>
        <w:tc>
          <w:tcPr>
            <w:tcW w:w="16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60 to 89</w:t>
            </w:r>
          </w:p>
        </w:tc>
        <w:tc>
          <w:tcPr>
            <w:tcW w:w="16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Or More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1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and Still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20" w:type="dxa"/>
            <w:vAlign w:val="bottom"/>
            <w:vMerge w:val="continue"/>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Past Due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Accruing</w:t>
            </w:r>
          </w:p>
        </w:tc>
        <w:tc>
          <w:tcPr>
            <w:tcW w:w="18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Non-accrual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Non-accrual</w:t>
            </w:r>
          </w:p>
        </w:tc>
        <w:tc>
          <w:tcPr>
            <w:tcW w:w="28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6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2,465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124</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33,171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35,760</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3,957,012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3,992,772</w:t>
            </w:r>
          </w:p>
        </w:tc>
        <w:tc>
          <w:tcPr>
            <w:tcW w:w="0" w:type="dxa"/>
            <w:vAlign w:val="bottom"/>
          </w:tcPr>
          <w:p>
            <w:pPr>
              <w:spacing w:after="0"/>
              <w:rPr>
                <w:sz w:val="1"/>
                <w:szCs w:val="1"/>
                <w:color w:val="auto"/>
              </w:rPr>
            </w:pPr>
          </w:p>
        </w:tc>
      </w:tr>
      <w:tr>
        <w:trPr>
          <w:trHeight w:val="126"/>
        </w:trPr>
        <w:tc>
          <w:tcPr>
            <w:tcW w:w="29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and coop/condo</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1,367</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4,852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6,254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1,118,317</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1,124,571</w:t>
            </w:r>
          </w:p>
        </w:tc>
        <w:tc>
          <w:tcPr>
            <w:tcW w:w="0" w:type="dxa"/>
            <w:vAlign w:val="bottom"/>
          </w:tcPr>
          <w:p>
            <w:pPr>
              <w:spacing w:after="0"/>
              <w:rPr>
                <w:sz w:val="1"/>
                <w:szCs w:val="1"/>
                <w:color w:val="auto"/>
              </w:rPr>
            </w:pPr>
          </w:p>
        </w:tc>
      </w:tr>
      <w:tr>
        <w:trPr>
          <w:trHeight w:val="171"/>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apartment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3,896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17,658</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47,773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69,327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2,882,666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2,951,993</w:t>
            </w: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4,796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20,005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2,733,570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2,753,575</w:t>
            </w: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88,175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88,587</w:t>
            </w: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8,668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8,668</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11,192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23,249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97,317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131,758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$ 10,788,408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$ 10,920,166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90 Days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30 to 59</w:t>
            </w:r>
          </w:p>
        </w:tc>
        <w:tc>
          <w:tcPr>
            <w:tcW w:w="16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60 to 89</w:t>
            </w:r>
          </w:p>
        </w:tc>
        <w:tc>
          <w:tcPr>
            <w:tcW w:w="16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Or More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1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and Still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20" w:type="dxa"/>
            <w:vAlign w:val="bottom"/>
            <w:vMerge w:val="continue"/>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Past Due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Accruing</w:t>
            </w:r>
          </w:p>
        </w:tc>
        <w:tc>
          <w:tcPr>
            <w:tcW w:w="18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Non-accrual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Non-accrual</w:t>
            </w:r>
          </w:p>
        </w:tc>
        <w:tc>
          <w:tcPr>
            <w:tcW w:w="28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6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4,617</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2,075</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22,606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29,298</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3,211,138</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3,240,436</w:t>
            </w:r>
          </w:p>
        </w:tc>
        <w:tc>
          <w:tcPr>
            <w:tcW w:w="0" w:type="dxa"/>
            <w:vAlign w:val="bottom"/>
          </w:tcPr>
          <w:p>
            <w:pPr>
              <w:spacing w:after="0"/>
              <w:rPr>
                <w:sz w:val="1"/>
                <w:szCs w:val="1"/>
                <w:color w:val="auto"/>
              </w:rPr>
            </w:pPr>
          </w:p>
        </w:tc>
      </w:tr>
      <w:tr>
        <w:trPr>
          <w:trHeight w:val="126"/>
        </w:trPr>
        <w:tc>
          <w:tcPr>
            <w:tcW w:w="29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and coop/condo</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7,943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3,623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11,955</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1,023,848</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1,035,803</w:t>
            </w:r>
          </w:p>
        </w:tc>
        <w:tc>
          <w:tcPr>
            <w:tcW w:w="0" w:type="dxa"/>
            <w:vAlign w:val="bottom"/>
          </w:tcPr>
          <w:p>
            <w:pPr>
              <w:spacing w:after="0"/>
              <w:rPr>
                <w:sz w:val="1"/>
                <w:szCs w:val="1"/>
                <w:color w:val="auto"/>
              </w:rPr>
            </w:pPr>
          </w:p>
        </w:tc>
      </w:tr>
      <w:tr>
        <w:trPr>
          <w:trHeight w:val="171"/>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apartment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27,608</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3,393,247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3,424,522</w:t>
            </w:r>
          </w:p>
        </w:tc>
        <w:tc>
          <w:tcPr>
            <w:tcW w:w="0" w:type="dxa"/>
            <w:vAlign w:val="bottom"/>
          </w:tcPr>
          <w:p>
            <w:pPr>
              <w:spacing w:after="0"/>
              <w:rPr>
                <w:sz w:val="1"/>
                <w:szCs w:val="1"/>
                <w:color w:val="auto"/>
              </w:rPr>
            </w:pPr>
          </w:p>
        </w:tc>
      </w:tr>
      <w:tr>
        <w:trPr>
          <w:trHeight w:val="149"/>
        </w:trPr>
        <w:tc>
          <w:tcPr>
            <w:tcW w:w="2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12,597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25,671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38,268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2,894,743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2,933,011</w:t>
            </w: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116,803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117,215</w:t>
            </w:r>
          </w:p>
        </w:tc>
        <w:tc>
          <w:tcPr>
            <w:tcW w:w="0" w:type="dxa"/>
            <w:vAlign w:val="bottom"/>
          </w:tcPr>
          <w:p>
            <w:pPr>
              <w:spacing w:after="0"/>
              <w:rPr>
                <w:sz w:val="1"/>
                <w:szCs w:val="1"/>
                <w:color w:val="auto"/>
              </w:rPr>
            </w:pPr>
          </w:p>
        </w:tc>
      </w:tr>
      <w:tr>
        <w:trPr>
          <w:trHeight w:val="149"/>
        </w:trPr>
        <w:tc>
          <w:tcPr>
            <w:tcW w:w="2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6,558</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28,824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30,072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52,312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111,208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$ 10,646,337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$ 10,757,545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Accruing Loans 90 Days or More Past Due: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accruing loans 90 days or more past due at September 30, 2026 or at December 31, 2025.</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Collateral Dependent Loans:</w:t>
      </w:r>
    </w:p>
    <w:p>
      <w:pPr>
        <w:spacing w:after="0" w:line="227" w:lineRule="exact"/>
        <w:rPr>
          <w:sz w:val="20"/>
          <w:szCs w:val="20"/>
          <w:color w:val="auto"/>
        </w:rPr>
      </w:pPr>
    </w:p>
    <w:p>
      <w:pPr>
        <w:jc w:val="both"/>
        <w:ind w:left="60" w:right="80"/>
        <w:spacing w:after="0" w:line="261" w:lineRule="auto"/>
        <w:rPr>
          <w:sz w:val="20"/>
          <w:szCs w:val="20"/>
          <w:color w:val="auto"/>
        </w:rPr>
      </w:pPr>
      <w:r>
        <w:rPr>
          <w:rFonts w:ascii="Times New Roman" w:cs="Times New Roman" w:eastAsia="Times New Roman" w:hAnsi="Times New Roman"/>
          <w:sz w:val="18"/>
          <w:szCs w:val="18"/>
          <w:color w:val="auto"/>
        </w:rPr>
        <w:t>The Company had collateral dependent loans which were individually evaluated to determine expected credit losses as of the dates indicated:</w:t>
      </w:r>
    </w:p>
    <w:tbl>
      <w:tblPr>
        <w:tblLayout w:type="fixed"/>
        <w:tblInd w:w="4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4"/>
                <w:szCs w:val="14"/>
                <w:color w:val="auto"/>
              </w:rPr>
            </w:pPr>
          </w:p>
        </w:tc>
        <w:tc>
          <w:tcPr>
            <w:tcW w:w="2600" w:type="dxa"/>
            <w:vAlign w:val="bottom"/>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13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Associated Allowance</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13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Associated Allowance</w:t>
            </w:r>
          </w:p>
        </w:tc>
        <w:tc>
          <w:tcPr>
            <w:tcW w:w="0" w:type="dxa"/>
            <w:vAlign w:val="bottom"/>
          </w:tcPr>
          <w:p>
            <w:pPr>
              <w:spacing w:after="0"/>
              <w:rPr>
                <w:sz w:val="1"/>
                <w:szCs w:val="1"/>
                <w:color w:val="auto"/>
              </w:rPr>
            </w:pPr>
          </w:p>
        </w:tc>
      </w:tr>
      <w:tr>
        <w:trPr>
          <w:trHeight w:val="173"/>
        </w:trPr>
        <w:tc>
          <w:tcPr>
            <w:tcW w:w="3320" w:type="dxa"/>
            <w:vAlign w:val="bottom"/>
            <w:gridSpan w:val="2"/>
            <w:vMerge w:val="continue"/>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Collateral Dependent</w:t>
            </w:r>
          </w:p>
        </w:tc>
        <w:tc>
          <w:tcPr>
            <w:tcW w:w="12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Collateral Dependent</w:t>
            </w:r>
          </w:p>
        </w:tc>
        <w:tc>
          <w:tcPr>
            <w:tcW w:w="12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0" w:type="dxa"/>
            <w:vAlign w:val="bottom"/>
          </w:tcPr>
          <w:p>
            <w:pPr>
              <w:spacing w:after="0"/>
              <w:rPr>
                <w:sz w:val="1"/>
                <w:szCs w:val="1"/>
                <w:color w:val="auto"/>
              </w:rPr>
            </w:pPr>
          </w:p>
        </w:tc>
      </w:tr>
      <w:tr>
        <w:trPr>
          <w:trHeight w:val="142"/>
        </w:trPr>
        <w:tc>
          <w:tcPr>
            <w:tcW w:w="32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11,305</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4,793</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11,039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3,507</w:t>
            </w:r>
          </w:p>
        </w:tc>
        <w:tc>
          <w:tcPr>
            <w:tcW w:w="0" w:type="dxa"/>
            <w:vAlign w:val="bottom"/>
          </w:tcPr>
          <w:p>
            <w:pPr>
              <w:spacing w:after="0"/>
              <w:rPr>
                <w:sz w:val="1"/>
                <w:szCs w:val="1"/>
                <w:color w:val="auto"/>
              </w:rPr>
            </w:pPr>
          </w:p>
        </w:tc>
      </w:tr>
      <w:tr>
        <w:trPr>
          <w:trHeight w:val="148"/>
        </w:trPr>
        <w:tc>
          <w:tcPr>
            <w:tcW w:w="3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47,773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5,954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3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11,109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2,362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332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367</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42"/>
        </w:trPr>
        <w:tc>
          <w:tcPr>
            <w:tcW w:w="332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70,599</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13,476</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37,122</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3,838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Loan Restructurings</w:t>
      </w:r>
    </w:p>
    <w:p>
      <w:pPr>
        <w:spacing w:after="0" w:line="229" w:lineRule="exact"/>
        <w:rPr>
          <w:sz w:val="20"/>
          <w:szCs w:val="20"/>
          <w:color w:val="auto"/>
        </w:rPr>
      </w:pPr>
    </w:p>
    <w:p>
      <w:pPr>
        <w:jc w:val="both"/>
        <w:ind w:left="60" w:right="60"/>
        <w:spacing w:after="0" w:line="256" w:lineRule="auto"/>
        <w:rPr>
          <w:sz w:val="20"/>
          <w:szCs w:val="20"/>
          <w:color w:val="auto"/>
        </w:rPr>
      </w:pPr>
      <w:r>
        <w:rPr>
          <w:rFonts w:ascii="Times New Roman" w:cs="Times New Roman" w:eastAsia="Times New Roman" w:hAnsi="Times New Roman"/>
          <w:sz w:val="18"/>
          <w:szCs w:val="18"/>
          <w:color w:val="auto"/>
        </w:rPr>
        <w:t>The Company applies the loan refinancing and restructuring guidance to determine whether a modification or other form of restructuring results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87" w:lineRule="exact"/>
        <w:rPr>
          <w:sz w:val="20"/>
          <w:szCs w:val="20"/>
          <w:color w:val="auto"/>
        </w:rPr>
      </w:pPr>
    </w:p>
    <w:p>
      <w:pPr>
        <w:jc w:val="both"/>
        <w:ind w:left="60" w:right="80"/>
        <w:spacing w:after="0" w:line="282" w:lineRule="auto"/>
        <w:rPr>
          <w:sz w:val="20"/>
          <w:szCs w:val="20"/>
          <w:color w:val="auto"/>
        </w:rPr>
      </w:pPr>
      <w:r>
        <w:rPr>
          <w:rFonts w:ascii="Times New Roman" w:cs="Times New Roman" w:eastAsia="Times New Roman" w:hAnsi="Times New Roman"/>
          <w:sz w:val="18"/>
          <w:szCs w:val="18"/>
          <w:color w:val="auto"/>
        </w:rPr>
        <w:t>The following tables present loans modified to borrowers experiencing financial difficulty, disaggregated by loan category and type of concession granted during the three and nine months ended September 30, 2026 and 2025:</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16"/>
          </w:tcPr>
          <w:p>
            <w:pPr>
              <w:ind w:left="460"/>
              <w:spacing w:after="0"/>
              <w:rPr>
                <w:sz w:val="20"/>
                <w:szCs w:val="20"/>
                <w:color w:val="auto"/>
              </w:rPr>
            </w:pPr>
            <w:r>
              <w:rPr>
                <w:rFonts w:ascii="Times New Roman" w:cs="Times New Roman" w:eastAsia="Times New Roman" w:hAnsi="Times New Roman"/>
                <w:sz w:val="13"/>
                <w:szCs w:val="13"/>
                <w:b w:val="1"/>
                <w:bCs w:val="1"/>
                <w:color w:val="auto"/>
                <w:w w:val="99"/>
              </w:rPr>
              <w:t>For the Three Months Ended September 30, 2026</w:t>
            </w: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95"/>
        </w:trPr>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Significant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r>
      <w:tr>
        <w:trPr>
          <w:trHeight w:val="155"/>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92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 xml:space="preserve">​​​Reduction </w:t>
            </w:r>
            <w:r>
              <w:rPr>
                <w:rFonts w:ascii="Times New Roman" w:cs="Times New Roman" w:eastAsia="Times New Roman" w:hAnsi="Times New Roman"/>
                <w:sz w:val="13"/>
                <w:szCs w:val="13"/>
                <w:color w:val="auto"/>
              </w:rPr>
              <w:t>​​​</w:t>
            </w: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Extension</w:t>
            </w:r>
          </w:p>
        </w:tc>
        <w:tc>
          <w:tcPr>
            <w:tcW w:w="20" w:type="dxa"/>
            <w:vAlign w:val="bottom"/>
          </w:tcPr>
          <w:p>
            <w:pPr>
              <w:spacing w:after="0"/>
              <w:rPr>
                <w:sz w:val="13"/>
                <w:szCs w:val="13"/>
                <w:color w:val="auto"/>
              </w:rPr>
            </w:pPr>
          </w:p>
        </w:tc>
        <w:tc>
          <w:tcPr>
            <w:tcW w:w="220" w:type="dxa"/>
            <w:vAlign w:val="bottom"/>
            <w:gridSpan w:val="3"/>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3"/>
                <w:szCs w:val="13"/>
                <w:color w:val="auto"/>
              </w:rPr>
            </w:pPr>
          </w:p>
        </w:tc>
        <w:tc>
          <w:tcPr>
            <w:tcW w:w="200" w:type="dxa"/>
            <w:vAlign w:val="bottom"/>
            <w:gridSpan w:val="3"/>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3"/>
                <w:szCs w:val="13"/>
                <w:color w:val="auto"/>
              </w:rPr>
            </w:pPr>
          </w:p>
        </w:tc>
        <w:tc>
          <w:tcPr>
            <w:tcW w:w="800" w:type="dxa"/>
            <w:vAlign w:val="bottom"/>
            <w:gridSpan w:val="4"/>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 Reduction</w:t>
            </w:r>
          </w:p>
        </w:tc>
        <w:tc>
          <w:tcPr>
            <w:tcW w:w="20" w:type="dxa"/>
            <w:vAlign w:val="bottom"/>
          </w:tcPr>
          <w:p>
            <w:pPr>
              <w:spacing w:after="0"/>
              <w:rPr>
                <w:sz w:val="13"/>
                <w:szCs w:val="13"/>
                <w:color w:val="auto"/>
              </w:rPr>
            </w:pP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Reduction</w:t>
            </w: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84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Receivable</w:t>
            </w:r>
          </w:p>
        </w:tc>
      </w:tr>
      <w:tr>
        <w:trPr>
          <w:trHeight w:val="129"/>
        </w:trPr>
        <w:tc>
          <w:tcPr>
            <w:tcW w:w="25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2,500</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12,416</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b w:val="1"/>
                <w:bCs w:val="1"/>
                <w:color w:val="auto"/>
              </w:rPr>
              <w:t>— $</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14,916</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ind w:left="400"/>
              <w:spacing w:after="0" w:line="129" w:lineRule="exact"/>
              <w:rPr>
                <w:sz w:val="20"/>
                <w:szCs w:val="20"/>
                <w:color w:val="auto"/>
              </w:rPr>
            </w:pPr>
            <w:r>
              <w:rPr>
                <w:rFonts w:ascii="Times New Roman" w:cs="Times New Roman" w:eastAsia="Times New Roman" w:hAnsi="Times New Roman"/>
                <w:sz w:val="13"/>
                <w:szCs w:val="13"/>
                <w:b w:val="1"/>
                <w:bCs w:val="1"/>
                <w:color w:val="auto"/>
              </w:rPr>
              <w:t>0.4</w:t>
            </w:r>
          </w:p>
        </w:tc>
        <w:tc>
          <w:tcPr>
            <w:tcW w:w="12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r>
      <w:tr>
        <w:trPr>
          <w:trHeight w:val="135"/>
        </w:trPr>
        <w:tc>
          <w:tcPr>
            <w:tcW w:w="25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w w:val="96"/>
              </w:rPr>
              <w:t>Multifamily residential and residential mixed-use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31,651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4,868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36,519</w:t>
            </w:r>
          </w:p>
        </w:tc>
        <w:tc>
          <w:tcPr>
            <w:tcW w:w="740" w:type="dxa"/>
            <w:vAlign w:val="bottom"/>
            <w:gridSpan w:val="4"/>
          </w:tcPr>
          <w:p>
            <w:pPr>
              <w:ind w:left="540"/>
              <w:spacing w:after="0" w:line="135" w:lineRule="exact"/>
              <w:rPr>
                <w:sz w:val="20"/>
                <w:szCs w:val="20"/>
                <w:color w:val="auto"/>
              </w:rPr>
            </w:pPr>
            <w:r>
              <w:rPr>
                <w:rFonts w:ascii="Times New Roman" w:cs="Times New Roman" w:eastAsia="Times New Roman" w:hAnsi="Times New Roman"/>
                <w:sz w:val="13"/>
                <w:szCs w:val="13"/>
                <w:b w:val="1"/>
                <w:bCs w:val="1"/>
                <w:color w:val="auto"/>
              </w:rPr>
              <w:t>1.2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2,313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2,313</w:t>
            </w:r>
          </w:p>
        </w:tc>
        <w:tc>
          <w:tcPr>
            <w:tcW w:w="740" w:type="dxa"/>
            <w:vAlign w:val="bottom"/>
            <w:gridSpan w:val="4"/>
            <w:shd w:val="clear" w:color="auto" w:fill="CCEEFF"/>
          </w:tcPr>
          <w:p>
            <w:pPr>
              <w:ind w:left="540"/>
              <w:spacing w:after="0" w:line="135" w:lineRule="exact"/>
              <w:rPr>
                <w:sz w:val="20"/>
                <w:szCs w:val="20"/>
                <w:color w:val="auto"/>
              </w:rPr>
            </w:pPr>
            <w:r>
              <w:rPr>
                <w:rFonts w:ascii="Times New Roman" w:cs="Times New Roman" w:eastAsia="Times New Roman" w:hAnsi="Times New Roman"/>
                <w:sz w:val="13"/>
                <w:szCs w:val="13"/>
                <w:b w:val="1"/>
                <w:bCs w:val="1"/>
                <w:color w:val="auto"/>
              </w:rPr>
              <w:t>0.1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28"/>
        </w:trPr>
        <w:tc>
          <w:tcPr>
            <w:tcW w:w="25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2,500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44,067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7,181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bottom w:val="single" w:sz="8" w:color="auto"/>
            </w:tcBorders>
          </w:tcPr>
          <w:p>
            <w:pPr>
              <w:ind w:left="460"/>
              <w:spacing w:after="0" w:line="129" w:lineRule="exact"/>
              <w:rPr>
                <w:sz w:val="20"/>
                <w:szCs w:val="20"/>
                <w:color w:val="auto"/>
              </w:rPr>
            </w:pPr>
            <w:r>
              <w:rPr>
                <w:rFonts w:ascii="Times New Roman" w:cs="Times New Roman" w:eastAsia="Times New Roman" w:hAnsi="Times New Roman"/>
                <w:sz w:val="13"/>
                <w:szCs w:val="13"/>
                <w:b w:val="1"/>
                <w:bCs w:val="1"/>
                <w:color w:val="auto"/>
              </w:rPr>
              <w:t>— $</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53,748</w:t>
            </w:r>
          </w:p>
        </w:tc>
        <w:tc>
          <w:tcPr>
            <w:tcW w:w="860" w:type="dxa"/>
            <w:vAlign w:val="bottom"/>
            <w:gridSpan w:val="6"/>
          </w:tcPr>
          <w:p>
            <w:pPr>
              <w:ind w:left="5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0.5 %</w:t>
            </w: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6"/>
          </w:tcPr>
          <w:p>
            <w:pPr>
              <w:ind w:left="10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2025</w:t>
            </w: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r>
      <w:tr>
        <w:trPr>
          <w:trHeight w:val="155"/>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92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 xml:space="preserve">​​​Reduction </w:t>
            </w:r>
            <w:r>
              <w:rPr>
                <w:rFonts w:ascii="Times New Roman" w:cs="Times New Roman" w:eastAsia="Times New Roman" w:hAnsi="Times New Roman"/>
                <w:sz w:val="13"/>
                <w:szCs w:val="13"/>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Extension</w:t>
            </w:r>
          </w:p>
        </w:tc>
        <w:tc>
          <w:tcPr>
            <w:tcW w:w="20" w:type="dxa"/>
            <w:vAlign w:val="bottom"/>
          </w:tcPr>
          <w:p>
            <w:pPr>
              <w:spacing w:after="0"/>
              <w:rPr>
                <w:sz w:val="13"/>
                <w:szCs w:val="13"/>
                <w:color w:val="auto"/>
              </w:rPr>
            </w:pPr>
          </w:p>
        </w:tc>
        <w:tc>
          <w:tcPr>
            <w:tcW w:w="220" w:type="dxa"/>
            <w:vAlign w:val="bottom"/>
            <w:gridSpan w:val="3"/>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3"/>
                <w:szCs w:val="1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 Reduction</w:t>
            </w:r>
          </w:p>
        </w:tc>
        <w:tc>
          <w:tcPr>
            <w:tcW w:w="20" w:type="dxa"/>
            <w:vAlign w:val="bottom"/>
          </w:tcPr>
          <w:p>
            <w:pPr>
              <w:spacing w:after="0"/>
              <w:rPr>
                <w:sz w:val="13"/>
                <w:szCs w:val="13"/>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Reduction</w:t>
            </w: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84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Receivable</w:t>
            </w:r>
          </w:p>
        </w:tc>
      </w:tr>
      <w:tr>
        <w:trPr>
          <w:trHeight w:val="129"/>
        </w:trPr>
        <w:tc>
          <w:tcPr>
            <w:tcW w:w="25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1,050</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2,833</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700</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4,583</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ind w:left="380"/>
              <w:spacing w:after="0" w:line="129" w:lineRule="exact"/>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73"/>
              </w:rPr>
              <w:t>%</w:t>
            </w:r>
          </w:p>
        </w:tc>
      </w:tr>
      <w:tr>
        <w:trPr>
          <w:trHeight w:val="135"/>
        </w:trPr>
        <w:tc>
          <w:tcPr>
            <w:tcW w:w="25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w w:val="96"/>
              </w:rPr>
              <w:t>Multifamily residential and residential mixed-use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31,589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14,792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46,381</w:t>
            </w:r>
          </w:p>
        </w:tc>
        <w:tc>
          <w:tcPr>
            <w:tcW w:w="740" w:type="dxa"/>
            <w:vAlign w:val="bottom"/>
            <w:gridSpan w:val="4"/>
          </w:tcPr>
          <w:p>
            <w:pPr>
              <w:ind w:left="54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9,896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9,896</w:t>
            </w:r>
          </w:p>
        </w:tc>
        <w:tc>
          <w:tcPr>
            <w:tcW w:w="740" w:type="dxa"/>
            <w:vAlign w:val="bottom"/>
            <w:gridSpan w:val="4"/>
            <w:shd w:val="clear" w:color="auto" w:fill="CCEEFF"/>
          </w:tcPr>
          <w:p>
            <w:pPr>
              <w:ind w:left="54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28"/>
        </w:trPr>
        <w:tc>
          <w:tcPr>
            <w:tcW w:w="25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1,050</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12,729</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32,289</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gridSpan w:val="2"/>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14,792</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tcPr>
          <w:p>
            <w:pPr>
              <w:ind w:left="460"/>
              <w:spacing w:after="0" w:line="129"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60,860</w:t>
            </w:r>
          </w:p>
        </w:tc>
        <w:tc>
          <w:tcPr>
            <w:tcW w:w="20" w:type="dxa"/>
            <w:vAlign w:val="bottom"/>
            <w:tcBorders>
              <w:top w:val="single" w:sz="8" w:color="auto"/>
              <w:bottom w:val="single" w:sz="8" w:color="auto"/>
            </w:tcBorders>
          </w:tcPr>
          <w:p>
            <w:pPr>
              <w:spacing w:after="0"/>
              <w:rPr>
                <w:sz w:val="11"/>
                <w:szCs w:val="11"/>
                <w:color w:val="auto"/>
              </w:rPr>
            </w:pPr>
          </w:p>
        </w:tc>
        <w:tc>
          <w:tcPr>
            <w:tcW w:w="840" w:type="dxa"/>
            <w:vAlign w:val="bottom"/>
            <w:gridSpan w:val="5"/>
          </w:tcPr>
          <w:p>
            <w:pPr>
              <w:ind w:left="520"/>
              <w:spacing w:after="0" w:line="129" w:lineRule="exact"/>
              <w:rPr>
                <w:sz w:val="20"/>
                <w:szCs w:val="20"/>
                <w:color w:val="auto"/>
              </w:rPr>
            </w:pPr>
            <w:r>
              <w:rPr>
                <w:rFonts w:ascii="Times New Roman" w:cs="Times New Roman" w:eastAsia="Times New Roman" w:hAnsi="Times New Roman"/>
                <w:sz w:val="13"/>
                <w:szCs w:val="13"/>
                <w:color w:val="auto"/>
                <w:w w:val="98"/>
              </w:rPr>
              <w:t>0.6 %</w:t>
            </w: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17"/>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2026</w:t>
            </w: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95"/>
        </w:trPr>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Significant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r>
      <w:tr>
        <w:trPr>
          <w:trHeight w:val="155"/>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​​​Reduction</w:t>
            </w:r>
          </w:p>
        </w:tc>
        <w:tc>
          <w:tcPr>
            <w:tcW w:w="20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Extension</w:t>
            </w:r>
          </w:p>
        </w:tc>
        <w:tc>
          <w:tcPr>
            <w:tcW w:w="20" w:type="dxa"/>
            <w:vAlign w:val="bottom"/>
          </w:tcPr>
          <w:p>
            <w:pPr>
              <w:spacing w:after="0"/>
              <w:rPr>
                <w:sz w:val="13"/>
                <w:szCs w:val="13"/>
                <w:color w:val="auto"/>
              </w:rPr>
            </w:pPr>
          </w:p>
        </w:tc>
        <w:tc>
          <w:tcPr>
            <w:tcW w:w="220" w:type="dxa"/>
            <w:vAlign w:val="bottom"/>
            <w:gridSpan w:val="3"/>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3"/>
                <w:szCs w:val="13"/>
                <w:color w:val="auto"/>
              </w:rPr>
            </w:pPr>
          </w:p>
        </w:tc>
        <w:tc>
          <w:tcPr>
            <w:tcW w:w="200" w:type="dxa"/>
            <w:vAlign w:val="bottom"/>
            <w:gridSpan w:val="3"/>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3"/>
                <w:szCs w:val="13"/>
                <w:color w:val="auto"/>
              </w:rPr>
            </w:pPr>
          </w:p>
        </w:tc>
        <w:tc>
          <w:tcPr>
            <w:tcW w:w="800" w:type="dxa"/>
            <w:vAlign w:val="bottom"/>
            <w:gridSpan w:val="4"/>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 Reduction</w:t>
            </w:r>
          </w:p>
        </w:tc>
        <w:tc>
          <w:tcPr>
            <w:tcW w:w="20" w:type="dxa"/>
            <w:vAlign w:val="bottom"/>
          </w:tcPr>
          <w:p>
            <w:pPr>
              <w:spacing w:after="0"/>
              <w:rPr>
                <w:sz w:val="13"/>
                <w:szCs w:val="13"/>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Reduction</w:t>
            </w:r>
          </w:p>
        </w:tc>
        <w:tc>
          <w:tcPr>
            <w:tcW w:w="160" w:type="dxa"/>
            <w:vAlign w:val="bottom"/>
          </w:tcPr>
          <w:p>
            <w:pPr>
              <w:spacing w:after="0"/>
              <w:rPr>
                <w:sz w:val="13"/>
                <w:szCs w:val="13"/>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84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Receivable</w:t>
            </w:r>
          </w:p>
        </w:tc>
      </w:tr>
      <w:tr>
        <w:trPr>
          <w:trHeight w:val="128"/>
        </w:trPr>
        <w:tc>
          <w:tcPr>
            <w:tcW w:w="25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2,987</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12,611</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915</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622</w:t>
            </w: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17,135</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ind w:left="400"/>
              <w:spacing w:after="0" w:line="129" w:lineRule="exact"/>
              <w:rPr>
                <w:sz w:val="20"/>
                <w:szCs w:val="20"/>
                <w:color w:val="auto"/>
              </w:rPr>
            </w:pPr>
            <w:r>
              <w:rPr>
                <w:rFonts w:ascii="Times New Roman" w:cs="Times New Roman" w:eastAsia="Times New Roman" w:hAnsi="Times New Roman"/>
                <w:sz w:val="13"/>
                <w:szCs w:val="13"/>
                <w:b w:val="1"/>
                <w:bCs w:val="1"/>
                <w:color w:val="auto"/>
              </w:rPr>
              <w:t>0.4</w:t>
            </w:r>
          </w:p>
        </w:tc>
        <w:tc>
          <w:tcPr>
            <w:tcW w:w="12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r>
      <w:tr>
        <w:trPr>
          <w:trHeight w:val="135"/>
        </w:trPr>
        <w:tc>
          <w:tcPr>
            <w:tcW w:w="25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w w:val="96"/>
              </w:rPr>
              <w:t>Multifamily residential and residential mixed-use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79,423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9,443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88,866</w:t>
            </w:r>
          </w:p>
        </w:tc>
        <w:tc>
          <w:tcPr>
            <w:tcW w:w="740" w:type="dxa"/>
            <w:vAlign w:val="bottom"/>
            <w:gridSpan w:val="4"/>
          </w:tcPr>
          <w:p>
            <w:pPr>
              <w:ind w:left="540"/>
              <w:spacing w:after="0" w:line="135" w:lineRule="exact"/>
              <w:rPr>
                <w:sz w:val="20"/>
                <w:szCs w:val="20"/>
                <w:color w:val="auto"/>
              </w:rPr>
            </w:pPr>
            <w:r>
              <w:rPr>
                <w:rFonts w:ascii="Times New Roman" w:cs="Times New Roman" w:eastAsia="Times New Roman" w:hAnsi="Times New Roman"/>
                <w:sz w:val="13"/>
                <w:szCs w:val="13"/>
                <w:b w:val="1"/>
                <w:bCs w:val="1"/>
                <w:color w:val="auto"/>
              </w:rPr>
              <w:t>3.0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2,313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2,313</w:t>
            </w:r>
          </w:p>
        </w:tc>
        <w:tc>
          <w:tcPr>
            <w:tcW w:w="740" w:type="dxa"/>
            <w:vAlign w:val="bottom"/>
            <w:gridSpan w:val="4"/>
            <w:shd w:val="clear" w:color="auto" w:fill="CCEEFF"/>
          </w:tcPr>
          <w:p>
            <w:pPr>
              <w:ind w:left="540"/>
              <w:spacing w:after="0" w:line="135" w:lineRule="exact"/>
              <w:rPr>
                <w:sz w:val="20"/>
                <w:szCs w:val="20"/>
                <w:color w:val="auto"/>
              </w:rPr>
            </w:pPr>
            <w:r>
              <w:rPr>
                <w:rFonts w:ascii="Times New Roman" w:cs="Times New Roman" w:eastAsia="Times New Roman" w:hAnsi="Times New Roman"/>
                <w:sz w:val="13"/>
                <w:szCs w:val="13"/>
                <w:b w:val="1"/>
                <w:bCs w:val="1"/>
                <w:color w:val="auto"/>
              </w:rPr>
              <w:t>0.1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28"/>
        </w:trPr>
        <w:tc>
          <w:tcPr>
            <w:tcW w:w="25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2,987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92,034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12,671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622</w:t>
            </w: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108,314</w:t>
            </w:r>
          </w:p>
        </w:tc>
        <w:tc>
          <w:tcPr>
            <w:tcW w:w="860" w:type="dxa"/>
            <w:vAlign w:val="bottom"/>
            <w:gridSpan w:val="6"/>
          </w:tcPr>
          <w:p>
            <w:pPr>
              <w:ind w:left="5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1.0 %</w:t>
            </w: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7"/>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2025</w:t>
            </w: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Significant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r>
      <w:tr>
        <w:trPr>
          <w:trHeight w:val="155"/>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​​​Reduction</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Extension</w:t>
            </w:r>
          </w:p>
        </w:tc>
        <w:tc>
          <w:tcPr>
            <w:tcW w:w="20" w:type="dxa"/>
            <w:vAlign w:val="bottom"/>
          </w:tcPr>
          <w:p>
            <w:pPr>
              <w:spacing w:after="0"/>
              <w:rPr>
                <w:sz w:val="13"/>
                <w:szCs w:val="13"/>
                <w:color w:val="auto"/>
              </w:rPr>
            </w:pPr>
          </w:p>
        </w:tc>
        <w:tc>
          <w:tcPr>
            <w:tcW w:w="220" w:type="dxa"/>
            <w:vAlign w:val="bottom"/>
            <w:gridSpan w:val="3"/>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3"/>
                <w:szCs w:val="1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 Reduction</w:t>
            </w:r>
          </w:p>
        </w:tc>
        <w:tc>
          <w:tcPr>
            <w:tcW w:w="20" w:type="dxa"/>
            <w:vAlign w:val="bottom"/>
          </w:tcPr>
          <w:p>
            <w:pPr>
              <w:spacing w:after="0"/>
              <w:rPr>
                <w:sz w:val="13"/>
                <w:szCs w:val="13"/>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Reduction</w:t>
            </w:r>
          </w:p>
        </w:tc>
        <w:tc>
          <w:tcPr>
            <w:tcW w:w="16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84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Receivable</w:t>
            </w:r>
          </w:p>
        </w:tc>
      </w:tr>
      <w:tr>
        <w:trPr>
          <w:trHeight w:val="128"/>
        </w:trPr>
        <w:tc>
          <w:tcPr>
            <w:tcW w:w="25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1,050</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2,833</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1,197</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13,692</w:t>
            </w:r>
          </w:p>
        </w:tc>
        <w:tc>
          <w:tcPr>
            <w:tcW w:w="1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18,772</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ind w:left="380"/>
              <w:spacing w:after="0" w:line="129" w:lineRule="exact"/>
              <w:rPr>
                <w:sz w:val="20"/>
                <w:szCs w:val="20"/>
                <w:color w:val="auto"/>
              </w:rPr>
            </w:pPr>
            <w:r>
              <w:rPr>
                <w:rFonts w:ascii="Times New Roman" w:cs="Times New Roman" w:eastAsia="Times New Roman" w:hAnsi="Times New Roman"/>
                <w:sz w:val="13"/>
                <w:szCs w:val="13"/>
                <w:color w:val="auto"/>
              </w:rPr>
              <w:t>0.6</w:t>
            </w:r>
          </w:p>
        </w:tc>
        <w:tc>
          <w:tcPr>
            <w:tcW w:w="1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73"/>
              </w:rPr>
              <w:t>%</w:t>
            </w:r>
          </w:p>
        </w:tc>
      </w:tr>
      <w:tr>
        <w:trPr>
          <w:trHeight w:val="135"/>
        </w:trPr>
        <w:tc>
          <w:tcPr>
            <w:tcW w:w="25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w w:val="96"/>
              </w:rPr>
              <w:t>Multifamily residential and residential mixed-use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59,196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14,792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73,988</w:t>
            </w:r>
          </w:p>
        </w:tc>
        <w:tc>
          <w:tcPr>
            <w:tcW w:w="740" w:type="dxa"/>
            <w:vAlign w:val="bottom"/>
            <w:gridSpan w:val="4"/>
          </w:tcPr>
          <w:p>
            <w:pPr>
              <w:ind w:left="540"/>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9,896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16,720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14,761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41,377</w:t>
            </w:r>
          </w:p>
        </w:tc>
        <w:tc>
          <w:tcPr>
            <w:tcW w:w="740" w:type="dxa"/>
            <w:vAlign w:val="bottom"/>
            <w:gridSpan w:val="4"/>
            <w:shd w:val="clear" w:color="auto" w:fill="CCEEFF"/>
          </w:tcPr>
          <w:p>
            <w:pPr>
              <w:ind w:left="54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29"/>
        </w:trPr>
        <w:tc>
          <w:tcPr>
            <w:tcW w:w="25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1,050</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12,729</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77,113</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gridSpan w:val="2"/>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29,553</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13,692</w:t>
            </w: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134,137</w:t>
            </w:r>
          </w:p>
        </w:tc>
        <w:tc>
          <w:tcPr>
            <w:tcW w:w="20" w:type="dxa"/>
            <w:vAlign w:val="bottom"/>
            <w:tcBorders>
              <w:top w:val="single" w:sz="8" w:color="auto"/>
              <w:bottom w:val="single" w:sz="8" w:color="auto"/>
            </w:tcBorders>
          </w:tcPr>
          <w:p>
            <w:pPr>
              <w:spacing w:after="0"/>
              <w:rPr>
                <w:sz w:val="11"/>
                <w:szCs w:val="11"/>
                <w:color w:val="auto"/>
              </w:rPr>
            </w:pPr>
          </w:p>
        </w:tc>
        <w:tc>
          <w:tcPr>
            <w:tcW w:w="840" w:type="dxa"/>
            <w:vAlign w:val="bottom"/>
            <w:gridSpan w:val="5"/>
          </w:tcPr>
          <w:p>
            <w:pPr>
              <w:ind w:left="520"/>
              <w:spacing w:after="0" w:line="129" w:lineRule="exact"/>
              <w:rPr>
                <w:sz w:val="20"/>
                <w:szCs w:val="20"/>
                <w:color w:val="auto"/>
              </w:rPr>
            </w:pPr>
            <w:r>
              <w:rPr>
                <w:rFonts w:ascii="Times New Roman" w:cs="Times New Roman" w:eastAsia="Times New Roman" w:hAnsi="Times New Roman"/>
                <w:sz w:val="13"/>
                <w:szCs w:val="13"/>
                <w:color w:val="auto"/>
                <w:w w:val="98"/>
              </w:rPr>
              <w:t>1.3 %</w:t>
            </w: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describe the financial effect of the modifications made to borrowers experiencing financial difficulty as of the dates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7"/>
          </w:tcPr>
          <w:p>
            <w:pPr>
              <w:jc w:val="center"/>
              <w:ind w:right="208"/>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12"/>
                <w:szCs w:val="12"/>
                <w:color w:val="auto"/>
              </w:rPr>
            </w:pPr>
          </w:p>
        </w:tc>
        <w:tc>
          <w:tcPr>
            <w:tcW w:w="3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4"/>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5"/>
            <w:vMerge w:val="continue"/>
          </w:tcPr>
          <w:p>
            <w:pPr>
              <w:spacing w:after="0"/>
              <w:rPr>
                <w:sz w:val="15"/>
                <w:szCs w:val="15"/>
                <w:color w:val="auto"/>
              </w:rPr>
            </w:pPr>
          </w:p>
        </w:tc>
        <w:tc>
          <w:tcPr>
            <w:tcW w:w="1300" w:type="dxa"/>
            <w:vAlign w:val="bottom"/>
            <w:gridSpan w:val="4"/>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20" w:type="dxa"/>
            <w:vAlign w:val="bottom"/>
          </w:tcPr>
          <w:p>
            <w:pPr>
              <w:spacing w:after="0"/>
              <w:rPr>
                <w:sz w:val="15"/>
                <w:szCs w:val="15"/>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8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244</w:t>
            </w:r>
          </w:p>
        </w:tc>
        <w:tc>
          <w:tcPr>
            <w:tcW w:w="0" w:type="dxa"/>
            <w:vAlign w:val="bottom"/>
          </w:tcPr>
          <w:p>
            <w:pPr>
              <w:spacing w:after="0"/>
              <w:rPr>
                <w:sz w:val="1"/>
                <w:szCs w:val="1"/>
                <w:color w:val="auto"/>
              </w:rPr>
            </w:pPr>
          </w:p>
        </w:tc>
      </w:tr>
      <w:tr>
        <w:trPr>
          <w:trHeight w:val="148"/>
        </w:trPr>
        <w:tc>
          <w:tcPr>
            <w:tcW w:w="4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4"/>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384</w:t>
            </w:r>
          </w:p>
        </w:tc>
        <w:tc>
          <w:tcPr>
            <w:tcW w:w="0" w:type="dxa"/>
            <w:vAlign w:val="bottom"/>
          </w:tcPr>
          <w:p>
            <w:pPr>
              <w:spacing w:after="0"/>
              <w:rPr>
                <w:sz w:val="1"/>
                <w:szCs w:val="1"/>
                <w:color w:val="auto"/>
              </w:rPr>
            </w:pPr>
          </w:p>
        </w:tc>
      </w:tr>
      <w:tr>
        <w:trPr>
          <w:trHeight w:val="149"/>
        </w:trPr>
        <w:tc>
          <w:tcPr>
            <w:tcW w:w="48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70</w:t>
            </w:r>
          </w:p>
        </w:tc>
        <w:tc>
          <w:tcPr>
            <w:tcW w:w="0" w:type="dxa"/>
            <w:vAlign w:val="bottom"/>
          </w:tcPr>
          <w:p>
            <w:pPr>
              <w:spacing w:after="0"/>
              <w:rPr>
                <w:sz w:val="1"/>
                <w:szCs w:val="1"/>
                <w:color w:val="auto"/>
              </w:rPr>
            </w:pPr>
          </w:p>
        </w:tc>
      </w:tr>
      <w:tr>
        <w:trPr>
          <w:trHeight w:val="378"/>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11"/>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7"/>
          </w:tcPr>
          <w:p>
            <w:pPr>
              <w:jc w:val="center"/>
              <w:ind w:right="208"/>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12"/>
                <w:szCs w:val="12"/>
                <w:color w:val="auto"/>
              </w:rPr>
            </w:pPr>
          </w:p>
        </w:tc>
        <w:tc>
          <w:tcPr>
            <w:tcW w:w="3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4"/>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5"/>
            <w:vMerge w:val="continue"/>
          </w:tcPr>
          <w:p>
            <w:pPr>
              <w:spacing w:after="0"/>
              <w:rPr>
                <w:sz w:val="15"/>
                <w:szCs w:val="15"/>
                <w:color w:val="auto"/>
              </w:rPr>
            </w:pPr>
          </w:p>
        </w:tc>
        <w:tc>
          <w:tcPr>
            <w:tcW w:w="1300" w:type="dxa"/>
            <w:vAlign w:val="bottom"/>
            <w:gridSpan w:val="4"/>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20" w:type="dxa"/>
            <w:vAlign w:val="bottom"/>
          </w:tcPr>
          <w:p>
            <w:pPr>
              <w:spacing w:after="0"/>
              <w:rPr>
                <w:sz w:val="15"/>
                <w:szCs w:val="15"/>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8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w:t>
            </w:r>
          </w:p>
        </w:tc>
        <w:tc>
          <w:tcPr>
            <w:tcW w:w="30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49"/>
        </w:trPr>
        <w:tc>
          <w:tcPr>
            <w:tcW w:w="4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8"/>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11"/>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gridSpan w:val="6"/>
          </w:tcPr>
          <w:p>
            <w:pPr>
              <w:jc w:val="center"/>
              <w:ind w:right="208"/>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12"/>
                <w:szCs w:val="12"/>
                <w:color w:val="auto"/>
              </w:rPr>
            </w:pPr>
          </w:p>
        </w:tc>
        <w:tc>
          <w:tcPr>
            <w:tcW w:w="30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4"/>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5"/>
            <w:vMerge w:val="continue"/>
          </w:tcPr>
          <w:p>
            <w:pPr>
              <w:spacing w:after="0"/>
              <w:rPr>
                <w:sz w:val="15"/>
                <w:szCs w:val="15"/>
                <w:color w:val="auto"/>
              </w:rPr>
            </w:pPr>
          </w:p>
        </w:tc>
        <w:tc>
          <w:tcPr>
            <w:tcW w:w="1300" w:type="dxa"/>
            <w:vAlign w:val="bottom"/>
            <w:gridSpan w:val="4"/>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20" w:type="dxa"/>
            <w:vAlign w:val="bottom"/>
          </w:tcPr>
          <w:p>
            <w:pPr>
              <w:spacing w:after="0"/>
              <w:rPr>
                <w:sz w:val="15"/>
                <w:szCs w:val="15"/>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8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w:t>
            </w:r>
          </w:p>
        </w:tc>
        <w:tc>
          <w:tcPr>
            <w:tcW w:w="280" w:type="dxa"/>
            <w:vAlign w:val="bottom"/>
            <w:tcBorders>
              <w:top w:val="single" w:sz="8" w:color="CCEEFF"/>
            </w:tcBorders>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257</w:t>
            </w:r>
          </w:p>
        </w:tc>
        <w:tc>
          <w:tcPr>
            <w:tcW w:w="0" w:type="dxa"/>
            <w:vAlign w:val="bottom"/>
          </w:tcPr>
          <w:p>
            <w:pPr>
              <w:spacing w:after="0"/>
              <w:rPr>
                <w:sz w:val="1"/>
                <w:szCs w:val="1"/>
                <w:color w:val="auto"/>
              </w:rPr>
            </w:pPr>
          </w:p>
        </w:tc>
      </w:tr>
      <w:tr>
        <w:trPr>
          <w:trHeight w:val="149"/>
        </w:trPr>
        <w:tc>
          <w:tcPr>
            <w:tcW w:w="4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4"/>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419</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70</w:t>
            </w:r>
          </w:p>
        </w:tc>
        <w:tc>
          <w:tcPr>
            <w:tcW w:w="0" w:type="dxa"/>
            <w:vAlign w:val="bottom"/>
          </w:tcPr>
          <w:p>
            <w:pPr>
              <w:spacing w:after="0"/>
              <w:rPr>
                <w:sz w:val="1"/>
                <w:szCs w:val="1"/>
                <w:color w:val="auto"/>
              </w:rPr>
            </w:pPr>
          </w:p>
        </w:tc>
      </w:tr>
      <w:tr>
        <w:trPr>
          <w:trHeight w:val="378"/>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11"/>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5"/>
          </w:tcPr>
          <w:p>
            <w:pPr>
              <w:jc w:val="center"/>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4"/>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300" w:type="dxa"/>
            <w:vAlign w:val="bottom"/>
            <w:gridSpan w:val="4"/>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20" w:type="dxa"/>
            <w:vAlign w:val="bottom"/>
          </w:tcPr>
          <w:p>
            <w:pPr>
              <w:spacing w:after="0"/>
              <w:rPr>
                <w:sz w:val="15"/>
                <w:szCs w:val="15"/>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8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w:t>
            </w:r>
          </w:p>
        </w:tc>
        <w:tc>
          <w:tcPr>
            <w:tcW w:w="22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9"/>
        </w:trPr>
        <w:tc>
          <w:tcPr>
            <w:tcW w:w="4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0.90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monitors the performance of loans modified to borrowers experiencing financial difficulty to understand the effectiveness of its modification efforts. The following tables describe the performance of loans that have been modified during the past 12 months.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30-59</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60-89</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90+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240" w:type="dxa"/>
            <w:vAlign w:val="bottom"/>
            <w:gridSpan w:val="3"/>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300" w:type="dxa"/>
            <w:vAlign w:val="bottom"/>
            <w:gridSpan w:val="7"/>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 xml:space="preserve">​​​Non-Accrual  </w:t>
            </w:r>
            <w:r>
              <w:rPr>
                <w:rFonts w:ascii="Times New Roman" w:cs="Times New Roman" w:eastAsia="Times New Roman" w:hAnsi="Times New Roman"/>
                <w:sz w:val="14"/>
                <w:szCs w:val="14"/>
                <w:color w:val="auto"/>
              </w:rPr>
              <w:t>​​​</w:t>
            </w: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980" w:type="dxa"/>
            <w:vAlign w:val="bottom"/>
            <w:gridSpan w:val="2"/>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240" w:type="dxa"/>
            <w:vAlign w:val="bottom"/>
            <w:gridSpan w:val="3"/>
            <w:vMerge w:val="continue"/>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240" w:type="dxa"/>
            <w:vAlign w:val="bottom"/>
            <w:gridSpan w:val="3"/>
            <w:vMerge w:val="continue"/>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Due</w:t>
            </w:r>
          </w:p>
        </w:tc>
        <w:tc>
          <w:tcPr>
            <w:tcW w:w="1300" w:type="dxa"/>
            <w:vAlign w:val="bottom"/>
            <w:gridSpan w:val="7"/>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2,523</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gridSpan w:val="2"/>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gridSpan w:val="2"/>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gridSpan w:val="2"/>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14,635</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17,158</w:t>
            </w: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41,094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47,772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88,866</w:t>
            </w:r>
          </w:p>
        </w:tc>
        <w:tc>
          <w:tcPr>
            <w:tcW w:w="0" w:type="dxa"/>
            <w:vAlign w:val="bottom"/>
          </w:tcPr>
          <w:p>
            <w:pPr>
              <w:spacing w:after="0"/>
              <w:rPr>
                <w:sz w:val="1"/>
                <w:szCs w:val="1"/>
                <w:color w:val="auto"/>
              </w:rPr>
            </w:pPr>
          </w:p>
        </w:tc>
      </w:tr>
      <w:tr>
        <w:trPr>
          <w:trHeight w:val="149"/>
        </w:trPr>
        <w:tc>
          <w:tcPr>
            <w:tcW w:w="29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2,313</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2,313</w:t>
            </w: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45,930</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gridSpan w:val="2"/>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gridSpan w:val="2"/>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gridSpan w:val="2"/>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62,407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108,337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30-59</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60-89</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90+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24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300" w:type="dxa"/>
            <w:vAlign w:val="bottom"/>
            <w:gridSpan w:val="7"/>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 xml:space="preserve">​​​Non-Accrual  </w:t>
            </w:r>
            <w:r>
              <w:rPr>
                <w:rFonts w:ascii="Times New Roman" w:cs="Times New Roman" w:eastAsia="Times New Roman" w:hAnsi="Times New Roman"/>
                <w:sz w:val="14"/>
                <w:szCs w:val="14"/>
                <w:color w:val="auto"/>
              </w:rPr>
              <w:t>​​​</w:t>
            </w: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980" w:type="dxa"/>
            <w:vAlign w:val="bottom"/>
            <w:gridSpan w:val="2"/>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Due</w:t>
            </w:r>
          </w:p>
        </w:tc>
        <w:tc>
          <w:tcPr>
            <w:tcW w:w="240" w:type="dxa"/>
            <w:vAlign w:val="bottom"/>
            <w:gridSpan w:val="3"/>
            <w:vMerge w:val="continue"/>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Due</w:t>
            </w:r>
          </w:p>
        </w:tc>
        <w:tc>
          <w:tcPr>
            <w:tcW w:w="240" w:type="dxa"/>
            <w:vAlign w:val="bottom"/>
            <w:gridSpan w:val="3"/>
            <w:vMerge w:val="continue"/>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300" w:type="dxa"/>
            <w:vAlign w:val="bottom"/>
            <w:gridSpan w:val="7"/>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20,962</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gridSpan w:val="2"/>
            <w:shd w:val="clear" w:color="auto" w:fill="CCEEFF"/>
          </w:tcPr>
          <w:p>
            <w:pPr>
              <w:jc w:val="right"/>
              <w:ind w:right="10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1,272</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22,405</w:t>
            </w:r>
          </w:p>
        </w:tc>
        <w:tc>
          <w:tcPr>
            <w:tcW w:w="0" w:type="dxa"/>
            <w:vAlign w:val="bottom"/>
          </w:tcPr>
          <w:p>
            <w:pPr>
              <w:spacing w:after="0"/>
              <w:rPr>
                <w:sz w:val="1"/>
                <w:szCs w:val="1"/>
                <w:color w:val="auto"/>
              </w:rPr>
            </w:pPr>
          </w:p>
        </w:tc>
      </w:tr>
      <w:tr>
        <w:trPr>
          <w:trHeight w:val="149"/>
        </w:trPr>
        <w:tc>
          <w:tcPr>
            <w:tcW w:w="2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46,381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27,607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73,988</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9,896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31,481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41,377</w:t>
            </w: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77,239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27,778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gridSpan w:val="2"/>
          </w:tcPr>
          <w:p>
            <w:pPr>
              <w:jc w:val="right"/>
              <w:ind w:right="10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32,753</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4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137,770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September 30, 2026, there were nine multifamily loans and seven business loans totaling $62.4 million that were modified to borrowers experiencing financial difficulty during the prior 12 months that are on non-accrual status. As of September 30, 2025, there were three business loans and two non-owner-occupied commercial loans totaling $32.8 million that were modified to borrowers experiencing financial difficulty during the prior 12 months that are on non-accrual status. Non-accrual loans that are modified to borrowers experiencing financial difficulty remain on non-accrual status until the borrower has demonstrated performance under the modified terms.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Quality Indicators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structure, loan documentation, public information, and current economic trends, among other factors. The Company analyzes loans individually by classifying them based on credit risk. The Company uses the following definitions for risk ratings:</w:t>
      </w:r>
    </w:p>
    <w:p>
      <w:pPr>
        <w:spacing w:after="0" w:line="178" w:lineRule="exact"/>
        <w:rPr>
          <w:sz w:val="20"/>
          <w:szCs w:val="20"/>
          <w:color w:val="auto"/>
        </w:rPr>
      </w:pPr>
    </w:p>
    <w:p>
      <w:pPr>
        <w:jc w:val="both"/>
        <w:ind w:left="60" w:right="59" w:firstLine="3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Special Mention. </w:t>
      </w:r>
      <w:r>
        <w:rPr>
          <w:rFonts w:ascii="Times New Roman" w:cs="Times New Roman" w:eastAsia="Times New Roman" w:hAnsi="Times New Roman"/>
          <w:sz w:val="18"/>
          <w:szCs w:val="18"/>
          <w:color w:val="auto"/>
        </w:rPr>
        <w:t>Loans classified as special mention have a potential weakness that deserves management’s 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attention. If left uncorrected, these potential weaknesses may result in deterioration of the repayment prospects for the loan or of the Bank’s credit position at some future date.</w:t>
      </w:r>
    </w:p>
    <w:p>
      <w:pPr>
        <w:spacing w:after="0" w:line="173"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Substandard. </w:t>
      </w:r>
      <w:r>
        <w:rPr>
          <w:rFonts w:ascii="Times New Roman" w:cs="Times New Roman" w:eastAsia="Times New Roman" w:hAnsi="Times New Roman"/>
          <w:sz w:val="18"/>
          <w:szCs w:val="18"/>
          <w:color w:val="auto"/>
        </w:rPr>
        <w:t>Loans classified as substandard are inadequately protected by the current net worth and paying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obligor or of the collateral pledged, if any. Loans so classified have a well-defined weakness or weaknesses that jeopardize the liquidation of the debt. They are characterized by the distinct possibility that the Bank will sustain some loss if the deficiencies are not corrected.</w:t>
      </w:r>
    </w:p>
    <w:p>
      <w:pPr>
        <w:spacing w:after="0" w:line="180" w:lineRule="exact"/>
        <w:rPr>
          <w:sz w:val="20"/>
          <w:szCs w:val="20"/>
          <w:color w:val="auto"/>
        </w:rPr>
      </w:pPr>
    </w:p>
    <w:p>
      <w:pPr>
        <w:jc w:val="both"/>
        <w:ind w:left="60" w:right="59" w:firstLine="3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Doubtful. </w:t>
      </w:r>
      <w:r>
        <w:rPr>
          <w:rFonts w:ascii="Times New Roman" w:cs="Times New Roman" w:eastAsia="Times New Roman" w:hAnsi="Times New Roman"/>
          <w:sz w:val="18"/>
          <w:szCs w:val="18"/>
          <w:color w:val="auto"/>
        </w:rPr>
        <w:t>Loans classified as doubtful have all the weaknesses inherent in those classified as substandard,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added characteristic that the weaknesses make collection or liquidation in full, on the basis of then existing facts, conditions, and values, highly questionable and improbable.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credit risk profile of loans by internally assigned grade as of the periods indicated, the years represent the year of origination for non-revolving loans: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08"/>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2021 and</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Revolving-</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55"/>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10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Prior</w:t>
            </w:r>
          </w:p>
        </w:tc>
        <w:tc>
          <w:tcPr>
            <w:tcW w:w="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10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Term</w:t>
            </w:r>
          </w:p>
        </w:tc>
        <w:tc>
          <w:tcPr>
            <w:tcW w:w="12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27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r>
      <w:tr>
        <w:trPr>
          <w:trHeight w:val="135"/>
        </w:trPr>
        <w:tc>
          <w:tcPr>
            <w:tcW w:w="27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572,118</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436,355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288,431</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181,426</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279,751</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524,046</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1,531,775</w:t>
            </w:r>
          </w:p>
        </w:tc>
        <w:tc>
          <w:tcPr>
            <w:tcW w:w="6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99,765</w:t>
            </w:r>
          </w:p>
        </w:tc>
        <w:tc>
          <w:tcPr>
            <w:tcW w:w="8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3,913,667</w:t>
            </w:r>
          </w:p>
        </w:tc>
      </w:tr>
      <w:tr>
        <w:trPr>
          <w:trHeight w:val="135"/>
        </w:trPr>
        <w:tc>
          <w:tcPr>
            <w:tcW w:w="27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1,529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4,897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3,202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13,048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34,830</w:t>
            </w:r>
          </w:p>
        </w:tc>
      </w:tr>
      <w:tr>
        <w:trPr>
          <w:trHeight w:val="135"/>
        </w:trPr>
        <w:tc>
          <w:tcPr>
            <w:tcW w:w="27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23,952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43,664</w:t>
            </w:r>
          </w:p>
        </w:tc>
      </w:tr>
      <w:tr>
        <w:trPr>
          <w:trHeight w:val="135"/>
        </w:trPr>
        <w:tc>
          <w:tcPr>
            <w:tcW w:w="27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28"/>
        </w:trPr>
        <w:tc>
          <w:tcPr>
            <w:tcW w:w="278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business loans</w:t>
            </w: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572,118</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436,488</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290,644</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182,161</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285,714</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552,803</w:t>
            </w:r>
          </w:p>
        </w:tc>
        <w:tc>
          <w:tcPr>
            <w:tcW w:w="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1,536,079</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136,765</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3,992,772</w:t>
            </w:r>
          </w:p>
        </w:tc>
      </w:tr>
      <w:tr>
        <w:trPr>
          <w:trHeight w:val="128"/>
        </w:trPr>
        <w:tc>
          <w:tcPr>
            <w:tcW w:w="27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2,384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2,887</w:t>
            </w: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17"/>
        </w:trPr>
        <w:tc>
          <w:tcPr>
            <w:tcW w:w="278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 coop/condo</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apartment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35"/>
        </w:trPr>
        <w:tc>
          <w:tcPr>
            <w:tcW w:w="27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184,349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155,875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111,334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130,364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178,925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328,489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19,044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8,562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1,116,942</w:t>
            </w:r>
          </w:p>
        </w:tc>
      </w:tr>
      <w:tr>
        <w:trPr>
          <w:trHeight w:val="135"/>
        </w:trPr>
        <w:tc>
          <w:tcPr>
            <w:tcW w:w="27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259</w:t>
            </w:r>
          </w:p>
        </w:tc>
      </w:tr>
      <w:tr>
        <w:trPr>
          <w:trHeight w:val="135"/>
        </w:trPr>
        <w:tc>
          <w:tcPr>
            <w:tcW w:w="27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4,878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7,370</w:t>
            </w:r>
          </w:p>
        </w:tc>
      </w:tr>
      <w:tr>
        <w:trPr>
          <w:trHeight w:val="135"/>
        </w:trPr>
        <w:tc>
          <w:tcPr>
            <w:tcW w:w="27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78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one-to-four family residential and coop/condo</w:t>
            </w: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apartment</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184,349</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155,875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111,334</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130,623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179,410</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333,367</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19,513</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10,100</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1,124,571</w:t>
            </w:r>
          </w:p>
        </w:tc>
      </w:tr>
      <w:tr>
        <w:trPr>
          <w:trHeight w:val="129"/>
        </w:trPr>
        <w:tc>
          <w:tcPr>
            <w:tcW w:w="27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43,523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54,623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17,704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219,701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1,065,677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1,344,216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2,750,719</w:t>
            </w:r>
          </w:p>
        </w:tc>
      </w:tr>
      <w:tr>
        <w:trPr>
          <w:trHeight w:val="135"/>
        </w:trPr>
        <w:tc>
          <w:tcPr>
            <w:tcW w:w="27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78,462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80,238</w:t>
            </w:r>
          </w:p>
        </w:tc>
      </w:tr>
      <w:tr>
        <w:trPr>
          <w:trHeight w:val="135"/>
        </w:trPr>
        <w:tc>
          <w:tcPr>
            <w:tcW w:w="27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28,032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93,004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121,036</w:t>
            </w:r>
          </w:p>
        </w:tc>
      </w:tr>
      <w:tr>
        <w:trPr>
          <w:trHeight w:val="135"/>
        </w:trPr>
        <w:tc>
          <w:tcPr>
            <w:tcW w:w="27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78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multifamily residential and residential mixed-</w:t>
            </w: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use</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43,523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56,399</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17,704</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219,701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1,093,709</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1,515,682</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4,156</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2,951,993</w:t>
            </w:r>
          </w:p>
        </w:tc>
      </w:tr>
      <w:tr>
        <w:trPr>
          <w:trHeight w:val="129"/>
        </w:trPr>
        <w:tc>
          <w:tcPr>
            <w:tcW w:w="27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20,556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20,556</w:t>
            </w: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103,752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91,705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54,045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196,666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595,283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1,520,696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6,794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2,584,544</w:t>
            </w:r>
          </w:p>
        </w:tc>
      </w:tr>
      <w:tr>
        <w:trPr>
          <w:trHeight w:val="135"/>
        </w:trPr>
        <w:tc>
          <w:tcPr>
            <w:tcW w:w="27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5,955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25,622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85,826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117,403</w:t>
            </w:r>
          </w:p>
        </w:tc>
      </w:tr>
      <w:tr>
        <w:trPr>
          <w:trHeight w:val="135"/>
        </w:trPr>
        <w:tc>
          <w:tcPr>
            <w:tcW w:w="27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13,346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38,282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51,628</w:t>
            </w:r>
          </w:p>
        </w:tc>
      </w:tr>
      <w:tr>
        <w:trPr>
          <w:trHeight w:val="135"/>
        </w:trPr>
        <w:tc>
          <w:tcPr>
            <w:tcW w:w="27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78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non-owner-occupied commercial real estate</w:t>
            </w: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109,707</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91,705</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54,045</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196,666</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634,251</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1,644,804</w:t>
            </w:r>
          </w:p>
        </w:tc>
        <w:tc>
          <w:tcPr>
            <w:tcW w:w="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6,794</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15,603</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2,753,575</w:t>
            </w:r>
          </w:p>
        </w:tc>
      </w:tr>
      <w:tr>
        <w:trPr>
          <w:trHeight w:val="129"/>
        </w:trPr>
        <w:tc>
          <w:tcPr>
            <w:tcW w:w="27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5,256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5,256</w:t>
            </w: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ADC:</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24,771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38,395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3,655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88,175</w:t>
            </w:r>
          </w:p>
        </w:tc>
      </w:tr>
      <w:tr>
        <w:trPr>
          <w:trHeight w:val="135"/>
        </w:trPr>
        <w:tc>
          <w:tcPr>
            <w:tcW w:w="27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7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w:t>
            </w:r>
          </w:p>
        </w:tc>
      </w:tr>
      <w:tr>
        <w:trPr>
          <w:trHeight w:val="135"/>
        </w:trPr>
        <w:tc>
          <w:tcPr>
            <w:tcW w:w="27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78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ADC</w:t>
            </w: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24,771</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38,395</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15,814</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3,655</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420</w:t>
            </w:r>
          </w:p>
        </w:tc>
        <w:tc>
          <w:tcPr>
            <w:tcW w:w="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3,003</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2,529</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88,587</w:t>
            </w:r>
          </w:p>
        </w:tc>
      </w:tr>
      <w:tr>
        <w:trPr>
          <w:trHeight w:val="128"/>
        </w:trPr>
        <w:tc>
          <w:tcPr>
            <w:tcW w:w="27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928,513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776,953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487,328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728,157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2,123,291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3,717,867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1,561,735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130,203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10,454,047</w:t>
            </w:r>
          </w:p>
        </w:tc>
      </w:tr>
      <w:tr>
        <w:trPr>
          <w:trHeight w:val="135"/>
        </w:trPr>
        <w:tc>
          <w:tcPr>
            <w:tcW w:w="27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5,955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1,529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30,519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176,009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3,202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13,048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232,730</w:t>
            </w:r>
          </w:p>
        </w:tc>
      </w:tr>
      <w:tr>
        <w:trPr>
          <w:trHeight w:val="135"/>
        </w:trPr>
        <w:tc>
          <w:tcPr>
            <w:tcW w:w="27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42,929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152,589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1,571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25,902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224,110</w:t>
            </w:r>
          </w:p>
        </w:tc>
      </w:tr>
      <w:tr>
        <w:trPr>
          <w:trHeight w:val="135"/>
        </w:trPr>
        <w:tc>
          <w:tcPr>
            <w:tcW w:w="27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69"/>
        </w:trPr>
        <w:tc>
          <w:tcPr>
            <w:tcW w:w="278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934,468</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778,862</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489,541</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729,151</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2,196,739</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4,047,076</w:t>
            </w:r>
          </w:p>
        </w:tc>
        <w:tc>
          <w:tcPr>
            <w:tcW w:w="8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1,566,508</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169,153</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10,911,498</w:t>
            </w:r>
          </w:p>
        </w:tc>
      </w:tr>
      <w:tr>
        <w:trPr>
          <w:trHeight w:val="115"/>
        </w:trPr>
        <w:tc>
          <w:tcPr>
            <w:tcW w:w="2780" w:type="dxa"/>
            <w:vAlign w:val="bottom"/>
            <w:tcBorders>
              <w:bottom w:val="single" w:sz="8" w:color="CCEEFF"/>
            </w:tcBorders>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152</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98</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26,018</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47</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2,384</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28,699</w:t>
            </w:r>
          </w:p>
        </w:tc>
      </w:tr>
      <w:tr>
        <w:trPr>
          <w:trHeight w:val="20"/>
        </w:trPr>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08"/>
        </w:trPr>
        <w:tc>
          <w:tcPr>
            <w:tcW w:w="2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2020 and</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Revolving-</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5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10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Prior</w:t>
            </w:r>
          </w:p>
        </w:tc>
        <w:tc>
          <w:tcPr>
            <w:tcW w:w="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10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Term</w:t>
            </w:r>
          </w:p>
        </w:tc>
        <w:tc>
          <w:tcPr>
            <w:tcW w:w="80" w:type="dxa"/>
            <w:vAlign w:val="bottom"/>
          </w:tcPr>
          <w:p>
            <w:pPr>
              <w:spacing w:after="0"/>
              <w:rPr>
                <w:sz w:val="13"/>
                <w:szCs w:val="13"/>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266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444,515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320,751</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212,384</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302,778</w:t>
            </w:r>
          </w:p>
        </w:tc>
        <w:tc>
          <w:tcPr>
            <w:tcW w:w="16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182,244</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408,711</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1,170,533</w:t>
            </w:r>
          </w:p>
        </w:tc>
        <w:tc>
          <w:tcPr>
            <w:tcW w:w="6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96,748</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3,138,664</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2,856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15,143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20,428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7,822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2,457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49,078</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2,944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3,669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7,611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4,320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22,841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52,083</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28"/>
        </w:trPr>
        <w:tc>
          <w:tcPr>
            <w:tcW w:w="274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business loans</w:t>
            </w: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444,515</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320,943</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215,593</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309,303</w:t>
            </w: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204,998</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440,363</w:t>
            </w:r>
          </w:p>
        </w:tc>
        <w:tc>
          <w:tcPr>
            <w:tcW w:w="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1,182,675</w:t>
            </w: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122,046</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3,240,436</w:t>
            </w:r>
          </w:p>
        </w:tc>
      </w:tr>
      <w:tr>
        <w:trPr>
          <w:trHeight w:val="128"/>
        </w:trPr>
        <w:tc>
          <w:tcPr>
            <w:tcW w:w="2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1,492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4,296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1,313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7,706</w:t>
            </w: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17"/>
        </w:trPr>
        <w:tc>
          <w:tcPr>
            <w:tcW w:w="274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 coop/condo</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apartment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170,056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125,945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145,449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192,988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91,910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270,964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23,035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1,028,945</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291</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4,542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6,567</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74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one-to-four family residential and coop/condo</w:t>
            </w: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apartment</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170,056</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125,945</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145,712</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193,462</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91,910</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275,534</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23,687</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9,497</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1,035,803</w:t>
            </w:r>
          </w:p>
        </w:tc>
      </w:tr>
      <w:tr>
        <w:trPr>
          <w:trHeight w:val="128"/>
        </w:trPr>
        <w:tc>
          <w:tcPr>
            <w:tcW w:w="2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54,958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21,186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229,634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1,127,686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536,029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1,211,361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4,748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3,190,307</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1,824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7,214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15,963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111,626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136,627</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20,821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73,698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97,588</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74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multifamily residential and residential mixed-</w:t>
            </w: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use</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56,782</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21,186</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229,634</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1,155,721</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555,061</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1,396,685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4,748</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3,424,522</w:t>
            </w:r>
          </w:p>
        </w:tc>
      </w:tr>
      <w:tr>
        <w:trPr>
          <w:trHeight w:val="128"/>
        </w:trPr>
        <w:tc>
          <w:tcPr>
            <w:tcW w:w="2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w:t>
            </w: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95,771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54,625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202,035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695,850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573,086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1,157,080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2,802,316</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92,057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92,694</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16,471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21,530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38,001</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74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non-owner-occupied commercial real estate</w:t>
            </w: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95,771</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54,625</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202,035</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695,850</w:t>
            </w: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590,194</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1,270,667</w:t>
            </w:r>
          </w:p>
        </w:tc>
        <w:tc>
          <w:tcPr>
            <w:tcW w:w="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7,908</w:t>
            </w: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15,961</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2,933,011</w:t>
            </w:r>
          </w:p>
        </w:tc>
      </w:tr>
      <w:tr>
        <w:trPr>
          <w:trHeight w:val="129"/>
        </w:trPr>
        <w:tc>
          <w:tcPr>
            <w:tcW w:w="2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23,644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1,824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25,468</w:t>
            </w: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ADC:</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28,379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41,151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6,075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4,805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15,345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2,141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116,803</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74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ADC</w:t>
            </w: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28,379</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18,907</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41,151</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6,075</w:t>
            </w: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4,805</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15,345</w:t>
            </w: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2,553</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117,215</w:t>
            </w:r>
          </w:p>
        </w:tc>
      </w:tr>
      <w:tr>
        <w:trPr>
          <w:trHeight w:val="128"/>
        </w:trPr>
        <w:tc>
          <w:tcPr>
            <w:tcW w:w="2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793,679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541,414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830,653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2,325,377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1,388,074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3,048,116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1,221,569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128,153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10,277,035</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1,824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10,070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31,743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224,139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7,822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2,457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278,690</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2,944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24,964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27,151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110,383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4,972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24,152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194,651</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69"/>
        </w:trPr>
        <w:tc>
          <w:tcPr>
            <w:tcW w:w="274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795,503</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541,606</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834,125</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2,360,411</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1,446,968</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3,383,249</w:t>
            </w:r>
          </w:p>
        </w:tc>
        <w:tc>
          <w:tcPr>
            <w:tcW w:w="8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1,234,363</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154,762</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10,750,987</w:t>
            </w:r>
          </w:p>
        </w:tc>
      </w:tr>
      <w:tr>
        <w:trPr>
          <w:trHeight w:val="115"/>
        </w:trPr>
        <w:tc>
          <w:tcPr>
            <w:tcW w:w="2740" w:type="dxa"/>
            <w:vAlign w:val="bottom"/>
            <w:tcBorders>
              <w:bottom w:val="single" w:sz="8" w:color="CCEEFF"/>
            </w:tcBorders>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1,492</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605</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23,757</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6,120</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1,313</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33,287</w:t>
            </w:r>
          </w:p>
        </w:tc>
      </w:tr>
      <w:tr>
        <w:trPr>
          <w:trHeight w:val="20"/>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other loans, the Company evaluates credit quality based on payment activity. Other loans that are 90 days or more past due are placed on non-accrual status, while all remaining other loans are classified and evaluated as performing. The following is a summary of the credit risk profile of other loans by internally assigned grade:</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December 31, 2025</w:t>
            </w:r>
          </w:p>
        </w:tc>
      </w:tr>
      <w:tr>
        <w:trPr>
          <w:trHeight w:val="202"/>
        </w:trPr>
        <w:tc>
          <w:tcPr>
            <w:tcW w:w="20" w:type="dxa"/>
            <w:vAlign w:val="bottom"/>
          </w:tcPr>
          <w:p>
            <w:pPr>
              <w:spacing w:after="0"/>
              <w:rPr>
                <w:sz w:val="17"/>
                <w:szCs w:val="17"/>
                <w:color w:val="auto"/>
              </w:rPr>
            </w:pPr>
          </w:p>
        </w:tc>
        <w:tc>
          <w:tcPr>
            <w:tcW w:w="4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Performing</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8,668</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6,558</w:t>
            </w:r>
          </w:p>
        </w:tc>
      </w:tr>
      <w:tr>
        <w:trPr>
          <w:trHeight w:val="202"/>
        </w:trPr>
        <w:tc>
          <w:tcPr>
            <w:tcW w:w="20" w:type="dxa"/>
            <w:vAlign w:val="bottom"/>
          </w:tcPr>
          <w:p>
            <w:pPr>
              <w:spacing w:after="0"/>
              <w:rPr>
                <w:sz w:val="17"/>
                <w:szCs w:val="17"/>
                <w:color w:val="auto"/>
              </w:rPr>
            </w:pPr>
          </w:p>
        </w:tc>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Non-accrual</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0" w:type="dxa"/>
            <w:vAlign w:val="bottom"/>
          </w:tcPr>
          <w:p>
            <w:pPr>
              <w:spacing w:after="0"/>
              <w:rPr>
                <w:sz w:val="17"/>
                <w:szCs w:val="17"/>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8,668</w:t>
            </w: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6,558</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ind w:left="60" w:right="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remaining maturities of undiscounted lease payments, as well as a reconciliation to the discounted operating lease liabilities in the Consolidated Statements of Financial Condition at September 30, 2026:</w:t>
      </w:r>
    </w:p>
    <w:p>
      <w:pPr>
        <w:spacing w:after="0" w:line="84" w:lineRule="exact"/>
        <w:rPr>
          <w:sz w:val="20"/>
          <w:szCs w:val="20"/>
          <w:color w:val="auto"/>
        </w:rPr>
      </w:pPr>
    </w:p>
    <w:tbl>
      <w:tblPr>
        <w:tblLayout w:type="fixed"/>
        <w:tblInd w:w="940" w:type="dxa"/>
        <w:tblCellMar>
          <w:top w:w="0" w:type="dxa"/>
          <w:left w:w="0" w:type="dxa"/>
          <w:bottom w:w="0" w:type="dxa"/>
          <w:right w:w="0" w:type="dxa"/>
        </w:tblCellMar>
      </w:tblPr>
      <w:tr>
        <w:trPr>
          <w:trHeight w:val="212"/>
        </w:trPr>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400" w:type="dxa"/>
            <w:vAlign w:val="bottom"/>
            <w:tcBorders>
              <w:top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w:t>
            </w: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15,881</w:t>
            </w: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9,604</w:t>
            </w: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7,064</w:t>
            </w: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5,313</w:t>
            </w:r>
          </w:p>
        </w:tc>
      </w:tr>
      <w:tr>
        <w:trPr>
          <w:trHeight w:val="203"/>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9,720</w:t>
            </w: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51,732</w:t>
            </w: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(4,898)</w:t>
            </w: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46,834</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leases was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2"/>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4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3,855</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2,934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11,411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10,275</w:t>
            </w:r>
          </w:p>
        </w:tc>
        <w:tc>
          <w:tcPr>
            <w:tcW w:w="0" w:type="dxa"/>
            <w:vAlign w:val="bottom"/>
          </w:tcPr>
          <w:p>
            <w:pPr>
              <w:spacing w:after="0"/>
              <w:rPr>
                <w:sz w:val="1"/>
                <w:szCs w:val="1"/>
                <w:color w:val="auto"/>
              </w:rPr>
            </w:pPr>
          </w:p>
        </w:tc>
      </w:tr>
      <w:tr>
        <w:trPr>
          <w:trHeight w:val="189"/>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3,931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11,639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10,203</w:t>
            </w: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80" w:type="dxa"/>
            <w:vAlign w:val="bottom"/>
          </w:tcPr>
          <w:p>
            <w:pPr>
              <w:spacing w:after="0"/>
              <w:rPr>
                <w:sz w:val="24"/>
                <w:szCs w:val="24"/>
                <w:color w:val="auto"/>
              </w:rPr>
            </w:pPr>
          </w:p>
        </w:tc>
        <w:tc>
          <w:tcPr>
            <w:tcW w:w="182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0" w:type="dxa"/>
            <w:vAlign w:val="bottom"/>
          </w:tcPr>
          <w:p>
            <w:pPr>
              <w:spacing w:after="0"/>
              <w:rPr>
                <w:sz w:val="1"/>
                <w:szCs w:val="1"/>
                <w:color w:val="auto"/>
              </w:rPr>
            </w:pPr>
          </w:p>
        </w:tc>
      </w:tr>
      <w:tr>
        <w:trPr>
          <w:trHeight w:val="202"/>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4.6 years</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 years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3.75 %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3.18 %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DERIVATIVES AND HEDGING ACTIVITIES</w:t>
      </w:r>
    </w:p>
    <w:p>
      <w:pPr>
        <w:spacing w:after="0" w:line="229" w:lineRule="exact"/>
        <w:rPr>
          <w:sz w:val="20"/>
          <w:szCs w:val="20"/>
          <w:color w:val="auto"/>
        </w:rPr>
      </w:pPr>
    </w:p>
    <w:p>
      <w:pPr>
        <w:jc w:val="both"/>
        <w:ind w:left="60" w:right="60"/>
        <w:spacing w:after="0" w:line="254"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loan portfolio.</w:t>
      </w:r>
    </w:p>
    <w:p>
      <w:pPr>
        <w:spacing w:after="0" w:line="188" w:lineRule="exact"/>
        <w:rPr>
          <w:sz w:val="20"/>
          <w:szCs w:val="20"/>
          <w:color w:val="auto"/>
        </w:rPr>
      </w:pPr>
    </w:p>
    <w:p>
      <w:pPr>
        <w:jc w:val="both"/>
        <w:ind w:left="60" w:right="60"/>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The Company engages in fair value hedges, cash flow hedges and freestanding derivatives.</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Effect of Derivatives on the Consolidated Statements of Financial Condition</w:t>
      </w:r>
    </w:p>
    <w:p>
      <w:pPr>
        <w:spacing w:after="0" w:line="22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tables below present the notional amounts and fair values of the Company’s derivative financial instruments as of September 30, 2026 and December 31, 2025.</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86"/>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40" w:type="dxa"/>
            <w:vAlign w:val="bottom"/>
          </w:tcPr>
          <w:p>
            <w:pPr>
              <w:spacing w:after="0"/>
              <w:rPr>
                <w:sz w:val="16"/>
                <w:szCs w:val="16"/>
                <w:color w:val="auto"/>
              </w:rPr>
            </w:pPr>
          </w:p>
        </w:tc>
      </w:tr>
      <w:tr>
        <w:trPr>
          <w:trHeight w:val="212"/>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Assets</w:t>
            </w:r>
          </w:p>
        </w:tc>
      </w:tr>
      <w:tr>
        <w:trPr>
          <w:trHeight w:val="202"/>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hedges - interest rate products</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40" w:type="dxa"/>
            <w:vAlign w:val="bottom"/>
          </w:tcPr>
          <w:p>
            <w:pPr>
              <w:spacing w:after="0"/>
              <w:rPr>
                <w:sz w:val="17"/>
                <w:szCs w:val="17"/>
                <w:color w:val="auto"/>
              </w:rPr>
            </w:pPr>
          </w:p>
        </w:tc>
      </w:tr>
      <w:tr>
        <w:trPr>
          <w:trHeight w:val="203"/>
        </w:trPr>
        <w:tc>
          <w:tcPr>
            <w:tcW w:w="4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1,656,699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99,304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1,655,545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73,557</w:t>
            </w:r>
          </w:p>
        </w:tc>
        <w:tc>
          <w:tcPr>
            <w:tcW w:w="40" w:type="dxa"/>
            <w:vAlign w:val="bottom"/>
          </w:tcPr>
          <w:p>
            <w:pPr>
              <w:spacing w:after="0"/>
              <w:rPr>
                <w:sz w:val="17"/>
                <w:szCs w:val="17"/>
                <w:color w:val="auto"/>
              </w:rPr>
            </w:pPr>
          </w:p>
        </w:tc>
      </w:tr>
      <w:tr>
        <w:trPr>
          <w:trHeight w:val="426"/>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86"/>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40" w:type="dxa"/>
            <w:vAlign w:val="bottom"/>
          </w:tcPr>
          <w:p>
            <w:pPr>
              <w:spacing w:after="0"/>
              <w:rPr>
                <w:sz w:val="16"/>
                <w:szCs w:val="16"/>
                <w:color w:val="auto"/>
              </w:rPr>
            </w:pPr>
          </w:p>
        </w:tc>
      </w:tr>
      <w:tr>
        <w:trPr>
          <w:trHeight w:val="212"/>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r>
      <w:tr>
        <w:trPr>
          <w:trHeight w:val="202"/>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hedges - interest rate products</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17"/>
                <w:szCs w:val="17"/>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 - interest rate products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1,656,699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99,304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1,655,545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73,557</w:t>
            </w:r>
          </w:p>
        </w:tc>
        <w:tc>
          <w:tcPr>
            <w:tcW w:w="40" w:type="dxa"/>
            <w:vAlign w:val="bottom"/>
          </w:tcPr>
          <w:p>
            <w:pPr>
              <w:spacing w:after="0"/>
              <w:rPr>
                <w:sz w:val="17"/>
                <w:szCs w:val="17"/>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120,628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156,730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17"/>
                <w:szCs w:val="17"/>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Effect of Fair Value and Cash Flow Hedge Accounting on the Consolidated Statements of Operations</w:t>
      </w:r>
    </w:p>
    <w:p>
      <w:pPr>
        <w:spacing w:after="0" w:line="22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operations for the three and nine months ended September 30, 2026 and 2025.</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9"/>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40" w:type="dxa"/>
            <w:vAlign w:val="bottom"/>
            <w:tcBorders>
              <w:bottom w:val="single" w:sz="8" w:color="auto"/>
            </w:tcBorders>
          </w:tcPr>
          <w:p>
            <w:pPr>
              <w:spacing w:after="0"/>
              <w:rPr>
                <w:sz w:val="18"/>
                <w:szCs w:val="18"/>
                <w:color w:val="auto"/>
              </w:rPr>
            </w:pPr>
          </w:p>
        </w:tc>
      </w:tr>
      <w:tr>
        <w:trPr>
          <w:trHeight w:val="199"/>
        </w:trPr>
        <w:tc>
          <w:tcPr>
            <w:tcW w:w="4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bottom w:val="single" w:sz="8" w:color="auto"/>
            </w:tcBorders>
          </w:tcPr>
          <w:p>
            <w:pPr>
              <w:spacing w:after="0"/>
              <w:rPr>
                <w:sz w:val="17"/>
                <w:szCs w:val="17"/>
                <w:color w:val="auto"/>
              </w:rPr>
            </w:pPr>
          </w:p>
        </w:tc>
      </w:tr>
      <w:tr>
        <w:trPr>
          <w:trHeight w:val="180"/>
        </w:trPr>
        <w:tc>
          <w:tcPr>
            <w:tcW w:w="4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500"/>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5"/>
                <w:szCs w:val="15"/>
                <w:color w:val="auto"/>
              </w:rPr>
            </w:pPr>
          </w:p>
        </w:tc>
        <w:tc>
          <w:tcPr>
            <w:tcW w:w="74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740" w:type="dxa"/>
            <w:vAlign w:val="bottom"/>
          </w:tcPr>
          <w:p>
            <w:pPr>
              <w:jc w:val="right"/>
              <w:ind w:right="79"/>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r>
      <w:tr>
        <w:trPr>
          <w:trHeight w:val="21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2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Expense</w:t>
            </w:r>
          </w:p>
        </w:tc>
      </w:tr>
      <w:tr>
        <w:trPr>
          <w:trHeight w:val="199"/>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fair value or cash flow hedges are recorded</w:t>
            </w: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w:t>
            </w:r>
          </w:p>
        </w:tc>
      </w:tr>
      <w:tr>
        <w:trPr>
          <w:trHeight w:val="203"/>
        </w:trPr>
        <w:tc>
          <w:tcPr>
            <w:tcW w:w="4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effects of fair value and cash flow hedging:</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or (loss) on fair value hedging relationships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Hedged items</w:t>
            </w:r>
          </w:p>
        </w:tc>
        <w:tc>
          <w:tcPr>
            <w:tcW w:w="2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(450)</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4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or (loss) on cash flow hedging relationships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Amount reclassified from AOCI into income</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99"/>
        </w:trPr>
        <w:tc>
          <w:tcPr>
            <w:tcW w:w="4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7"/>
                <w:szCs w:val="17"/>
                <w:color w:val="auto"/>
              </w:rPr>
            </w:pPr>
          </w:p>
        </w:tc>
      </w:tr>
      <w:tr>
        <w:trPr>
          <w:trHeight w:val="180"/>
        </w:trPr>
        <w:tc>
          <w:tcPr>
            <w:tcW w:w="4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480"/>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5"/>
                <w:szCs w:val="15"/>
                <w:color w:val="auto"/>
              </w:rPr>
            </w:pPr>
          </w:p>
        </w:tc>
        <w:tc>
          <w:tcPr>
            <w:tcW w:w="76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5"/>
                <w:szCs w:val="15"/>
                <w:color w:val="auto"/>
              </w:rPr>
            </w:pPr>
          </w:p>
        </w:tc>
        <w:tc>
          <w:tcPr>
            <w:tcW w:w="760" w:type="dxa"/>
            <w:vAlign w:val="bottom"/>
          </w:tcPr>
          <w:p>
            <w:pPr>
              <w:jc w:val="right"/>
              <w:ind w:right="79"/>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r>
      <w:tr>
        <w:trPr>
          <w:trHeight w:val="21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Expense</w:t>
            </w:r>
          </w:p>
        </w:tc>
      </w:tr>
      <w:tr>
        <w:trPr>
          <w:trHeight w:val="199"/>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fair value or cash flow hedges are recorded</w:t>
            </w: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w:t>
            </w:r>
          </w:p>
        </w:tc>
      </w:tr>
      <w:tr>
        <w:trPr>
          <w:trHeight w:val="203"/>
        </w:trPr>
        <w:tc>
          <w:tcPr>
            <w:tcW w:w="4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effects of fair value and cash flow hedging:</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or (loss) on fair value hedging relationships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Hedged items</w:t>
            </w:r>
          </w:p>
        </w:tc>
        <w:tc>
          <w:tcPr>
            <w:tcW w:w="2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(2,674)</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(2,211)</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or (loss) on cash flow hedging relationships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Amount reclassified from AOCI into income</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Hedges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uses fair value hedges to protect against changes in fair value of certain interest rate sensitive assets. Interest rate swaps designated as fair value hedges involve the payment of fixed-rate amounts to a counterparty in exchange for the Company receiving variable-rate payments over the life of the agreements without the exchange of the underlying notional amount.</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derivatives designated and that qualify as fair value hedges, the gain or loss on the derivative as well as the offsetting loss or gain on the hedged item attributable to the hedged risk are recognized in interest income.</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received $2.0 million from the Chicago Mercantile Exchange (“CME”) clearing house related to the fair value derivatives settled daily to market. As of December 31, 2025, the Company posted $660 thousand to the CME clearing house related to fair value derivatives settled daily to market. The Company pays an average fixed rate of 3.42% and receives a floating rate based on the US federal funds effective rate for the life of the agreement without an exchange of the underlying notional amount.</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amortized cost basis of the closed portfolio of the fixed rate mortgage loans on September 30, 2026 totaled $631.9 million. The amount identified as the last-of-layer in the open hedge relationship was $350.0 million, which is the amount of loans in the closed portfolio anticipated to be outstanding for the designated hedge period. The basis adjustment associated with the hedge was a $2.0 million liability as of September 30, 2026, which would be allocated across the entire remaining closed pool upon termination or maturity of the hedged relationship.</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amortized cost basis of the closed portfolio of the fixed rate mortgage loans on December 31, 2025 totaled $666.9 million. The amount identified as the last-of-layer in the open hedge relationship was $350.0 million, which is the amount of loans in the closed portfolio anticipated to be outstanding for the designated hedge period. The basis adjustment associated with the hedge was a $663 thousand asset as of December 31, 2025, which would be allocated across the entire remaining closed pool upon termination or maturity of the hedged relationship.</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recorded credits of $219 thousand and $598 thousand, respectively, from the swap transactions as a component of interest income in the consolidated statements of operations. During the three and nine months ended September 30, 2025, the Company recorded debits of $21 thousand and $848 thousand, respectively, from the swap transactions as a component of interest income in the consolidated statements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following amounts were recorded on the consolidated statements of financial condition related to cumulative basis adjustment for fair value hedges: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5"/>
                <w:szCs w:val="15"/>
                <w:color w:val="auto"/>
              </w:rPr>
            </w:pPr>
          </w:p>
        </w:tc>
        <w:tc>
          <w:tcPr>
            <w:tcW w:w="26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Cumulative Amount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left="29"/>
              <w:spacing w:after="0" w:line="118" w:lineRule="exact"/>
              <w:rPr>
                <w:sz w:val="20"/>
                <w:szCs w:val="20"/>
                <w:color w:val="auto"/>
              </w:rPr>
            </w:pPr>
            <w:r>
              <w:rPr>
                <w:rFonts w:ascii="Times New Roman" w:cs="Times New Roman" w:eastAsia="Times New Roman" w:hAnsi="Times New Roman"/>
                <w:sz w:val="13"/>
                <w:szCs w:val="13"/>
                <w:b w:val="1"/>
                <w:bCs w:val="1"/>
                <w:color w:val="auto"/>
              </w:rPr>
              <w:t>Cumulative Amount</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Fair Value</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of Fair Value</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0" w:type="dxa"/>
            <w:vAlign w:val="bottom"/>
            <w:gridSpan w:val="2"/>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 of</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Included in the</w:t>
            </w: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 of</w:t>
            </w:r>
          </w:p>
        </w:tc>
        <w:tc>
          <w:tcPr>
            <w:tcW w:w="180" w:type="dxa"/>
            <w:vAlign w:val="bottom"/>
          </w:tcPr>
          <w:p>
            <w:pPr>
              <w:spacing w:after="0"/>
              <w:rPr>
                <w:sz w:val="12"/>
                <w:szCs w:val="12"/>
                <w:color w:val="auto"/>
              </w:rPr>
            </w:pPr>
          </w:p>
        </w:tc>
        <w:tc>
          <w:tcPr>
            <w:tcW w:w="12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Included in the</w:t>
            </w:r>
          </w:p>
        </w:tc>
        <w:tc>
          <w:tcPr>
            <w:tcW w:w="0" w:type="dxa"/>
            <w:vAlign w:val="bottom"/>
          </w:tcPr>
          <w:p>
            <w:pPr>
              <w:spacing w:after="0"/>
              <w:rPr>
                <w:sz w:val="1"/>
                <w:szCs w:val="1"/>
                <w:color w:val="auto"/>
              </w:rPr>
            </w:pPr>
          </w:p>
        </w:tc>
      </w:tr>
      <w:tr>
        <w:trPr>
          <w:trHeight w:val="148"/>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1380" w:type="dxa"/>
            <w:vAlign w:val="bottom"/>
            <w:gridSpan w:val="2"/>
            <w:vMerge w:val="continue"/>
          </w:tcPr>
          <w:p>
            <w:pPr>
              <w:spacing w:after="0"/>
              <w:rPr>
                <w:sz w:val="12"/>
                <w:szCs w:val="12"/>
                <w:color w:val="auto"/>
              </w:rPr>
            </w:pPr>
          </w:p>
        </w:tc>
        <w:tc>
          <w:tcPr>
            <w:tcW w:w="1400" w:type="dxa"/>
            <w:vAlign w:val="bottom"/>
            <w:gridSpan w:val="2"/>
          </w:tcPr>
          <w:p>
            <w:pPr>
              <w:jc w:val="center"/>
              <w:ind w:left="29"/>
              <w:spacing w:after="0" w:line="14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0" w:type="dxa"/>
            <w:vAlign w:val="bottom"/>
          </w:tcPr>
          <w:p>
            <w:pPr>
              <w:spacing w:after="0"/>
              <w:rPr>
                <w:sz w:val="1"/>
                <w:szCs w:val="1"/>
                <w:color w:val="auto"/>
              </w:rPr>
            </w:pPr>
          </w:p>
        </w:tc>
      </w:tr>
      <w:tr>
        <w:trPr>
          <w:trHeight w:val="173"/>
        </w:trPr>
        <w:tc>
          <w:tcPr>
            <w:tcW w:w="3020" w:type="dxa"/>
            <w:vAlign w:val="bottom"/>
            <w:vMerge w:val="continue"/>
          </w:tcPr>
          <w:p>
            <w:pPr>
              <w:spacing w:after="0"/>
              <w:rPr>
                <w:sz w:val="15"/>
                <w:szCs w:val="15"/>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the Hedged Assets</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100" w:type="dxa"/>
            <w:vAlign w:val="bottom"/>
          </w:tcPr>
          <w:p>
            <w:pPr>
              <w:spacing w:after="0"/>
              <w:rPr>
                <w:sz w:val="15"/>
                <w:szCs w:val="15"/>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180" w:type="dxa"/>
            <w:vAlign w:val="bottom"/>
          </w:tcPr>
          <w:p>
            <w:pPr>
              <w:spacing w:after="0"/>
              <w:rPr>
                <w:sz w:val="15"/>
                <w:szCs w:val="15"/>
                <w:color w:val="auto"/>
              </w:rPr>
            </w:pP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0" w:type="dxa"/>
            <w:vAlign w:val="bottom"/>
          </w:tcPr>
          <w:p>
            <w:pPr>
              <w:spacing w:after="0"/>
              <w:rPr>
                <w:sz w:val="1"/>
                <w:szCs w:val="1"/>
                <w:color w:val="auto"/>
              </w:rPr>
            </w:pPr>
          </w:p>
        </w:tc>
      </w:tr>
      <w:tr>
        <w:trPr>
          <w:trHeight w:val="142"/>
        </w:trPr>
        <w:tc>
          <w:tcPr>
            <w:tcW w:w="30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Fixed Rate Loans</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629,876</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ind w:left="720"/>
              <w:spacing w:after="0" w:line="142" w:lineRule="exact"/>
              <w:rPr>
                <w:sz w:val="20"/>
                <w:szCs w:val="20"/>
                <w:color w:val="auto"/>
              </w:rPr>
            </w:pPr>
            <w:r>
              <w:rPr>
                <w:rFonts w:ascii="Times New Roman" w:cs="Times New Roman" w:eastAsia="Times New Roman" w:hAnsi="Times New Roman"/>
                <w:sz w:val="14"/>
                <w:szCs w:val="14"/>
                <w:color w:val="auto"/>
              </w:rPr>
              <w:t>667,584</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Cash flow hedges involve the receipt of variable amounts from a counterparty in exchange for the Company making fixed-rate payments over the life of the agreements without exchange of the underlying notional amount. The Company uses these types of derivatives to hedge the variable cash flows associated with existing or forecasted issuances of short-term borrowings.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(loss) and subsequently reclassified into interest expense in the same periods during which the hedged transaction affects earnings. Amounts reported in accumulated other comprehensive income related to derivatives will be reclassified to interest expense as interest payments are made on the Company’s debt. During the next twelve months, the Company estimates that an additional $3.1 million will be reclassified as a decrease to interest expense.</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did not terminate any derivatives during the nine months ended September 30, 2026 or September 30, 2025,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the effect of the cash flow hedge accounting on accumulated other comprehensive income (loss)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periods indicated:</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580" w:type="dxa"/>
            <w:vAlign w:val="bottom"/>
            <w:gridSpan w:val="5"/>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 w:type="dxa"/>
            <w:vAlign w:val="bottom"/>
          </w:tcPr>
          <w:p>
            <w:pPr>
              <w:spacing w:after="0"/>
              <w:rPr>
                <w:sz w:val="17"/>
                <w:szCs w:val="17"/>
                <w:color w:val="auto"/>
              </w:rPr>
            </w:pP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 w:type="dxa"/>
            <w:vAlign w:val="bottom"/>
          </w:tcPr>
          <w:p>
            <w:pPr>
              <w:spacing w:after="0"/>
              <w:rPr>
                <w:sz w:val="17"/>
                <w:szCs w:val="17"/>
                <w:color w:val="auto"/>
              </w:rPr>
            </w:pPr>
          </w:p>
        </w:tc>
        <w:tc>
          <w:tcPr>
            <w:tcW w:w="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6"/>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recognized in other comprehensive income (loss)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3,611</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6,274</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(16,609)</w:t>
            </w:r>
          </w:p>
        </w:tc>
        <w:tc>
          <w:tcPr>
            <w:tcW w:w="0" w:type="dxa"/>
            <w:vAlign w:val="bottom"/>
          </w:tcPr>
          <w:p>
            <w:pPr>
              <w:spacing w:after="0"/>
              <w:rPr>
                <w:sz w:val="1"/>
                <w:szCs w:val="1"/>
                <w:color w:val="auto"/>
              </w:rPr>
            </w:pPr>
          </w:p>
        </w:tc>
      </w:tr>
      <w:tr>
        <w:trPr>
          <w:trHeight w:val="18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reclassified from other comprehensive income into interest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(2,077)</w:t>
            </w: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cash flow hedges are recorded gross on the Consolidated Statement of Financial Condition.</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Certain cash flow hedges involve derivative agreements with third-party counterparties that contain provisions requiring the Company to post cash collateral if the derivative exposure exceeds a threshold amount and receive collateral for agreements in a net asset position. As of September 30, 2026 and December 31, 2025, the Company did not post collateral to the third-party counterparties. As of September 30, 2026, the Company received $850 thousand in collateral from its third-party counterparties under the agreements in a net asset position. As of December 31, 2025, the Company received $3.4 million in collateral from its third-party counterparties under the agreements in a net asset position. Additionally, the Bank entered into certain cash flow hedges that are exchange-traded through the CME and are settled daily to market. As of September 30, 2026, the Company received $4.8 million from the CME clearing house, which was accounted for as settlements of derivative liabilities. As of December 31, 2025, the Company posted $5.4 million to the CME clearing house that are accounted for as settlements of the derivative asset.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Freestanding Derivatives</w:t>
      </w:r>
    </w:p>
    <w:p>
      <w:pPr>
        <w:spacing w:after="0" w:line="227"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The Company maintains an interest-rate risk protection program for its loan portfolio in order to offer loan level derivatives with certain borrowers and to generate loan level derivative income. The Company enters into interest rate swap or interest rate floor agreements with borrowers. These interest rate derivatives are designed such that the borrower synthetically attains a fixed-rate loan, while the Company receives floating rate loan payments. The Company offsets the loan level interest rate swap exposure by entering into an offsetting interest rate swap or interest rate floor with an unaffiliated and reputable bank counterparty. These interest rate derivatives do not qualify as designated hedges, under ASC 815; therefore, each interest rate derivative is accounted for as a freestanding derivative. The notional amounts of the interest rate derivatives do not represent amounts exchanged by the parties. The amount exchanged is determined by reference to the notional amount and the other terms of the individual interest rate derivative agreements. The following tables reflect freestanding derivatives included in the consolidated statements of financial condition as of the dates indicated: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183"/>
        </w:trPr>
        <w:tc>
          <w:tcPr>
            <w:tcW w:w="5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6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Count</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Liabilities</w:t>
            </w:r>
          </w:p>
        </w:tc>
      </w:tr>
      <w:tr>
        <w:trPr>
          <w:trHeight w:val="199"/>
        </w:trPr>
        <w:tc>
          <w:tcPr>
            <w:tcW w:w="5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derivative assets/liabilities:</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w:t>
            </w:r>
          </w:p>
        </w:tc>
        <w:tc>
          <w:tcPr>
            <w:tcW w:w="60" w:type="dxa"/>
            <w:vAlign w:val="bottom"/>
          </w:tcPr>
          <w:p>
            <w:pPr>
              <w:spacing w:after="0"/>
              <w:rPr>
                <w:sz w:val="17"/>
                <w:szCs w:val="17"/>
                <w:color w:val="auto"/>
              </w:rPr>
            </w:pP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91,225</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347</w:t>
            </w:r>
          </w:p>
        </w:tc>
        <w:tc>
          <w:tcPr>
            <w:tcW w:w="3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1,565,474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98,957</w:t>
            </w:r>
          </w:p>
        </w:tc>
      </w:tr>
      <w:tr>
        <w:trPr>
          <w:trHeight w:val="20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91,225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347</w:t>
            </w:r>
          </w:p>
        </w:tc>
      </w:tr>
      <w:tr>
        <w:trPr>
          <w:trHeight w:val="20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1,565,474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98,957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29"/>
        </w:trPr>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83"/>
        </w:trPr>
        <w:tc>
          <w:tcPr>
            <w:tcW w:w="5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6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Amount</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Liabilities</w:t>
            </w:r>
          </w:p>
        </w:tc>
      </w:tr>
      <w:tr>
        <w:trPr>
          <w:trHeight w:val="199"/>
        </w:trPr>
        <w:tc>
          <w:tcPr>
            <w:tcW w:w="5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derivative assets/liabilities:</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2"/>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$ 782,882</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13,491</w:t>
            </w:r>
          </w:p>
        </w:tc>
        <w:tc>
          <w:tcPr>
            <w:tcW w:w="3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8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872,663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60,066</w:t>
            </w:r>
          </w:p>
        </w:tc>
      </w:tr>
      <w:tr>
        <w:trPr>
          <w:trHeight w:val="20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782,882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13,491</w:t>
            </w:r>
          </w:p>
        </w:tc>
      </w:tr>
      <w:tr>
        <w:trPr>
          <w:trHeight w:val="20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8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872,663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Loan level derivative income is recognized on the mark-to-market of the interest rate swap as a fair value adjustment at the time the transaction is closed. Total loan level derivative income is included in non-interest income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5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derivative income</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1,709</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interest rate swap product with the borrower is cross collateralized with the underlying loan and, therefore, there is no posted collateral. Certain interest rate swap agreements with third-party counterparties contain provisions that require the Company to post collateral if the derivative exposure exceeds a threshold amount and receive collateral for agreements in a net asset position. As of September 30, 2026, the Company did not post any collateral to its third-party counterparty. As of December 31, 2025, the Company posted $3.0 million in collateral to its third-party counterparties. As of September 30, 2026, the Company received $99.7 million in collateral from its third-party counterparties under the agreements in a net asset position. As of December 31, 2025, the Company received $49.1 million in collateral from its third-party counterparties under the agreements in a net asset position.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Risk Participation Agreements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enters into risk participation agreements to manage economic risks but does not designate the instruments in hedge relationships. As of September 30, 2026 and December 31, 2025, the notional amounts of risk participation agreements for derivative liabilities were $120.6 million and $156.7 million, respectively. The Company’s risk participation agreements had fair values in a liability position of less than $1 thousand at September 30, 2026 and $8 thousand as of December 31, 2025,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 Related Contingent Features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agreements with each of its derivative counterparties state that if the Company defaults on any of its indebtedness, it could also be declared in default on its derivative obligations and could be required to terminate its derivative positions with the counterparty.</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agreements with certain of its derivative counterparties state that if the Bank fails to maintain its status as a well-capitalized institution, the Bank could be required to terminate its derivative positions with the counterparty.</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derivatives in a net liability position, which includes accrued interest but excludes any adjustment for nonperformance risk, any breach of the above provisions by the Company may require settlement of its obligations under the agreements at the termination value with the respective counterparty. As of September 30, 2026, there were no derivatives in a net liability position, and therefore the termination value was zero. There were no provisions breached for the three or nine months ended September 30, 2026.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FAIR VALUE OF FINANCIAL INSTRUMENTS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74" w:lineRule="exact"/>
        <w:rPr>
          <w:sz w:val="20"/>
          <w:szCs w:val="20"/>
          <w:color w:val="auto"/>
        </w:rPr>
      </w:pPr>
    </w:p>
    <w:p>
      <w:pPr>
        <w:jc w:val="both"/>
        <w:ind w:left="60" w:right="79" w:firstLine="3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Quoted prices (unadjusted) for identical assets or liabilities in active markets that the reporting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ability to access at the measurement date.</w:t>
      </w:r>
    </w:p>
    <w:p>
      <w:pPr>
        <w:spacing w:after="0" w:line="158" w:lineRule="exact"/>
        <w:rPr>
          <w:sz w:val="20"/>
          <w:szCs w:val="20"/>
          <w:color w:val="auto"/>
        </w:rPr>
      </w:pPr>
    </w:p>
    <w:p>
      <w:pPr>
        <w:jc w:val="both"/>
        <w:ind w:left="60" w:right="59" w:firstLine="38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Significant other observable inputs such as any of the following: (1) quoted prices for similar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in active markets, (2) quoted prices for identical or similar assets or liabilities in markets that are not active,</w:t>
      </w:r>
    </w:p>
    <w:p>
      <w:pPr>
        <w:jc w:val="both"/>
        <w:ind w:left="60" w:right="59" w:hanging="10"/>
        <w:spacing w:after="0" w:line="250" w:lineRule="auto"/>
        <w:tabs>
          <w:tab w:leader="none" w:pos="3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interest rates and yield curves observable at commonly quoted intervals, volatilities, prepayment speeds, loss severities, credit risks, and default rates), or</w:t>
      </w:r>
    </w:p>
    <w:p>
      <w:pPr>
        <w:ind w:left="60" w:right="59" w:hanging="10"/>
        <w:spacing w:after="0" w:line="260" w:lineRule="auto"/>
        <w:tabs>
          <w:tab w:leader="none" w:pos="3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 (market-corroborated inputs).</w:t>
      </w:r>
    </w:p>
    <w:p>
      <w:pPr>
        <w:spacing w:after="0" w:line="179" w:lineRule="exact"/>
        <w:rPr>
          <w:sz w:val="20"/>
          <w:szCs w:val="20"/>
          <w:color w:val="auto"/>
        </w:rPr>
      </w:pPr>
    </w:p>
    <w:p>
      <w:pPr>
        <w:jc w:val="both"/>
        <w:ind w:left="60" w:right="59" w:firstLine="38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3 Inputs – </w:t>
      </w:r>
      <w:r>
        <w:rPr>
          <w:rFonts w:ascii="Times New Roman" w:cs="Times New Roman" w:eastAsia="Times New Roman" w:hAnsi="Times New Roman"/>
          <w:sz w:val="18"/>
          <w:szCs w:val="18"/>
          <w:color w:val="auto"/>
        </w:rPr>
        <w:t>Significant unobservable inputs for the asset or liability. Significant unobservable inputs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entity’s own assumptions about the assumptions that market participants would use in pricing the asset or liability (including assumptions about risk). Significant unobservable inputs shall be used to measure fair value to the extent that observable inputs are not available, thereby allowing for situations in which there is little, if any, market activity for the asset or liability at the measurement date.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Assets and Liabilities Measured at Fair Value on a Recurring Basis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available-for-sale securities are reported at fair value, which were determined utilizing prices obtained from independent parties. The valuations obtained are based upon market data and often utilize evaluated pricing models that vary by asset and incorporate available trade, bid and other market information. For securities that do not trade on a daily basis, pricing applications apply available information such as benchmarking and matrix pricing. The market inputs normally sought in the evaluation of securities include benchmark yields, reported trades, broker/dealer quotes (obtained only from market makers or broker/dealers recognized as market participants), issuer spreads, two-sided markets, benchmark securities, bids, offers and reference data. For certain securities, additional inputs may be used, or some market inputs may not be applicable. Prioritization of inputs may vary on any given day based on market conditions.</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All MBS, CMOs, treasury securities, and agency notes are guaranteed either implicitly or explicitly by U.S. GSEs as of September 30, 2026 and December 31, 2025, respectively. In accordance with the Company’s investment policy, corporate securities are rated “investment grade” at the time of purchase and the financials of the issuers are reviewed quarterly.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Derivatives represent interest rate swaps and estimated fair values are based on valuation models using observable market data as of the measurement date.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financial assets and liabilities measured at fair value on a recurring basis as of the dates indicated, segmented by level within the fair value hierarchy. Financial assets and liabilities are classified in their entirety based on the lowest level of input that is significant to the fair value measurement.</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10"/>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r>
      <w:tr>
        <w:trPr>
          <w:trHeight w:val="212"/>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10"/>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at September 30, 2026 Using</w:t>
            </w:r>
          </w:p>
        </w:tc>
      </w:tr>
      <w:tr>
        <w:trPr>
          <w:trHeight w:val="186"/>
        </w:trPr>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40" w:type="dxa"/>
            <w:vAlign w:val="bottom"/>
          </w:tcPr>
          <w:p>
            <w:pPr>
              <w:spacing w:after="0"/>
              <w:rPr>
                <w:sz w:val="16"/>
                <w:szCs w:val="16"/>
                <w:color w:val="auto"/>
              </w:rPr>
            </w:pPr>
          </w:p>
        </w:tc>
      </w:tr>
      <w:tr>
        <w:trPr>
          <w:trHeight w:val="212"/>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02"/>
        </w:trPr>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9,980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9,980</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r>
      <w:tr>
        <w:trPr>
          <w:trHeight w:val="203"/>
        </w:trPr>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191,321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191,321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r>
      <w:tr>
        <w:trPr>
          <w:trHeight w:val="203"/>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Pass-through MBS issued by U.S. GSEs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500,286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500,286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r>
      <w:tr>
        <w:trPr>
          <w:trHeight w:val="203"/>
        </w:trPr>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183,033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183,033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r>
      <w:tr>
        <w:trPr>
          <w:trHeight w:val="203"/>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12,656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12,656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99,304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99,304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Derivative – fair value hedges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99,304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99,304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risk participations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8"/>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r>
      <w:tr>
        <w:trPr>
          <w:trHeight w:val="212"/>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8"/>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at December 31, 2025 Using</w:t>
            </w:r>
          </w:p>
        </w:tc>
      </w:tr>
      <w:tr>
        <w:trPr>
          <w:trHeight w:val="186"/>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 w:type="dxa"/>
            <w:vAlign w:val="bottom"/>
          </w:tcPr>
          <w:p>
            <w:pPr>
              <w:spacing w:after="0"/>
              <w:rPr>
                <w:sz w:val="16"/>
                <w:szCs w:val="16"/>
                <w:color w:val="auto"/>
              </w:rPr>
            </w:pP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02"/>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7"/>
                <w:szCs w:val="17"/>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Agency Notes</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5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securities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166,459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166,459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Pass-through MBS issued by U.S. GSEs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391,733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391,733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5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Agency CMOs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210,933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210,933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73,557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73,557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 fair value hedge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73,557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73,557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 risk participations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bl>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Assets and Liabilities Measured at Fair Value on a Non-recurring Basis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reported at the fair value of the underlying collateral if repayment is expected solely from the collateral.</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7"/>
          </w:tcPr>
          <w:p>
            <w:pPr>
              <w:jc w:val="right"/>
              <w:ind w:right="489"/>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2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continue"/>
          </w:tcPr>
          <w:p>
            <w:pPr>
              <w:spacing w:after="0"/>
              <w:rPr>
                <w:sz w:val="12"/>
                <w:szCs w:val="12"/>
                <w:color w:val="auto"/>
              </w:rPr>
            </w:pP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gridSpan w:val="2"/>
            <w:vMerge w:val="continue"/>
          </w:tcPr>
          <w:p>
            <w:pPr>
              <w:spacing w:after="0"/>
              <w:rPr>
                <w:sz w:val="15"/>
                <w:szCs w:val="15"/>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gridSpan w:val="2"/>
            <w:vMerge w:val="continue"/>
          </w:tcPr>
          <w:p>
            <w:pPr>
              <w:spacing w:after="0"/>
              <w:rPr>
                <w:sz w:val="15"/>
                <w:szCs w:val="15"/>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gridSpan w:val="2"/>
            <w:vMerge w:val="continue"/>
          </w:tcPr>
          <w:p>
            <w:pPr>
              <w:spacing w:after="0"/>
              <w:rPr>
                <w:sz w:val="15"/>
                <w:szCs w:val="15"/>
                <w:color w:val="auto"/>
              </w:rPr>
            </w:pPr>
          </w:p>
        </w:tc>
        <w:tc>
          <w:tcPr>
            <w:tcW w:w="8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Individually evaluated loans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26,494</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26,494</w:t>
            </w:r>
          </w:p>
        </w:tc>
        <w:tc>
          <w:tcPr>
            <w:tcW w:w="0" w:type="dxa"/>
            <w:vAlign w:val="bottom"/>
          </w:tcPr>
          <w:p>
            <w:pPr>
              <w:spacing w:after="0"/>
              <w:rPr>
                <w:sz w:val="1"/>
                <w:szCs w:val="1"/>
                <w:color w:val="auto"/>
              </w:rPr>
            </w:pPr>
          </w:p>
        </w:tc>
      </w:tr>
      <w:tr>
        <w:trPr>
          <w:trHeight w:val="378"/>
        </w:trPr>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7"/>
          </w:tcPr>
          <w:p>
            <w:pPr>
              <w:jc w:val="right"/>
              <w:ind w:right="489"/>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2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continue"/>
          </w:tcPr>
          <w:p>
            <w:pPr>
              <w:spacing w:after="0"/>
              <w:rPr>
                <w:sz w:val="12"/>
                <w:szCs w:val="12"/>
                <w:color w:val="auto"/>
              </w:rPr>
            </w:pP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gridSpan w:val="2"/>
            <w:vMerge w:val="continue"/>
          </w:tcPr>
          <w:p>
            <w:pPr>
              <w:spacing w:after="0"/>
              <w:rPr>
                <w:sz w:val="15"/>
                <w:szCs w:val="15"/>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gridSpan w:val="2"/>
            <w:vMerge w:val="continue"/>
          </w:tcPr>
          <w:p>
            <w:pPr>
              <w:spacing w:after="0"/>
              <w:rPr>
                <w:sz w:val="15"/>
                <w:szCs w:val="15"/>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gridSpan w:val="2"/>
            <w:vMerge w:val="continue"/>
          </w:tcPr>
          <w:p>
            <w:pPr>
              <w:spacing w:after="0"/>
              <w:rPr>
                <w:sz w:val="15"/>
                <w:szCs w:val="15"/>
                <w:color w:val="auto"/>
              </w:rPr>
            </w:pPr>
          </w:p>
        </w:tc>
        <w:tc>
          <w:tcPr>
            <w:tcW w:w="8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Individually evaluated loans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3,655</w:t>
            </w:r>
          </w:p>
        </w:tc>
        <w:tc>
          <w:tcPr>
            <w:tcW w:w="200" w:type="dxa"/>
            <w:vAlign w:val="bottom"/>
            <w:tcBorders>
              <w:top w:val="single" w:sz="8" w:color="CCEEFF"/>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3,655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Individually evaluated loans with an allowance for credit losses at September 30, 2026 had a carrying amount of $26.5 million, which is made up of the outstanding balance of $40.0 million, net of a valuation allowance of $13.5 million. Collateral dependent individually analyzed loans during the three and nine months ended September 30, 2026 resulted in a $3.2 million and $9.6 million credit loss provision, respectively, which is included in the amounts reported in the Consolidated Statements of Operations.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Individually evaluated loans with an allowance for credit losses at December 31, 2025 had a carrying amount of $3.7 million, which is made up of the outstanding balance of $7.5 million, net of a valuation allowance of $3.8 million.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Financial Instruments Not Measured at Fair Value</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carrying amounts and estimated fair values of financial instruments other than those measured at fair value on either a recurring or non-recurring basis for the dates indicated, segmented by level within the fair value hierarchy. Financial assets and liabilities are classified in their entirety based on the lowest level of input that is significant to the fair value measurement.</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at September 30, 2026 Using</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2"/>
        </w:trPr>
        <w:tc>
          <w:tcPr>
            <w:tcW w:w="356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Cash and due from banks</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2,184,800</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2,184,800</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2,184,800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701,601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611,240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611,240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Loans held for sale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2,413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10,783,113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10,524,426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10,524,426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57,694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50,162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57,694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3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Savings, money market and checking accounts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12,103,693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12,103,693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12,103,693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Certificates of deposit ("CDs")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1,034,729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1,032,348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1,032,348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FHLBNY advances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335,130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335,130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Subordinated debt, net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231,313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223,208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223,208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w:t>
            </w: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Includes mortgage escrow deposits.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2025 Using</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2"/>
        </w:trPr>
        <w:tc>
          <w:tcPr>
            <w:tcW w:w="356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Cash and due from banks</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2,353,966</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2,353,966</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2,353,966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618,901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560,082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Loans held for sale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10,657,181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10,459,618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10,459,618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55,572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Savings, money market and checking accounts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11,724,128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11,724,128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11,724,128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CDs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1,117,118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1,115,830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1,115,830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FHLBNY advances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Subordinated debt, net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w:t>
            </w: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Includes mortgage escrow deposits.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OTHER 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carrying amount and accumulated amortization of intangible assets that are amortizable.</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r>
      <w:tr>
        <w:trPr>
          <w:trHeight w:val="199"/>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carrying value</w:t>
            </w: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10,204</w:t>
            </w: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10,204</w:t>
            </w:r>
          </w:p>
        </w:tc>
      </w:tr>
      <w:tr>
        <w:trPr>
          <w:trHeight w:val="20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4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(7,865)</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(7,266)</w:t>
            </w:r>
          </w:p>
        </w:tc>
      </w:tr>
      <w:tr>
        <w:trPr>
          <w:trHeight w:val="196"/>
        </w:trPr>
        <w:tc>
          <w:tcPr>
            <w:tcW w:w="6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w:t>
            </w: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Amortization expense recognized on intangible assets was $195 thousand and $599 thousand for the three and nine months ended September 30, 2026, respectively. Amortization expense recognized on intangible assets was $236 thousand and $723 thousand for the three and nine months ended September 30, 2025,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amortization expense for the remainder of 2026 through 2030 and thereafter is as follows:</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440" w:type="dxa"/>
            <w:vAlign w:val="bottom"/>
            <w:tcBorders>
              <w:top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03"/>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03"/>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03"/>
        </w:trPr>
        <w:tc>
          <w:tcPr>
            <w:tcW w:w="20" w:type="dxa"/>
            <w:vAlign w:val="bottom"/>
          </w:tcPr>
          <w:p>
            <w:pPr>
              <w:spacing w:after="0"/>
              <w:rPr>
                <w:sz w:val="17"/>
                <w:szCs w:val="17"/>
                <w:color w:val="auto"/>
              </w:rPr>
            </w:pPr>
          </w:p>
        </w:tc>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96"/>
        </w:trPr>
        <w:tc>
          <w:tcPr>
            <w:tcW w:w="20" w:type="dxa"/>
            <w:vAlign w:val="bottom"/>
          </w:tcPr>
          <w:p>
            <w:pPr>
              <w:spacing w:after="0"/>
              <w:rPr>
                <w:sz w:val="17"/>
                <w:szCs w:val="17"/>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FHLBNY ADVANCES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Bank had borrowings from the FHLBNY totaling $335.0 million and $508.0 million at September 30, 2026 and December 31, 2025, respectively, all of which were fixed rate. In accordance with the Collateral Pledge and Security Agreement with the FHLBNY, the Bank had remaining FHLBNY borrowing capacity of $1.55 billion as of September 30, 2026 and $1.52 billion as of December 31, 2025, and maintained sufficient qualifying collateral, as defined by the FHLBNY.</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the Company did not incur any prepayment penalty expense related to the extinguishment of FHLBNY advances. For the nine months ended September 30, 2026, the Company had $515 thousand of prepayment penalty expense related to the extinguishment of FHLBNY advances. During the three and nine months ended September 30, 2025, the Company did not incur any prepayment penalty expense related to the extinguishment of FHLBNY advances.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is a summary of FHLBNY extinguishments for the periods presented: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r>
      <w:tr>
        <w:trPr>
          <w:trHeight w:val="196"/>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FHLBNY advances extinguished</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48,000</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rate</w:t>
            </w:r>
          </w:p>
        </w:tc>
        <w:tc>
          <w:tcPr>
            <w:tcW w:w="28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rPr>
              <w:t>- %</w:t>
            </w:r>
          </w:p>
        </w:tc>
        <w:tc>
          <w:tcPr>
            <w:tcW w:w="260" w:type="dxa"/>
            <w:vAlign w:val="bottom"/>
          </w:tcPr>
          <w:p>
            <w:pPr>
              <w:spacing w:after="0"/>
              <w:rPr>
                <w:sz w:val="17"/>
                <w:szCs w:val="17"/>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4.20 %</w:t>
            </w:r>
          </w:p>
        </w:tc>
        <w:tc>
          <w:tcPr>
            <w:tcW w:w="280" w:type="dxa"/>
            <w:vAlign w:val="bottom"/>
          </w:tcPr>
          <w:p>
            <w:pPr>
              <w:spacing w:after="0"/>
              <w:rPr>
                <w:sz w:val="17"/>
                <w:szCs w:val="17"/>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515</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FHLBNY advances for each of the next five years.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fixed rate at rates from 3.82% to 4.14%</w:t>
            </w: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275,000</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0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2027, fixed rate at 4.25%</w:t>
            </w:r>
          </w:p>
        </w:tc>
        <w:tc>
          <w:tcPr>
            <w:tcW w:w="4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w:t>
            </w:r>
          </w:p>
        </w:tc>
      </w:tr>
      <w:tr>
        <w:trPr>
          <w:trHeight w:val="203"/>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 fixed rate at 4.04%</w:t>
            </w:r>
          </w:p>
        </w:tc>
        <w:tc>
          <w:tcPr>
            <w:tcW w:w="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203"/>
        </w:trPr>
        <w:tc>
          <w:tcPr>
            <w:tcW w:w="6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2029, fixed rate at rates from 3.98% to 4.03%</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60,000</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60,000</w:t>
            </w:r>
          </w:p>
        </w:tc>
      </w:tr>
      <w:tr>
        <w:trPr>
          <w:trHeight w:val="196"/>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FHLBNY advances</w:t>
            </w: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335,000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508,000</w:t>
            </w:r>
          </w:p>
        </w:tc>
      </w:tr>
      <w:tr>
        <w:trPr>
          <w:trHeight w:val="20"/>
        </w:trPr>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Total FHLBNY advances had a weighted average interest rate of 4.01% and 4.00% at September 30, 2026 and December 31, 2025,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SUBORDINATED DEBENTURES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June 28, 2024, the Company issued $65.0 million aggregate principal amount of fixed-to-floating rate subordinated notes due 2034 (the “2024 Notes”). The 2024 Notes are callable at par after five years, have a stated maturity of July 15, 2034, and bear interest at a fixed annual rate of 9.00% per year, payable quarterly in arrears on January 15, April 15, July 15, and October 15 of each year, commencing on October 15, 2024. The last interest payment for the fixed rate period will be July 15, 2029. From and including July 15, 2029, to, but excluding the stated maturity date or any earlier redemption date, the interest rate will reset quarterly to an annual interest rate equal to the benchmark rate (which is expected to be Three-Month Term Secured Overnight Financing Rate (“SOFR”)) plus 495.1 basis points, payable quarterly in arrears on January 15, April 15, July 15, and October 15 of each year, commencing on October 15, 2029.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Subsequently, on July 9, 2024, the Company issued and sold an additional $9.8 million of the 2024 Notes, pursuant to an overallotment option granted to the underwriters of the offering. Including the overallotment option, the total gross proceeds from the offering were $74.8 million, before discounts and offering expenses.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May 6, 2022, the Company issued $160.0 million aggregate principal amount of fixed-to-floating rate subordinated notes due 2032 (“the 2022 Notes”). The 2022 Notes are callable at par after five years, have a stated maturity of May 15, 2032 and bear interest at a fixed annual rate of 5.00% per year, payable semi-annually in arrears on May 15 and November 15 of each year, commencing on November 15, 2022. The last interest payment for the fixed rate period will be May 15, 2027. From and including May 15, 2027 to, but excluding the maturity date or early redemption date, the interest rate will reset quarterly to an annual interest rate equal to the benchmark rate (which is expected to be Three-Month Term SOFR) plus 218-basis points, payable quarterly in arrears on February 15, May 15, August 15 and November 15 of each year, commencing on August 15, 2027. The Company used the net proceeds of the offering for the repayment of $115.0 million of the Company’s 4.50% fixed-to-floating rate subordinated notes due 2027 on June 15, 2022, and $40.0 million of the Company’s 5.25% fixed-to-floating rate subordinated debentures due 2025 on June 30, 2022. The repayment of the subordinated notes due 2027 resulted in a pre-tax write-off of debt issuance costs of $740 thousand, which was recognized in loss on extinguishment of debt in non-interest expense.</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$40.0 million of fixed-to-floating rate subordinated debentures, that were redeemed during the first quarter of 2026, were issued by the Company in September 2015, were callable at par after ten years and had a stated maturity of September 30, 2030. The interest rate was fixed at 5.75% for the first ten years. From and including September 30, 2025 to the maturity date or early redemption date, the interest rate reset quarterly to an annual interest rate equal to the then-current three-month CME Term SOFR plus 372 basis points.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the Company redeemed at par all of its outstanding $40.0 million principal amount of its Fixed/Floating Subordinated Debentures due 2030. Upon redemption, the Company recognized a pre-tax gain of $1.5 million, which was recorded in non-interest expense.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subordinated debentures totaled $231.3 million and $272.5 million at September 30, 2026 and December 31, 2025, respectively. Interest expense related to the subordinated debentures was $3.8 million and $4.3 million during the three months ended September 30, 2026 and 2025, respectively. Interest expense related to the subordinated debentures was $12.1 million and $12.9 million during the nine months ended September 30, 2026 and 2025, respectively. The subordinated debentures are included in tier 2 capital (with certain limitations applicable) under current regulatory guidelines and interpretations.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RETIREMENT AND POSTRETIREMENT PLANS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maintains the Retirement Plan of Dime Commercial Bank (“Employee Retirement Plan”) and previously maintained the BNB Bank Pension Plan, which was terminated and fully settled by March 31, 2025. Both are noncontributory pension plans that covered all eligible employees.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121" w:lineRule="exact"/>
        <w:rPr>
          <w:sz w:val="20"/>
          <w:szCs w:val="20"/>
          <w:color w:val="auto"/>
        </w:rPr>
      </w:pPr>
    </w:p>
    <w:p>
      <w:pPr>
        <w:jc w:val="both"/>
        <w:ind w:left="60" w:right="59"/>
        <w:spacing w:after="0" w:line="236" w:lineRule="auto"/>
        <w:rPr>
          <w:sz w:val="20"/>
          <w:szCs w:val="20"/>
          <w:color w:val="auto"/>
        </w:rPr>
      </w:pPr>
      <w:r>
        <w:rPr>
          <w:rFonts w:ascii="Times New Roman" w:cs="Times New Roman" w:eastAsia="Times New Roman" w:hAnsi="Times New Roman"/>
          <w:sz w:val="18"/>
          <w:szCs w:val="18"/>
          <w:color w:val="auto"/>
        </w:rPr>
        <w:t>The Bank sponsors the Employee Retirement Plan, a tax-qualified, noncontributory, defined-benefit retirement plan. Prior to April 1, 2000, substantially all full-time employees of at least 21 years of age were eligible for participation after one year of service. Effective April 1, 2000, the Bank froze all participant benefits under the Employee Retirement Plan. Effective December 31, 2023, the Employee Retirement Plan was terminated. Retirement benefits of the plan were vested as they were earned. For the year ended December 31, 2025, the Bank used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as its measurement date for the Employee Retirement Plan.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BNB Bank Pension Plan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2012, Bridge Bancorp, Inc., (“Bridge”) amended the BNB Bank Pension Plan by revising the formula for determining benefits effective January 1, 2013, except for certain grandfathered Bridge employees. Additionally, new Bridge employees hired on or after October 1, 2012 were not eligible for the BNB Bank Pension Plan. Effective December 31, 2023, the Bank froze all participant benefits under the BNB Pension Plan, the impact of which is reflected in the recorded curtailment as of December 31, 2023. On December 21, 2023, the Company’s Board of Directors adopted a resolution to terminate the BNB Bank Pension Plan effective December 31, 2023. The termination was effectively completed by March 31, 2025, and all related liabilities were fully settled. Retirement benefits of the plan were vested as they were earned.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represent the components of net periodic benefit (credit) cost associated with these plans:</w:t>
      </w: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199"/>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0"/>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Employee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BNB Bank</w:t>
            </w:r>
          </w:p>
        </w:tc>
        <w:tc>
          <w:tcPr>
            <w:tcW w:w="200" w:type="dxa"/>
            <w:vAlign w:val="bottom"/>
          </w:tcPr>
          <w:p>
            <w:pPr>
              <w:spacing w:after="0"/>
              <w:rPr>
                <w:sz w:val="15"/>
                <w:szCs w:val="15"/>
                <w:color w:val="auto"/>
              </w:rPr>
            </w:pPr>
          </w:p>
        </w:tc>
        <w:tc>
          <w:tcPr>
            <w:tcW w:w="106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Employee</w:t>
            </w:r>
          </w:p>
        </w:tc>
        <w:tc>
          <w:tcPr>
            <w:tcW w:w="20" w:type="dxa"/>
            <w:vAlign w:val="bottom"/>
          </w:tcPr>
          <w:p>
            <w:pPr>
              <w:spacing w:after="0"/>
              <w:rPr>
                <w:sz w:val="15"/>
                <w:szCs w:val="15"/>
                <w:color w:val="auto"/>
              </w:rPr>
            </w:pPr>
          </w:p>
        </w:tc>
      </w:tr>
      <w:tr>
        <w:trPr>
          <w:trHeight w:val="212"/>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3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Retirement Plan</w:t>
            </w:r>
          </w:p>
        </w:tc>
        <w:tc>
          <w:tcPr>
            <w:tcW w:w="1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Pension Plan</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Retirement Plan</w:t>
            </w:r>
          </w:p>
        </w:tc>
      </w:tr>
      <w:tr>
        <w:trPr>
          <w:trHeight w:val="202"/>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0" w:type="dxa"/>
            <w:vAlign w:val="bottom"/>
          </w:tcPr>
          <w:p>
            <w:pPr>
              <w:spacing w:after="0"/>
              <w:rPr>
                <w:sz w:val="17"/>
                <w:szCs w:val="17"/>
                <w:color w:val="auto"/>
              </w:rPr>
            </w:pPr>
          </w:p>
        </w:tc>
      </w:tr>
      <w:tr>
        <w:trPr>
          <w:trHeight w:val="203"/>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assets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(315)</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0" w:type="dxa"/>
            <w:vAlign w:val="bottom"/>
          </w:tcPr>
          <w:p>
            <w:pPr>
              <w:spacing w:after="0"/>
              <w:rPr>
                <w:sz w:val="17"/>
                <w:szCs w:val="17"/>
                <w:color w:val="auto"/>
              </w:rPr>
            </w:pPr>
          </w:p>
        </w:tc>
      </w:tr>
      <w:tr>
        <w:trPr>
          <w:trHeight w:val="20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0" w:type="dxa"/>
            <w:vAlign w:val="bottom"/>
          </w:tcPr>
          <w:p>
            <w:pPr>
              <w:spacing w:after="0"/>
              <w:rPr>
                <w:sz w:val="17"/>
                <w:szCs w:val="17"/>
                <w:color w:val="auto"/>
              </w:rPr>
            </w:pPr>
          </w:p>
        </w:tc>
      </w:tr>
      <w:tr>
        <w:trPr>
          <w:trHeight w:val="196"/>
        </w:trPr>
        <w:tc>
          <w:tcPr>
            <w:tcW w:w="4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benefit (credit)</w:t>
            </w: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 w:type="dxa"/>
            <w:vAlign w:val="bottom"/>
          </w:tcPr>
          <w:p>
            <w:pPr>
              <w:spacing w:after="0"/>
              <w:rPr>
                <w:sz w:val="17"/>
                <w:szCs w:val="17"/>
                <w:color w:val="auto"/>
              </w:rPr>
            </w:pPr>
          </w:p>
        </w:tc>
      </w:tr>
      <w:tr>
        <w:trPr>
          <w:trHeight w:val="196"/>
        </w:trPr>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Settlement loss recognized</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196"/>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benefit cost</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6"/>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0"/>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Employee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BNB Bank</w:t>
            </w:r>
          </w:p>
        </w:tc>
        <w:tc>
          <w:tcPr>
            <w:tcW w:w="200" w:type="dxa"/>
            <w:vAlign w:val="bottom"/>
          </w:tcPr>
          <w:p>
            <w:pPr>
              <w:spacing w:after="0"/>
              <w:rPr>
                <w:sz w:val="15"/>
                <w:szCs w:val="15"/>
                <w:color w:val="auto"/>
              </w:rPr>
            </w:pPr>
          </w:p>
        </w:tc>
        <w:tc>
          <w:tcPr>
            <w:tcW w:w="106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Employee</w:t>
            </w:r>
          </w:p>
        </w:tc>
        <w:tc>
          <w:tcPr>
            <w:tcW w:w="20" w:type="dxa"/>
            <w:vAlign w:val="bottom"/>
          </w:tcPr>
          <w:p>
            <w:pPr>
              <w:spacing w:after="0"/>
              <w:rPr>
                <w:sz w:val="15"/>
                <w:szCs w:val="15"/>
                <w:color w:val="auto"/>
              </w:rPr>
            </w:pPr>
          </w:p>
        </w:tc>
      </w:tr>
      <w:tr>
        <w:trPr>
          <w:trHeight w:val="212"/>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3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Retirement Plan</w:t>
            </w:r>
          </w:p>
        </w:tc>
        <w:tc>
          <w:tcPr>
            <w:tcW w:w="1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Pension Plan</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Retirement Plan</w:t>
            </w:r>
          </w:p>
        </w:tc>
      </w:tr>
      <w:tr>
        <w:trPr>
          <w:trHeight w:val="202"/>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0" w:type="dxa"/>
            <w:vAlign w:val="bottom"/>
          </w:tcPr>
          <w:p>
            <w:pPr>
              <w:spacing w:after="0"/>
              <w:rPr>
                <w:sz w:val="17"/>
                <w:szCs w:val="17"/>
                <w:color w:val="auto"/>
              </w:rPr>
            </w:pPr>
          </w:p>
        </w:tc>
      </w:tr>
      <w:tr>
        <w:trPr>
          <w:trHeight w:val="203"/>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assets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(945)</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(534)</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20" w:type="dxa"/>
            <w:vAlign w:val="bottom"/>
          </w:tcPr>
          <w:p>
            <w:pPr>
              <w:spacing w:after="0"/>
              <w:rPr>
                <w:sz w:val="17"/>
                <w:szCs w:val="17"/>
                <w:color w:val="auto"/>
              </w:rPr>
            </w:pPr>
          </w:p>
        </w:tc>
      </w:tr>
      <w:tr>
        <w:trPr>
          <w:trHeight w:val="203"/>
        </w:trPr>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20" w:type="dxa"/>
            <w:vAlign w:val="bottom"/>
          </w:tcPr>
          <w:p>
            <w:pPr>
              <w:spacing w:after="0"/>
              <w:rPr>
                <w:sz w:val="17"/>
                <w:szCs w:val="17"/>
                <w:color w:val="auto"/>
              </w:rPr>
            </w:pPr>
          </w:p>
        </w:tc>
      </w:tr>
      <w:tr>
        <w:trPr>
          <w:trHeight w:val="196"/>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benefit (credit)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0" w:type="dxa"/>
            <w:vAlign w:val="bottom"/>
          </w:tcPr>
          <w:p>
            <w:pPr>
              <w:spacing w:after="0"/>
              <w:rPr>
                <w:sz w:val="17"/>
                <w:szCs w:val="17"/>
                <w:color w:val="auto"/>
              </w:rPr>
            </w:pPr>
          </w:p>
        </w:tc>
      </w:tr>
      <w:tr>
        <w:trPr>
          <w:trHeight w:val="20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 loss recognized</w:t>
            </w:r>
          </w:p>
        </w:tc>
        <w:tc>
          <w:tcPr>
            <w:tcW w:w="1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196"/>
        </w:trPr>
        <w:tc>
          <w:tcPr>
            <w:tcW w:w="4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benefit cost</w:t>
            </w: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were no contributions to the Employee Retirement Plan for the three or nine months ended September 30, 2026 and 2025. There were no contributions to the BNB Bank Pension Plan for the three and nine months ended September 30, 2025, prior to the termination being completed.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ind w:left="60" w:right="59"/>
        <w:spacing w:after="0" w:line="242" w:lineRule="auto"/>
        <w:rPr>
          <w:sz w:val="20"/>
          <w:szCs w:val="20"/>
          <w:color w:val="auto"/>
        </w:rPr>
      </w:pPr>
      <w:r>
        <w:rPr>
          <w:rFonts w:ascii="Times New Roman" w:cs="Times New Roman" w:eastAsia="Times New Roman" w:hAnsi="Times New Roman"/>
          <w:sz w:val="18"/>
          <w:szCs w:val="18"/>
          <w:color w:val="auto"/>
        </w:rPr>
        <w:t>The Company maintains a 401(k) Plan (the “401(k) Plan”), which covers substantially all current employees. Newly hired employees are automatically enrolled in the plan on the first pay date following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employment, unless they elect not to participate. Participants may contribute a portion of their pre-tax base salary, generally not to exceed $24,500 for the calendar year ended December 31, 2026. Under the provisions of the 401(k) Plan, Dime Commercial Bank provides an employer non-elective contribution to employee accounts equivalent to 3% of eligible compensation. Participants can invest their account balances into several investment alternatives. The 401(k) Plan does not allow for investment of new contributions in the Company’s common stock, nor does it allow participants to transfer existing balances into the Company’s common stock. The 401(k) Plan held Company common stock within the accounts of participants totaling $7.0 million and $6.3 million at September 30, 2026 and 2025, respectively. During the three and nine months ended September 30, 2026, total expense recognized as a component of salaries and employee benefits expense for the 401(k)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Plan was $667 thousand and $2.7 million, respectively. During the three and nine months ended September 30, 2025, total expense recognized as a component of salaries and employee benefits expense for the 401(k) Plan was $629 thousand and $2.6 million,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May 2021, the Company’s shareholders approved the Dime Commercial Bancshares, Inc. f/k/a/ Dime Community Bancshares, Inc. 2021 Equity Incentive Plan (the “2021 Equity Incentive Plan”) to provide the Company with sufficient equity compensation to meet the objectives of appropriately incentivizing its officers, other employees, and directors to execute our strategic plan to build shareholder value, while providing appropriate shareholder protections. The Company no longer makes grants under its prior equity plans (the “Legacy Stock Plans”). Awards outstanding under the Legacy Stock Plans will continue to remain outstanding and subject to the terms and conditions of the Legacy Stock Plans. An additional 1,185,000 shares of common stock were reserved to be issued under the 2021 Equity Incentive Plan following stockholder approval at the Annual Meeting of Shareholders on May 23, 2024. At September 30, 2026, there were 811,247 shares reserved for issuance under the 2021 Equity Incentive Plan.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Option Awards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activity related to stock options granted under the Legacy Stock Plans, and changes during the period then ended:</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spacing w:after="0"/>
              <w:rPr>
                <w:sz w:val="17"/>
                <w:szCs w:val="17"/>
                <w:color w:val="auto"/>
              </w:rPr>
            </w:pP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Weighted-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spacing w:after="0"/>
              <w:rPr>
                <w:sz w:val="17"/>
                <w:szCs w:val="17"/>
                <w:color w:val="auto"/>
              </w:rPr>
            </w:pPr>
          </w:p>
        </w:tc>
      </w:tr>
      <w:tr>
        <w:trPr>
          <w:trHeight w:val="202"/>
        </w:trPr>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6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5"/>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 except share and per share amounts)</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 Options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Years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199"/>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January 1, 2026</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exercised</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(26,995)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forfeited</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September 30, 2026</w:t>
            </w:r>
          </w:p>
        </w:tc>
        <w:tc>
          <w:tcPr>
            <w:tcW w:w="16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vested and exercisable at September 30, 2026</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stock options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gridSpan w:val="6"/>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40" w:type="dxa"/>
            <w:vAlign w:val="bottom"/>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5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for option exercise cost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recognized on stock option exercises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74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r>
    </w:tbl>
    <w:p>
      <w:pPr>
        <w:spacing w:after="0" w:line="30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September 30, 2026, there were no stock options outstanding or vested. All outstanding stock options were exercised during the nine months ended September 30, 2026 and were settled. Accordingly, the Company did not receive any cash proceeds from the exercise of such stock options.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made RSA grants to outside Directors and certain officers under the Legacy Stock Plans and the 2021 Equity Incentive Plan. Typically, awards to outside Directors fully vest on the first anniversary of the grant date, while awards to officers vest over a pre-determined requisite period. All awards were made at the fair value of the Company’s common stock on the grant date. Compensation expense on all RSAs is based upon the fair value of the shares on the respective dates of the grant.</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activity related to the RSAs granted, and changes during the period then ended: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6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6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15"/>
        </w:trPr>
        <w:tc>
          <w:tcPr>
            <w:tcW w:w="6660" w:type="dxa"/>
            <w:vAlign w:val="bottom"/>
            <w:gridSpan w:val="2"/>
          </w:tcPr>
          <w:p>
            <w:pPr>
              <w:ind w:left="650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199"/>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allocated shares outstanding at January 1, 2026</w:t>
            </w:r>
          </w:p>
        </w:tc>
        <w:tc>
          <w:tcPr>
            <w:tcW w:w="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457,368</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w:t>
            </w:r>
          </w:p>
        </w:tc>
      </w:tr>
      <w:tr>
        <w:trPr>
          <w:trHeight w:val="20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333,762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w:t>
            </w:r>
          </w:p>
        </w:tc>
      </w:tr>
      <w:tr>
        <w:trPr>
          <w:trHeight w:val="203"/>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vested</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(241,818)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r>
      <w:tr>
        <w:trPr>
          <w:trHeight w:val="20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forfeited</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(33,795)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r>
      <w:tr>
        <w:trPr>
          <w:trHeight w:val="196"/>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allocated shares outstanding at September 30, 2026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515,517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w:t>
            </w:r>
          </w:p>
        </w:tc>
      </w:tr>
      <w:tr>
        <w:trPr>
          <w:trHeight w:val="20"/>
        </w:trPr>
        <w:tc>
          <w:tcPr>
            <w:tcW w:w="6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RSAs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62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 recognized</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1,734</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4,735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w:t>
            </w:r>
          </w:p>
        </w:tc>
      </w:tr>
      <w:tr>
        <w:trPr>
          <w:trHeight w:val="212"/>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recognized on vesting of RSAs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r>
    </w:tbl>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$12.2 million of total unrecognized compensation cost related to unvested RSAs to be recognized over a weighted-average period of 2.2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Performance-Based Share Awards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maintains a Long-Term Incentive Plan (“LTIP”) for certain officers, which meets the criteria for equity-based accounting. For each award, threshold (50% of target), target (100% of target) and stretch (150% of target) opportunities are eligible to be earned over a three-year performance period based on the Company’s relative performance on certain goals that were established at the onset of the performance period and cannot be altered subsequently. Shares of common stock are issued on the grant date and held as unvested stock awards until the end of the performance period. Shares are issued at the stretch opportunity to ensure that an adequate number of shares are allocated for shares expected to vest at the end of the performance period. Compensation expense on PSAs is based upon the fair value of the shares on the date of the grant for the expected aggregate share payout as of the period end.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activity related to the PSAs granted, and changes during the period then ended: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203"/>
        </w:trPr>
        <w:tc>
          <w:tcPr>
            <w:tcW w:w="6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6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5"/>
        </w:trPr>
        <w:tc>
          <w:tcPr>
            <w:tcW w:w="6660" w:type="dxa"/>
            <w:vAlign w:val="bottom"/>
            <w:gridSpan w:val="2"/>
          </w:tcPr>
          <w:p>
            <w:pPr>
              <w:ind w:left="650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199"/>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Maximum aggregate share payout at January 1, 2026</w:t>
            </w:r>
          </w:p>
        </w:tc>
        <w:tc>
          <w:tcPr>
            <w:tcW w:w="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307,498</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0" w:type="dxa"/>
            <w:vAlign w:val="bottom"/>
          </w:tcPr>
          <w:p>
            <w:pPr>
              <w:spacing w:after="0"/>
              <w:rPr>
                <w:sz w:val="1"/>
                <w:szCs w:val="1"/>
                <w:color w:val="auto"/>
              </w:rPr>
            </w:pPr>
          </w:p>
        </w:tc>
      </w:tr>
      <w:tr>
        <w:trPr>
          <w:trHeight w:val="20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105,326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0" w:type="dxa"/>
            <w:vAlign w:val="bottom"/>
          </w:tcPr>
          <w:p>
            <w:pPr>
              <w:spacing w:after="0"/>
              <w:rPr>
                <w:sz w:val="1"/>
                <w:szCs w:val="1"/>
                <w:color w:val="auto"/>
              </w:rPr>
            </w:pPr>
          </w:p>
        </w:tc>
      </w:tr>
      <w:tr>
        <w:trPr>
          <w:trHeight w:val="203"/>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forfeited</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(19,954)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0" w:type="dxa"/>
            <w:vAlign w:val="bottom"/>
          </w:tcPr>
          <w:p>
            <w:pPr>
              <w:spacing w:after="0"/>
              <w:rPr>
                <w:sz w:val="1"/>
                <w:szCs w:val="1"/>
                <w:color w:val="auto"/>
              </w:rPr>
            </w:pPr>
          </w:p>
        </w:tc>
      </w:tr>
      <w:tr>
        <w:trPr>
          <w:trHeight w:val="20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vested</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(136,895)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Maximum aggregate share payout at September 30, 2026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255,975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Minimum aggregate share payout</w:t>
            </w: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2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aggregate share payout</w:t>
            </w:r>
          </w:p>
        </w:tc>
        <w:tc>
          <w:tcPr>
            <w:tcW w:w="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255,975</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PSAs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7"/>
                <w:szCs w:val="17"/>
                <w:color w:val="auto"/>
              </w:rPr>
            </w:pPr>
          </w:p>
        </w:tc>
        <w:tc>
          <w:tcPr>
            <w:tcW w:w="164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 recognized</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1,867</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recognized on vesting of PSAs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bl>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$3.0 million of total unrecognized compensation cost related to unvested PSAs based on the expected aggregate share payout to be recognized over a weighted-average period of 1.8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and 2025, the Company’s consolidated effective tax rates were 25.8% and 31.0%, respectively. During the nine months ended September 30, 2026 and 2025, the Company’s consolidated effective tax rates were 27.2% and 27.7%, respectively. There were no significant unusual income tax items during the three or nine months ended September 30, 2026 and 2025,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Chief Executive Officer, who is designated as the chief operating decision maker (“CODM”), determines the Company’s reportable segment. The Chief Executive Officer along with others in the Company’s executive management evaluates performance and allocates resources based upon analysis of the Company as one operating segment or unit. The activities of the Company comprise one reportable segment, “Commercial Banking.” All of the Company’s activities are interrelated, and each activity is dependent and assessed based on the manner in which it supports the other activities of the Company. All the consolidated assets are attributable to the Commercial Banking segment. The accounting policies of the Commercial Banking segment are the same as those described in Note 1 “Summary of Significant Accounting Policies” in the Company’s Annual Report on Form 10-K for fiscal year ended December 31, 2025.</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provides a range of commercial banking services, including lending, personal and business banking, treasury management and merchant services, and other financial services primarily to individuals, businesses, and municipalities in the Greater Long Island area.</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CODM is provided with the Company’s consolidated statements of financial condition and operations and evaluates the Company’s operating results based on consolidated net interest income, non-interest income, non-interest expense, and net income, which can be seen on the consolidated statement of operations. These results are used to benchmark the Company against its competitors. Other significant non-cash items assessed by the CODM are depreciation, amortization and provision for credit losses consistent with the reporting on the consolidated statements of cash flows. Expenditures for long-lived assets are also evaluated and are consistent with the reporting on the consolidated statements of cash flows. Strategic plans and budget to actual monitoring are evaluated as one reportable segment. The actual results are used in assessing performance of the segment and in establishing management’s compensation. All revenues are derived from banking operations within the United States, and for the three and nine months ended September 30, 2026 and 2025, no customer accounted for more than 10% of the Company's consolidated revenue.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SUBSEQUENT EVENT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October 20, 2026, the Company and ES Bancshares, Inc. (“Empire”) jointly announced the signing of a definitive merger agreement pursuant to which Empire will merge with and into Dime, and Empire’s wholly owned subsidiary, Empire State Bank, will merge with and into Dime Commercial Bank (the “Proposed Merger”). Empire State Bank, headquartered in Staten Island, New York, operates five branch locations serving businesses and customers throughout Staten Island and Brooklyn. Under the terms of the definitive merger agreement, Dime Commercial Bancshares, Inc. will issue 720,000 shares of its common stock and $30.0 million in cash to the stockholders of Empire. Stockholders of Empire will have the option to elect to receive stock or cash consideration, subject to the proration provisions set forth in the merger agreement. The Proposed Merger is subject to customary closing conditions, including the receipt of required regulatory approvals and approval by the stockholders of Empire. The Proposed Merger is expected to close in the first quarter of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Dime Commercial Bancshares, Inc., formerly known as Dime Community Bancshares, Inc., is a New York corporation and bank holding company formed in 1988. Dime Commercial Bank, formerly known as Dime Community Bank, is the Company’s wholly-owned subsidiary. The name change became effective during the quarter ended June 30, 2026 and did not affect the Company’s organizational structure, operations, or financial results. On a parent-only basis, the Company has minimal operations, other than as owner of Dime Commercial Bank. The Company is dependent on dividends from its wholly-owned subsidiary, Dime Commercial Bank, its own earnings, additional capital raised, and borrowings as sources of funds.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information in this report reflects principally the financial condition and results of operations of the Bank. The Bank's results of operations are primarily dependent on its net interest income, which is the difference between interest income on loans and investments and interest expense on deposits and borrowings. The Bank also generates non-interest income, such as fee income on deposit and loan accounts, merchant credit and debit card processing programs, loan swap fees, investment services, income from its title insurance subsidiary, and net gains on sales of securities and loans. The level of non-interest expenses, such as salaries and benefits, occupancy and equipment costs, other general and administrative expenses, expenses from the Bank’s title insurance subsidiary, and income tax expense, further affects our net income. Certain reclassifications have been made to prior year amounts and the related discussion and analysis to conform to the current year presentation. These reclassifications did not have an impact on net income or total stockholders' equity.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Highlights and Other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At or for the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At or for the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88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 Three Months Ended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gridSpan w:val="4"/>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4"/>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line="20" w:lineRule="exact"/>
              <w:rPr>
                <w:sz w:val="1"/>
                <w:szCs w:val="1"/>
                <w:color w:val="auto"/>
              </w:rPr>
            </w:pPr>
          </w:p>
        </w:tc>
      </w:tr>
      <w:tr>
        <w:trPr>
          <w:trHeight w:val="202"/>
        </w:trPr>
        <w:tc>
          <w:tcPr>
            <w:tcW w:w="22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Reported EPS (Diluted)</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0.90</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2.40</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dividends paid per common share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0.75</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Book value per common share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32.10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 payout ratio</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27.78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42.37 %</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31.25 %</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44.91 %</w:t>
            </w:r>
          </w:p>
        </w:tc>
        <w:tc>
          <w:tcPr>
            <w:tcW w:w="0" w:type="dxa"/>
            <w:vAlign w:val="bottom"/>
          </w:tcPr>
          <w:p>
            <w:pPr>
              <w:spacing w:after="0"/>
              <w:rPr>
                <w:sz w:val="1"/>
                <w:szCs w:val="1"/>
                <w:color w:val="auto"/>
              </w:rPr>
            </w:pPr>
          </w:p>
        </w:tc>
      </w:tr>
      <w:tr>
        <w:trPr>
          <w:trHeight w:val="20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and Other Selected Ratios: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1.10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0.77 %</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0.99 %</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0.75 %</w:t>
            </w:r>
          </w:p>
        </w:tc>
        <w:tc>
          <w:tcPr>
            <w:tcW w:w="0" w:type="dxa"/>
            <w:vAlign w:val="bottom"/>
          </w:tcPr>
          <w:p>
            <w:pPr>
              <w:spacing w:after="0"/>
              <w:rPr>
                <w:sz w:val="1"/>
                <w:szCs w:val="1"/>
                <w:color w:val="auto"/>
              </w:rPr>
            </w:pP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Return on average equity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interest spread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interest margin</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Average interest-earning assets to average interest-bearing liabilities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154.10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151.40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Efficiency ratio</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Loan-to-deposit ratio at end of period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Effective tax rate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Summary: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Non-performing loans </w:t>
            </w:r>
            <w:r>
              <w:rPr>
                <w:rFonts w:ascii="Times New Roman" w:cs="Times New Roman" w:eastAsia="Times New Roman" w:hAnsi="Times New Roman"/>
                <w:sz w:val="23"/>
                <w:szCs w:val="23"/>
                <w:color w:val="auto"/>
                <w:vertAlign w:val="superscript"/>
              </w:rPr>
              <w:t>(1)</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99,067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72,054</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99,067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72,054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Non-performing assets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99,517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72,054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99,517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72,054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charge-offs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9,749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27,985</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Non-performing assets/Total assets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0.64</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0.50 %</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0.64</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0.50 %</w:t>
            </w:r>
          </w:p>
        </w:tc>
        <w:tc>
          <w:tcPr>
            <w:tcW w:w="0" w:type="dxa"/>
            <w:vAlign w:val="bottom"/>
          </w:tcPr>
          <w:p>
            <w:pPr>
              <w:spacing w:after="0"/>
              <w:rPr>
                <w:sz w:val="1"/>
                <w:szCs w:val="1"/>
                <w:color w:val="auto"/>
              </w:rPr>
            </w:pPr>
          </w:p>
        </w:tc>
      </w:tr>
      <w:tr>
        <w:trPr>
          <w:trHeight w:val="189"/>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Non-performing loans held for investment/Total loans held for</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0.89</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Allowance for credit losses/Total loans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Allowance for credit losses/Non-performing loans held for investment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111.54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111.54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Non-performing loans are defined as all loans (including loans held for sale) on non-accrual status.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September 30, 2026 balance includes one non-performing available for sale security in the amount of $450 thousand.</w:t>
      </w:r>
    </w:p>
    <w:p>
      <w:pPr>
        <w:spacing w:after="0" w:line="200" w:lineRule="exact"/>
        <w:rPr>
          <w:rFonts w:ascii="Times New Roman" w:cs="Times New Roman" w:eastAsia="Times New Roman" w:hAnsi="Times New Roman"/>
          <w:sz w:val="24"/>
          <w:szCs w:val="24"/>
          <w:color w:val="auto"/>
          <w:vertAlign w:val="superscript"/>
        </w:rPr>
      </w:pPr>
    </w:p>
    <w:p>
      <w:pPr>
        <w:spacing w:after="0" w:line="219" w:lineRule="exact"/>
        <w:rPr>
          <w:rFonts w:ascii="Times New Roman" w:cs="Times New Roman" w:eastAsia="Times New Roman" w:hAnsi="Times New Roman"/>
          <w:sz w:val="24"/>
          <w:szCs w:val="24"/>
          <w:color w:val="auto"/>
          <w:vertAlign w:val="superscript"/>
        </w:rPr>
      </w:pPr>
    </w:p>
    <w:p>
      <w:pPr>
        <w:ind w:left="442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Announced Acquisition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October 20, 2026, the Company and ES Bancshares, Inc. (“Empire”) jointly announced the signing of a definitive merger agreement pursuant to which Empire will merge with and into Dime, and Empire’s wholly owned subsidiary, Empire State Bank, will merge with and into Dime Commercial Bank (the “Proposed Merger”). Empire State Bank, headquartered in Staten Island, New York, operates five branch locations serving businesses and customers throughout Staten Island and Brooklyn. As of September 30, 2026, Empire had total assets of approximately $596 million, total loans receivable, net of $518 million, and total deposits of $491 million. The Proposed Merger is subject to regulatory approvals, Empire stockholder approval and other customary closing conditions.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Note 1. Summary of Significant Accounting Policies, to the Company’s Audited Consolidated Financial Statements in its Annual Report on Form 10-K for the year ended December 31, 2025 contains a summary of significant accounting policies. These critical accounting estimates involve a significant degree of complexity and require management to make difficult subjective judgments which often necessitate assumptions or estimates about highly uncertain matters. Policies with respect to the methodology used to determine the allowance for credit losses on loans held for investment are important to the presentation of the Company’s consolidated financial condition and results of operations. The use of different judgments, assumptions or estimates could result in material variations in the Company’s consolidated results of operations or financial condition.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Management has reviewed the following critical accounting estimates and related disclosures with its Audit Committee.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 on Loans Held for Investment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Methods and Assumptions Underlying the Estimate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realized losses, net of recoveries, are charged against the allowance.</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or pool, for loans that share similar risk characteristics. For a loan that does not share risk characteristics with other loans, the Company will evaluate the loan on an individual basis. Within the model, assumptions are made in the determination of probability of default, loss given default, reasonable and supportable economic forecasts, prepayment rate, curtailment rate, and recovery lag periods.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Statistical regression is utilized to relate historical macro-economic variables to historical credit loss experience of a peer group of banks that operate in and around Dime’s footprint. These models are then utilized to forecast future expected loan losses based on expected future behavior of the same macro-economic variables. Adjustments to the quantitative results are made using qualitative factors, which are subjective and require significant management judgment. These factors include:</w:t>
      </w:r>
    </w:p>
    <w:p>
      <w:pPr>
        <w:spacing w:after="0" w:line="3" w:lineRule="exact"/>
        <w:rPr>
          <w:sz w:val="20"/>
          <w:szCs w:val="20"/>
          <w:color w:val="auto"/>
        </w:rPr>
      </w:pPr>
    </w:p>
    <w:p>
      <w:pPr>
        <w:jc w:val="both"/>
        <w:ind w:left="60" w:right="59" w:hanging="10"/>
        <w:spacing w:after="0" w:line="250"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lending policies and procedures and the experience, ability, and depth of the lending management and other relevant staff; (2) international, national, regional and local economic business conditions and developments that affect the collectability of the portfolio, including the condition of various markets; (3) the nature and volume of the loan portfolio;</w:t>
      </w:r>
    </w:p>
    <w:p>
      <w:pPr>
        <w:spacing w:after="0" w:line="1" w:lineRule="exact"/>
        <w:rPr>
          <w:rFonts w:ascii="Times New Roman" w:cs="Times New Roman" w:eastAsia="Times New Roman" w:hAnsi="Times New Roman"/>
          <w:sz w:val="18"/>
          <w:szCs w:val="18"/>
          <w:color w:val="auto"/>
        </w:rPr>
      </w:pPr>
    </w:p>
    <w:p>
      <w:pPr>
        <w:jc w:val="both"/>
        <w:ind w:left="60" w:right="59" w:hanging="10"/>
        <w:spacing w:after="0" w:line="253" w:lineRule="auto"/>
        <w:tabs>
          <w:tab w:leader="none" w:pos="3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severity of past due loans; (5) the quality of our loan review system; (6) the value of underlying collateral for collateralized loans; (7) the existence and effect of any concentrations of credit, and changes in the level of such concentrations; and (8) the effect of external factors such as competition and legal and regulatory requirements on the level of estimated credit losses in the existing portfolio.</w:t>
      </w:r>
    </w:p>
    <w:p>
      <w:pPr>
        <w:spacing w:after="0" w:line="18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Although management believes that it uses the best information available to establish the Allowance for Credit Loss, management assesses the sensitivity of key quantitative assumptions including macroeconomic forecasts and prepayment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rate assumptions. Changes in quantitative inputs may not occur in the same direction or magnitude across all segments of our loan portfolio and deterioration in some quantitative inputs may offset improvement in others.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Uncertainties Regarding the Estimate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Estimating the timing and amounts of future losses is subject to significant management judgment as these projected cash flows rely upon the estimates discussed above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w:t>
      </w:r>
    </w:p>
    <w:p>
      <w:pPr>
        <w:spacing w:after="0" w:line="15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on Financial Condition and Results of Operations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which would materially decrease our net income.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may experience significant credit losses if borrowers experience financial difficulties, which could have a material adverse effect on our operating results.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various regulatory agencies, as an integral part of the examination process, periodically review the allowance for credit losses. Such agencies may require the Bank to recognize adjustments to the allowance based on their judgments of the information available to them at the time of their examination.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Board of Directors has approved a liquidity policy that it reviews and updates at least annually. Senior management is responsible for implementing the policy. The Bank’s Asset Liability Committee (“ALCO”) is responsible for general oversight and strategic implementation of the policy and management of the appropriate departments are designated responsibility for implementing any strategies established by ALCO. On a daily basis, appropriate senior management receives a current cash position report and 30-day forecast to ensure that all short-term obligations are timely satisfied, and that adequate liquidity exists to fund future activities. Reports detailing the Bank’s liquidity reserves are presented to appropriate senior management on at least a monthly basis, and the Board of Directors at each of its meetings. In addition, a twelve-month liquidity forecast is presented to ALCO to assess potential future liquidity concerns. A forecast of cash flow data for the upcoming 12 months is presented to the Board of Directors no less than annually. Given recent banking industry events, management monitors the level of uninsured deposits on a regular basis.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Liquidity is primarily needed to meet customer borrowing commitments and deposit withdrawals, either on demand or on contractual maturity, to repay borrowings as they mature, to fund current and planned expenditures and to make new loans and investments as opportunities arise. The Bank’s primary sources of funding for its lending and investment activities include deposits, loan payments, investment security principal and interest payments and advances from the FHLBNY. The Bank may also sell or securitize selected multifamily residential, mixed-use or one-to-four family residential real estate loans to private sector secondary market purchasers and has in the past sold such loans to Federal National Mortgage Association and Federal Home Loan Mortgage Corporation (“FHLMC”). The Company may additionally issue debt or equity under appropriate circumstances. Although maturities and scheduled amortization of loans and investments are predictable sources of funds, deposit flows and prepayments on real estate loans and MBS are influenced by interest rates, economic conditions and competition.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is a member of American Financial Exchange (“AFX”), through which it may either borrow or lend funds on an overnight or short-term basis with other member institutions. The availability of funds changes daily. At September 30, 2026 and December 31, 2025, the Bank did not have any such borrowings outstanding through the AFX.</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utilizes repurchase agreements as part of its borrowing policy to add liquidity. Repurchase agreements represent funds received from customers, generally on an overnight basis, which are collateralized by investment securities. As of September 30, 2026 and December 31, 2025, the Bank did not have any repurchase agreements.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Bank gathers deposits in direct competition with commercial banks, savings banks and brokerage firms, many among the largest in the nation. It must additionally compete for deposit monies against the stock and bond markets, especially during periods of strong performance in those arenas. The Bank’s deposit flows are affected primarily by the pricing and marketing of its deposit products compared to its competitors, as well as the market performance of depositor investment alternatives such as the U.S. bond or equity markets. To the extent that the Bank is responsive to general market increases or declines in interest rates, its deposit flows should not be materially impacted. However, favorable performance of equity or bond markets could adversely impact the Bank’s deposit flows.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Total deposits (including mortgage escrow deposits) increased $297.2 million during the nine months ended September 30, 2026, compared to an increase of $375.5 million during the nine months ended September 30, 2025. The increase in deposits during the current period was primarily due to increases in money market accounts and non-interest-bearing checking deposits, partially offset by a decrease in interest-bearing checking deposits, and savings accounts.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event that the Bank should require funds beyond its ability or desire to generate them internally, additional sources of funds are available through a borrowing line at the FHLBNY, borrowing capacity at the AFX, lines of credit with unaffiliated correspondent banks, and various brokered deposit sources. At September 30, 2026, the Bank had remaining borrowing capacity of $1.55 billion through the FHLBNY, subject to customary minimum FHLBNY common stock ownership requirements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4.5% of the Bank’s outstanding FHLBNY borrowings). The Bank also had access to the Federal Reserve Bank (“FRB”) Discount Window. At September 30, 2026, an available line of credit totaling $304.4 million was in place at the FRB backed by investment securities with no advances drawn. Additionally, at September 30, 2026, a line of credit totaling $4.19 billion was in place at the FRB secured by certain qualifying one-to-four family residential mortgage loans, construction loans and commercial real estate loans with no amounts drawn.</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reduced its outstanding FHLBNY advances by $173.0 million during the nine months ended September 30, 2026, compared to a reduction of $100.0 million during the nine months ended September 30, 2025. See Note 12. “FHLBNY Advances” for further information.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Subordinated debentures totaled $231.3 million at September 30, 2026 compared to $272.5 million at December 31, 2025.</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13. “Subordinated Debentures” to our Consolidated Financial Statements for further information.</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and 2025, business loan originations excluding new lines were $516.1 million and $279.5 million, respectively. During the nine months ended September 30, 2026 and 2025, real estate loan originations excluding new lines (excluding owner-occupied commercial real estate) totaled $334.2 million and $196.3 million, respectively.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and the Bank are subject to minimum regulatory capital requirements imposed by their primary federal regulators. As a general matter, these capital requirements are based on the amount and composition of an institution’s assets. At September 30, 2026, both the Company and the Bank were in compliance with all applicable regulatory capital requirements, and the Bank was considered “well capitalized” for all regulatory purposes.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Company and Bank capital ratios calculated under the Basel III Capital Rules framework as of the period indicated:</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7"/>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Actual Ratios at September 30, 2026</w:t>
            </w:r>
          </w:p>
        </w:tc>
      </w:tr>
      <w:tr>
        <w:trPr>
          <w:trHeight w:val="183"/>
        </w:trPr>
        <w:tc>
          <w:tcPr>
            <w:tcW w:w="41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Basel III</w:t>
            </w:r>
          </w:p>
        </w:tc>
        <w:tc>
          <w:tcPr>
            <w:tcW w:w="1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4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 Be Categorized as</w:t>
            </w:r>
          </w:p>
        </w:tc>
      </w:tr>
      <w:tr>
        <w:trPr>
          <w:trHeight w:val="232"/>
        </w:trPr>
        <w:tc>
          <w:tcPr>
            <w:tcW w:w="4160" w:type="dxa"/>
            <w:vAlign w:val="bottom"/>
          </w:tcPr>
          <w:p>
            <w:pPr>
              <w:spacing w:after="0"/>
              <w:rPr>
                <w:sz w:val="20"/>
                <w:szCs w:val="20"/>
                <w:color w:val="auto"/>
              </w:rPr>
            </w:pPr>
          </w:p>
        </w:tc>
        <w:tc>
          <w:tcPr>
            <w:tcW w:w="8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Bank</w:t>
            </w:r>
          </w:p>
        </w:tc>
        <w:tc>
          <w:tcPr>
            <w:tcW w:w="108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Requirement</w:t>
            </w:r>
          </w:p>
        </w:tc>
        <w:tc>
          <w:tcPr>
            <w:tcW w:w="170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16"/>
                <w:szCs w:val="16"/>
                <w:b w:val="1"/>
                <w:bCs w:val="1"/>
                <w:color w:val="auto"/>
              </w:rPr>
              <w:t xml:space="preserve">“Well Capitalized” </w:t>
            </w:r>
            <w:r>
              <w:rPr>
                <w:rFonts w:ascii="Times New Roman" w:cs="Times New Roman" w:eastAsia="Times New Roman" w:hAnsi="Times New Roman"/>
                <w:sz w:val="24"/>
                <w:szCs w:val="24"/>
                <w:b w:val="1"/>
                <w:bCs w:val="1"/>
                <w:color w:val="auto"/>
                <w:vertAlign w:val="superscript"/>
              </w:rPr>
              <w:t>(1)</w:t>
            </w:r>
          </w:p>
        </w:tc>
      </w:tr>
      <w:tr>
        <w:trPr>
          <w:trHeight w:val="19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common equity ratio</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risk-based capital ratio</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Pr>
          <w:p>
            <w:pPr>
              <w:spacing w:after="0"/>
              <w:rPr>
                <w:sz w:val="17"/>
                <w:szCs w:val="17"/>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risk-based capital ratio</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CCEEFF"/>
          </w:tcPr>
          <w:p>
            <w:pPr>
              <w:spacing w:after="0"/>
              <w:rPr>
                <w:sz w:val="17"/>
                <w:szCs w:val="17"/>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leverage ratio</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74" w:lineRule="exact"/>
        <w:rPr>
          <w:sz w:val="20"/>
          <w:szCs w:val="20"/>
          <w:color w:val="auto"/>
        </w:rPr>
      </w:pPr>
    </w:p>
    <w:p>
      <w:pPr>
        <w:ind w:left="380" w:hanging="330"/>
        <w:spacing w:after="0"/>
        <w:tabs>
          <w:tab w:leader="none" w:pos="380"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Only the Bank is subject to these requirements.</w:t>
      </w:r>
    </w:p>
    <w:p>
      <w:pPr>
        <w:spacing w:after="0" w:line="20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resumed activity under its share repurchase program. The Company repurchased 298,003 shares of common stock for $12.2 million during the quarter ended September 30, 2026. The timing and amount of any future repurchases will depend on market conditions, capital requirements, and other factors deemed relevant by management and the Board of Directors. As of September 30, 2026, 1,268,944 shares remained available for purchase under the authorized share repurchase programs. See “Part II - Item 2. Other Information - Unregistered Sales of Equity Securities, Use of Proceeds and Issuer Purchases of Equity Securities” for additional information about repurchases of common stock.</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paid $5.5 million in cash dividends on its preferred stock during the nine months ended September 30, 2026 and 2025, respectively.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paid $32.3 million and $32.2 million in cash dividends on its common stock during the nine months ended September 30, 2026 and 2025,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generally has outstanding borrowings in the form of FHLBNY advances, short-term or overnight borrowings, subordinated debt, as well as customer CDs with fixed contractual interest rates. In addition, the Bank is obligated to make rental payments under leases on certain branches and equipment.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part of its loan origination business, the Bank generally has outstanding commitments to extend credit to borrowers, which are originated pursuant to its regular underwriting standards. Available lines of credit may not be drawn on or may expire prior to funding, in whole or in part, and amounts are not estimates of future cash flows. As of September 30, 2026, the Bank had $189.5 million of firm loan commitments that were accepted by the borrowers.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in connection with a loan securitization completed in December 2017, the Bank executed a reimbursement agreement with FHLMC that obligates the Company to reimburse FHLMC for any contractual principal and interest payments on defaulted loans, not to exceed 10% of the original principal amount of the loans comprising the aggregate balance of the loan pool at securitization. The maximum exposure under this reimbursement obligation is $28.0 million. The Bank has pledged $27.9 million of pass-through MBS issued by U.S. GSEs as collateral.</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 of Lending Activities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Non-owner occupied commercial real estate loans and multifamily residential and residential mixed-use loans have collectively represented the largest percentage of the Company’s loan portfolio, accounting for 52% and 59% of total loans held for investment as of September 30, 2026 and December 31, 2025, respectively. Non-owner occupied commercial real estate loans represented 25% and 27% of total loans held for investment as of September 30, 2026 and December 31, 2025, respectively. Multifamily residential and residential mixed-use loans represented 27% and 32% of total loans held for investment as of September 30, 2026 and December 31, 2025, respectively. The Company expects that non-owner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occupied commercial real estate loans and multifamily residential and residential mixed-use loans will continue to be a significant portion of the Company’s total loan portfolio.</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Non-owner occupied commercial real estate loans and multifamily residential and residential mixed-use loans are subject to a varying degree of risk associated with changing general economic conditions. The Company employs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appropriate capital levels as needed to support lending activities.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Despite the Company's concentration in non-owner occupied commercial real estate and multifamily residential and residential mixed-use loans, the properties securing these portfolios are diversified in terms of type and geographic location. This diversity helps reduce the exposure to adverse economic events that affect any single market or industry. As a matter of policy, the non-owner occupied commercial real estate loan and the multifamily residential and residential mixed-use loan portfolios are subject to risk exposure limits by individual asset classes as well as geographic collateral locations outside of our market areas.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regularly identify and assess concentration levels through ongoing reporting to our Board of Directors as well as committees at both the Board and Management levels. The management team has extensive knowledge and experience in underwriting non-owner occupied commercial real estate loans and multifamily residential and residential mixed-use loans. Management has established the Credit Risk Management Committee which meets quarterly to review all policies and procedures, large lending exposures, and emerging trends including trends related to delinquency, debt service coverage ratios, loan-to-value, and loan ratings to aid in early detection and escalation of potential issues. The Company has a dedicated team responsible for conducting comprehensive annual reviews of the portfolios, ensuring consistent oversight. Credit underwriting standards are periodically reviewed and adjusted based upon observations from our ongoing monitoring of economic conditions in major real estate markets in which we lend. In response to the current dynamic interest rate environment and changes in the benchmark rates that determine loan pricing, the Company has enhanced its stress testing and loan review activities to mitigate interest rate reset risk with a specific emphasis on borrowers' abilities to absorb the impact of higher interest loan rates and measure the resiliency of the portfolios. As a general rule, Management takes a selective approach to originating non-owner occupied commercial real estate and multifamily residential and residential mixed-use loans, prioritizing quality and strategic alignment.</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the composition by property type and weighted average loan-to-value (“LTV”) of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non-owner occupied commercial real estate loans: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NY</w:t>
            </w:r>
          </w:p>
        </w:tc>
        <w:tc>
          <w:tcPr>
            <w:tcW w:w="160" w:type="dxa"/>
            <w:vAlign w:val="bottom"/>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NJ</w:t>
            </w:r>
          </w:p>
        </w:tc>
        <w:tc>
          <w:tcPr>
            <w:tcW w:w="14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44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LTV</w:t>
            </w:r>
          </w:p>
        </w:tc>
        <w:tc>
          <w:tcPr>
            <w:tcW w:w="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Investor commercial real estate:</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Retail</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875,500</w:t>
            </w:r>
          </w:p>
        </w:tc>
        <w:tc>
          <w:tcPr>
            <w:tcW w:w="1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63,848</w:t>
            </w:r>
          </w:p>
        </w:tc>
        <w:tc>
          <w:tcPr>
            <w:tcW w:w="16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18,261</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957,609</w:t>
            </w:r>
          </w:p>
        </w:tc>
        <w:tc>
          <w:tcPr>
            <w:tcW w:w="7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51</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Investor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335,272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122,608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460,880</w:t>
            </w:r>
          </w:p>
        </w:tc>
        <w:tc>
          <w:tcPr>
            <w:tcW w:w="7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Warehouse/ Industrial</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313,532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12,132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43,692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369,356</w:t>
            </w:r>
          </w:p>
        </w:tc>
        <w:tc>
          <w:tcPr>
            <w:tcW w:w="7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51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Hotels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311,757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11,533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323,702</w:t>
            </w:r>
          </w:p>
        </w:tc>
        <w:tc>
          <w:tcPr>
            <w:tcW w:w="7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55</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Supportive housing</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160,935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160,935</w:t>
            </w:r>
          </w:p>
        </w:tc>
        <w:tc>
          <w:tcPr>
            <w:tcW w:w="7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Educational facility or library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110,860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110,860</w:t>
            </w:r>
          </w:p>
        </w:tc>
        <w:tc>
          <w:tcPr>
            <w:tcW w:w="7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56</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office</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71,738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27,374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99,112</w:t>
            </w:r>
          </w:p>
        </w:tc>
        <w:tc>
          <w:tcPr>
            <w:tcW w:w="7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59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242,010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27,355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1,756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271,121</w:t>
            </w:r>
          </w:p>
        </w:tc>
        <w:tc>
          <w:tcPr>
            <w:tcW w:w="7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60</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investor commercial real estate</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2,421,604</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226,355</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105,616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2,753,575</w:t>
            </w:r>
          </w:p>
        </w:tc>
        <w:tc>
          <w:tcPr>
            <w:tcW w:w="920" w:type="dxa"/>
            <w:vAlign w:val="bottom"/>
            <w:gridSpan w:val="3"/>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54 %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79" w:hanging="330"/>
        <w:spacing w:after="0"/>
        <w:tabs>
          <w:tab w:leader="none" w:pos="38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medical facilities, and other special use properties.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NY</w:t>
            </w:r>
          </w:p>
        </w:tc>
        <w:tc>
          <w:tcPr>
            <w:tcW w:w="160" w:type="dxa"/>
            <w:vAlign w:val="bottom"/>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NJ</w:t>
            </w:r>
          </w:p>
        </w:tc>
        <w:tc>
          <w:tcPr>
            <w:tcW w:w="14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2"/>
                <w:szCs w:val="12"/>
                <w:color w:val="auto"/>
              </w:rPr>
            </w:pPr>
          </w:p>
        </w:tc>
        <w:tc>
          <w:tcPr>
            <w:tcW w:w="700" w:type="dxa"/>
            <w:vAlign w:val="bottom"/>
          </w:tcPr>
          <w:p>
            <w:pPr>
              <w:jc w:val="right"/>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44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LTV</w:t>
            </w:r>
          </w:p>
        </w:tc>
        <w:tc>
          <w:tcPr>
            <w:tcW w:w="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Investor commercial real estate:</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Retail</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956,123</w:t>
            </w:r>
          </w:p>
        </w:tc>
        <w:tc>
          <w:tcPr>
            <w:tcW w:w="1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65,449</w:t>
            </w:r>
          </w:p>
        </w:tc>
        <w:tc>
          <w:tcPr>
            <w:tcW w:w="16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3,463</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1,025,035</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Investor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386,265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141,502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530,822</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Warehouse/Industrial</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301,698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68,057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384,265</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Hotels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329,424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341,552</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Supportive housing</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168,858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168,858</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Educational facility or library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112,360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112,360</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office</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73,319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27,852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101,171</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263,651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268,948</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investor commercial real estate</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2,591,698</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224,543</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116,770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2,933,011</w:t>
            </w: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79" w:hanging="330"/>
        <w:spacing w:after="0"/>
        <w:tabs>
          <w:tab w:leader="none" w:pos="38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medical facilities, and other special use properties.</w:t>
      </w:r>
    </w:p>
    <w:p>
      <w:pPr>
        <w:spacing w:after="0" w:line="203" w:lineRule="exact"/>
        <w:rPr>
          <w:sz w:val="20"/>
          <w:szCs w:val="20"/>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The following table presents the composition by property type and weighted average LTV of the Company’s multifamily residential and residential mixed-use loans: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6"/>
        </w:trPr>
        <w:tc>
          <w:tcPr>
            <w:tcW w:w="22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gridSpan w:val="2"/>
          </w:tcPr>
          <w:p>
            <w:pPr>
              <w:spacing w:after="0"/>
              <w:rPr>
                <w:sz w:val="16"/>
                <w:szCs w:val="16"/>
                <w:color w:val="auto"/>
              </w:rPr>
            </w:pPr>
          </w:p>
        </w:tc>
      </w:tr>
      <w:tr>
        <w:trPr>
          <w:trHeight w:val="203"/>
        </w:trPr>
        <w:tc>
          <w:tcPr>
            <w:tcW w:w="22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7"/>
                <w:szCs w:val="17"/>
                <w:color w:val="auto"/>
              </w:rPr>
            </w:pPr>
          </w:p>
        </w:tc>
        <w:tc>
          <w:tcPr>
            <w:tcW w:w="7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5"/>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7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7"/>
              </w:rPr>
              <w:t>LTV</w:t>
            </w:r>
          </w:p>
        </w:tc>
        <w:tc>
          <w:tcPr>
            <w:tcW w:w="20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9"/>
        </w:trPr>
        <w:tc>
          <w:tcPr>
            <w:tcW w:w="6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463,499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62 </w:t>
            </w: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646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536,888</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free market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1,335,885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53</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2,336,272</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615,721</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2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multifamily residential and residential mixed-use</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2,951,993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56 </w:t>
            </w: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r>
    </w:tbl>
    <w:p>
      <w:pPr>
        <w:ind w:left="380" w:hanging="330"/>
        <w:spacing w:after="0" w:line="224" w:lineRule="auto"/>
        <w:tabs>
          <w:tab w:leader="none" w:pos="38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New York City includes the Bronx, Brooklyn, Queens, Staten Island and Manhattan.</w:t>
      </w:r>
    </w:p>
    <w:p>
      <w:pPr>
        <w:spacing w:after="0" w:line="38"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22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22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5"/>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LTV</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9"/>
        </w:trPr>
        <w:tc>
          <w:tcPr>
            <w:tcW w:w="6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514,403</w:t>
            </w:r>
          </w:p>
        </w:tc>
        <w:tc>
          <w:tcPr>
            <w:tcW w:w="13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59 %</w:t>
            </w:r>
          </w:p>
        </w:tc>
        <w:tc>
          <w:tcPr>
            <w:tcW w:w="40" w:type="dxa"/>
            <w:vAlign w:val="bottom"/>
          </w:tcPr>
          <w:p>
            <w:pPr>
              <w:spacing w:after="0"/>
              <w:rPr>
                <w:sz w:val="17"/>
                <w:szCs w:val="17"/>
                <w:color w:val="auto"/>
              </w:rPr>
            </w:pPr>
          </w:p>
        </w:tc>
      </w:tr>
      <w:tr>
        <w:trPr>
          <w:trHeight w:val="203"/>
        </w:trPr>
        <w:tc>
          <w:tcPr>
            <w:tcW w:w="646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585,325</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free market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1,644,100</w:t>
            </w:r>
          </w:p>
        </w:tc>
        <w:tc>
          <w:tcPr>
            <w:tcW w:w="11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54</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2,743,828</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680,694</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57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2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multifamily residential and residential mixed-use</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3,424,522</w:t>
            </w:r>
          </w:p>
        </w:tc>
        <w:tc>
          <w:tcPr>
            <w:tcW w:w="1140" w:type="dxa"/>
            <w:vAlign w:val="bottom"/>
            <w:tcBorders>
              <w:top w:val="single" w:sz="8" w:color="CCEEFF"/>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 w:type="dxa"/>
            <w:vAlign w:val="bottom"/>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r>
    </w:tbl>
    <w:p>
      <w:pPr>
        <w:ind w:left="380" w:hanging="330"/>
        <w:spacing w:after="0" w:line="214" w:lineRule="auto"/>
        <w:tabs>
          <w:tab w:leader="none" w:pos="38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New York City includes the Bronx, Brooklyn, Queens, Staten Island and Manhattan.</w:t>
      </w:r>
    </w:p>
    <w:p>
      <w:pPr>
        <w:spacing w:after="0" w:line="37"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Additional information related to the non-owner occupied commercial real estate and multifamily residential and residential mixed-use portfolios is presented in the table below as of September 30, 2026 and December 31, 2025:</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0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86"/>
        </w:trPr>
        <w:tc>
          <w:tcPr>
            <w:tcW w:w="5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03"/>
        </w:trPr>
        <w:tc>
          <w:tcPr>
            <w:tcW w:w="5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215"/>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Loan Size</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&gt; $20 million</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Loan Size</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&gt; $20 million</w:t>
            </w:r>
          </w:p>
        </w:tc>
      </w:tr>
      <w:tr>
        <w:trPr>
          <w:trHeight w:val="19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Investor commercial real estate:</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2,690</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2,582</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Investor Office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5,620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Warehouse/ Industrial</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3,808</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Hotels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8,518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8,758</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Supportive housing</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22,991</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21,107</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Educational facility or library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10,078</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10,215</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Medical office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5,506</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5,621</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526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3"/>
                <w:szCs w:val="23"/>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5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52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(2)</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260" w:type="dxa"/>
            <w:vAlign w:val="bottom"/>
            <w:gridSpan w:val="2"/>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26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(3)</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3,556</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5260" w:type="dxa"/>
            <w:vAlign w:val="bottom"/>
            <w:gridSpan w:val="2"/>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free market </w:t>
            </w:r>
            <w:r>
              <w:rPr>
                <w:rFonts w:ascii="Times New Roman" w:cs="Times New Roman" w:eastAsia="Times New Roman" w:hAnsi="Times New Roman"/>
                <w:sz w:val="23"/>
                <w:szCs w:val="23"/>
                <w:color w:val="auto"/>
                <w:vertAlign w:val="superscript"/>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5,174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4,760</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62230</wp:posOffset>
            </wp:positionV>
            <wp:extent cx="14141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2" w:lineRule="exact"/>
        <w:rPr>
          <w:sz w:val="20"/>
          <w:szCs w:val="20"/>
          <w:color w:val="auto"/>
        </w:rPr>
      </w:pPr>
    </w:p>
    <w:p>
      <w:pPr>
        <w:ind w:left="380" w:right="79" w:hanging="330"/>
        <w:spacing w:after="0"/>
        <w:tabs>
          <w:tab w:leader="none" w:pos="38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medical facilities, and other special use properties.</w:t>
      </w:r>
    </w:p>
    <w:p>
      <w:pPr>
        <w:spacing w:after="0" w:line="102" w:lineRule="exact"/>
        <w:rPr>
          <w:rFonts w:ascii="Times New Roman" w:cs="Times New Roman" w:eastAsia="Times New Roman" w:hAnsi="Times New Roman"/>
          <w:sz w:val="27"/>
          <w:szCs w:val="27"/>
          <w:color w:val="auto"/>
          <w:vertAlign w:val="superscript"/>
        </w:rPr>
      </w:pPr>
    </w:p>
    <w:p>
      <w:pPr>
        <w:ind w:left="380" w:hanging="330"/>
        <w:spacing w:after="0" w:line="184" w:lineRule="auto"/>
        <w:tabs>
          <w:tab w:leader="none" w:pos="380" w:val="left"/>
        </w:tabs>
        <w:numPr>
          <w:ilvl w:val="0"/>
          <w:numId w:val="1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New York City includes the Bronx, Brooklyn, Queens, Staten Island and Manhattan.</w:t>
      </w:r>
    </w:p>
    <w:p>
      <w:pPr>
        <w:spacing w:after="0" w:line="37" w:lineRule="exact"/>
        <w:rPr>
          <w:rFonts w:ascii="Times New Roman" w:cs="Times New Roman" w:eastAsia="Times New Roman" w:hAnsi="Times New Roman"/>
          <w:sz w:val="26"/>
          <w:szCs w:val="26"/>
          <w:color w:val="auto"/>
          <w:vertAlign w:val="superscript"/>
        </w:rPr>
      </w:pPr>
    </w:p>
    <w:p>
      <w:pPr>
        <w:ind w:left="380" w:hanging="330"/>
        <w:spacing w:after="0" w:line="182" w:lineRule="auto"/>
        <w:tabs>
          <w:tab w:leader="none" w:pos="38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We do not originate or purchase loans, either whole loans or loans underlying MBS, which would have been considered subprime loans at origination,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real estate loans advanced to borrowers who did not qualify for market interest rates because of problems with their income or credit history. See Note 6 to our unaudited condensed Consolidated Financial Statements for a discussion of evaluation for impaired securities.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Monitoring and Collection of Delinquent Loans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All past due loans are reported beginning on the first day a payment is past due through a Past Due Loan Report, which is distributed to lenders and management for follow-up and awareness. Consistent with customary grace periods, collection follow-up activities generally commence on or about the tenth day past due. Thereafter, past due follow-up calls are conducted on a weekly basis, as appropriate. Management reviews delinquent loans monthly and reports to the Board of Directors or appropriate Committees of the Board at each regularly scheduled meeting regarding the status of all non-performing and otherwise delinquent loans in the loan portfolio.</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loan servicing policies and procedures require that a past due notice be sent to a delinquent borrower in accordance with the terms of the loan. Loan documents generally provide that a payment is deemed late between one and fifteen days after the due date. As a standard practice, notices are sent as soon as reasonably possible after a payment is deemed late, including ten days in the case of business loans, multifamily residential and mixed use loans, non-owner occupied commercial real estate loans, and acquisition, development, and construction (ADC) loans, and fifteen days in connection with one-to-four family residential and consumer loans. Thereafter, periodic letters are sent, and telephone calls are placed to the borrower until payment is received or a formal demand is made and the loan is transferred to Workout. When contact is made with the borrower prior to default or foreclosure, servicing will seek to obtain the full payment due. Once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transferred, Workout will attempt to negotiate a repayment plan or other resolution with the borrower to avoid foreclosure, where appropriate.</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Accrual of interest is generally discontinued on a loan that meets any of the following three criteria: (i) full payment of principal or interest is no longer expected; (ii) principal or interest has been in default for a period of 90 days or more (unless the loan is both deemed to be well secured and in the process of collection); or (iii) an election has otherwise been made to maintain the loan on a cash basis due to deterioration in the financial condition of the borrower. Such non-accrual determination practices are applied consistently to all loans regardless of their internal classification or designation. Upon entering non-accrual status, the system will reverse all outstanding accrued interest receivable.</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generally initiate foreclosure proceedings on real estate loans when a loan enters non-accrual status based upon non-payment, unless the borrower is paying in accordance with an agreed upon modified payment agreement. We obtain an updated appraisal upon the commencement of legal action to calculate a potential collateral shortfall and to reserve appropriately for the potential loss. If a foreclosure action is instituted and the loan is not brought current, paid in full, or refinanced before the foreclosure action is completed, the property securing the loan is transferred to Other Real Estate Owned (“OREO”) status. We generally attempt to utilize all available remedies, such as note sales in lieu of foreclosure, in an effort to resolve non-accrual loans and OREO properties as quickly and prudently as possible in consideration of market conditions, the physical condition of the property and any other mitigating circumstances. We have not initiated any expected or imminent foreclosure proceedings that are likely to have a material adverse impact on our consolidated financial statements for the three and nine months ended September 30, 2026. In the event that a non-accrual loan is subsequently brought current, it is returned to accrual status once the doubt concerning collectability has been removed and the borrower has demonstrated performance in accordance with the loan terms and has made at least six months of payments.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C&amp;I portfolio, which is within our business loans, is actively managed by our lenders. Most credit facilities typically require an annual review of the exposure and borrowers are required to submit annual financial reporting and loans are structured with financial covenants to indicate expected performance levels. Smaller C&amp;I loans are monitored based on performance and the ability to draw against a credit line is curtailed if there are any indications of credit deterioration. Guarantors are also required to update their financial reporting on an annual basis or alternative schedule as provided in their loan documents. All exposures are credit risk rated and those entering adverse ratings due to financial performance concerns of the borrower or material delinquency of any payments or financial reporting are subjected to added management scrutiny and monitoring. Measures taken typically include amendments to the amount of the available credit facility, requirements for increased collateral, additional guarantor support or a material enhancement to the frequency and quality of financial reporting. Loans determined to reach adverse risk rating standards are monitored closely by Credit Administration to identify any potential credit losses. When warranted, loans reaching a Substandard rating could be reassigned to the Workout Group for direct handling.</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Non-accrual Loans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non-accrual loans as of the dates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0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Non-accrual loans held for investment:</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Business loans</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33,171</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22,606</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4,852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47,773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11,109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25,671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non-accrual loans held for investment</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97,317</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52,312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72,054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 non-accrual loans held for sale</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1,750</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non-accrual loans</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99,067</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52,312</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72,054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 non-performing loans to total assets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0.64 %</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0.34</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Loan Restructurings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applies the loan refinancing and restructuring guidance to determine whether a modification or other form of restructuring results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Within the allowance for credit losses, losses are estimated for restructured loans on accrual status as well as restructured loans on non-accrual status that are one-to-four family loans or consumer loans, on a pooled basis with loans that share similar risk characteristics. Restructured loans on non-accrual status excluding one-to-four family and consumer loans are individually evaluated to determine expected credit losses. For restructured loans that are collateral-dependent where the Bank has determined that foreclosure of the collateral is probable, or where the borrower is experiencing financial difficulty and we expect repayment of the loan to be provided substantially through the operation or sale of the collateral, the allowance for credit losses is measured based on the difference between the fair value of collateral, less the estimated costs to sell, and the amortized cost basis of the loan as of the measurement date. For non-collateral-dependent loans, the allowance for credit losses is measured based on the difference between the present value of expected cash flows and the amortized cost basis of the loan as of the measurement date.</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OREO</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Property acquired by the Bank, or a subsidiary, as a result of foreclosure on a mortgage loan or a deed in lieu of foreclosure is classified as OREO. Upon entering OREO status, we obtain a current appraisal on the property and reassess the likely realizable value (</w:t>
      </w:r>
      <w:r>
        <w:rPr>
          <w:rFonts w:ascii="Times New Roman" w:cs="Times New Roman" w:eastAsia="Times New Roman" w:hAnsi="Times New Roman"/>
          <w:sz w:val="18"/>
          <w:szCs w:val="18"/>
          <w:i w:val="1"/>
          <w:iCs w:val="1"/>
          <w:color w:val="auto"/>
        </w:rPr>
        <w:t>a/k/a</w:t>
      </w:r>
      <w:r>
        <w:rPr>
          <w:rFonts w:ascii="Times New Roman" w:cs="Times New Roman" w:eastAsia="Times New Roman" w:hAnsi="Times New Roman"/>
          <w:sz w:val="18"/>
          <w:szCs w:val="18"/>
          <w:color w:val="auto"/>
        </w:rPr>
        <w:t xml:space="preserve"> fair value) of the property quarterly thereafter. OREO is carried at the lower of the fair value or book balance, with any write downs recognized through a provision recorded in non-interest expense. Only the appraised value, or either a contractual or formal marketed value that falls below the appraised value, is used when determining the likely realizable value of OREO at each reporting period. We typically seek to dispose of OREO properties in a timely manner. As a result, OREO properties have generally not warranted subsequent independent appraisals.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was no carrying value of OREO properties on our Consolidated Statement of Financial Condition at September 30, 2026 or December 31, 2025. We did not recognize any provision for losses on OREO properties during the nine months ended September 30, 2026 or 2025.</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Past Due Loans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Loans Delinquent 30 to 59 Days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September 30, 2026, there were $11.2 million of loans that were past due between 30 and 59 days, compared to $28.8 million at December 31, 2025. The 30 to 59-day delinquency levels fluctuate monthly and are generally considered a less accurate indicator of near-term credit quality trends than non-accrual loans.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Loans Delinquent 60 to 89 Days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September 30, 2026, there were $23.2 million of loans that were past due between 60 and 89 days, compared to $30.1 million at December 31, 2025. The 60 to 89-day delinquency levels fluctuate monthly and are generally considered a less accurate indicator of near-term credit quality trends than non-accrual loans.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Accruing Loans 90 Days or More Past Due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accruing loans 90 days or more past due at September 30, 2026 or at December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Reserve for Unfunded Loan Commitments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Bank maintains a reserve, recorded in other liabilities, associated with unfunded loan commitments accepted by the borrower. The amount of our reserve was $3.0 million and $2.2 million at September 30, 2026 and December 31, 2025, respectively. This reserve is determined based upon the outstanding volume of unfunded loan commitments at each period end. Any increases or reductions in this reserve are recognized in provision for credit losses.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Provision for credit losses for the nine months ended September 30, 2026 and 2025 was $40.0 million and $32.1 million, respectively. The $40.0 million credit loss provision for the nine months ended September 30, 2026 was attributable to charge-offs, provisioning for individually analyzed loans and growth in the business loan portfolio. Included in the provision for credit losses for the nine months ended September 30, 2025 was $2.1 million of provision related to one available-for-sale corporate security. The remainder of the credit loss provision for the nine months ended September 30, 2025 was attributable to updates in the macroeconomic forecast, updated loss driver models, and charge-offs on loans.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a further discussion of the allowance for credit losses and related activity during the nine months ended September 30, 2026 and 2025, please see Note 6 “Securities” and Note 7 “Loans Held for Investment, Net” to the condensed Consolidated Financial Statements.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allowance for credit losses allocated by loan type and the percent of loans in each category to total loans as of the dates indicated.</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of Loans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Loans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in Each</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Each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Allocated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Category</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Allocated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Category</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to Total</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 Total</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45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gridSpan w:val="2"/>
            <w:vMerge w:val="continue"/>
          </w:tcPr>
          <w:p>
            <w:pPr>
              <w:spacing w:after="0"/>
              <w:rPr>
                <w:sz w:val="15"/>
                <w:szCs w:val="15"/>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gridSpan w:val="2"/>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63,409</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36.56</w:t>
            </w:r>
          </w:p>
        </w:tc>
        <w:tc>
          <w:tcPr>
            <w:tcW w:w="280" w:type="dxa"/>
            <w:vAlign w:val="bottom"/>
            <w:tcBorders>
              <w:top w:val="single" w:sz="8" w:color="CCEEF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49,770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30.12</w:t>
            </w:r>
          </w:p>
        </w:tc>
        <w:tc>
          <w:tcPr>
            <w:tcW w:w="22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8,103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10.30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16,275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27.03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14,053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18,735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25.22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0.81</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593</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0.08</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0.06</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108,548</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100.00</w:t>
            </w:r>
          </w:p>
        </w:tc>
        <w:tc>
          <w:tcPr>
            <w:tcW w:w="280" w:type="dxa"/>
            <w:vAlign w:val="bottom"/>
            <w:tcBorders>
              <w:bottom w:val="single" w:sz="8" w:color="CCEEF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97,372</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tcBorders>
              <w:bottom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information about our allowance for credit losses at or for the dates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At or for the Nine Months Ended</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gridSpan w:val="2"/>
          </w:tcPr>
          <w:p>
            <w:pPr>
              <w:jc w:val="right"/>
              <w:ind w:right="2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8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loans outstanding at end of period </w:t>
            </w:r>
            <w:r>
              <w:rPr>
                <w:rFonts w:ascii="Times New Roman" w:cs="Times New Roman" w:eastAsia="Times New Roman" w:hAnsi="Times New Roman"/>
                <w:sz w:val="16"/>
                <w:szCs w:val="16"/>
                <w:color w:val="auto"/>
                <w:vertAlign w:val="superscript"/>
              </w:rPr>
              <w:t>(1)</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10,920,166</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10,725,269</w:t>
            </w: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Average total loans outstanding during the period </w:t>
            </w:r>
            <w:r>
              <w:rPr>
                <w:rFonts w:ascii="Times New Roman" w:cs="Times New Roman" w:eastAsia="Times New Roman" w:hAnsi="Times New Roman"/>
                <w:sz w:val="17"/>
                <w:szCs w:val="17"/>
                <w:color w:val="auto"/>
                <w:vertAlign w:val="superscript"/>
              </w:rPr>
              <w:t>(2)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10,718,110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10,832,841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balance at end of period</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108,548</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94,061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to total loans at end of period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0.99 %</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0.88</w:t>
            </w:r>
          </w:p>
        </w:tc>
        <w:tc>
          <w:tcPr>
            <w:tcW w:w="2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Non-performing loans held for investment to total loans held for investment at end of period</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0.89</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to total non-performing loans at end of period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111.54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130.54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Ratio of net charge-offs to average loans outstanding during the period: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Business loans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0.09 %</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2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5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0.85</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0.24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1.75</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0.35</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41910</wp:posOffset>
            </wp:positionV>
            <wp:extent cx="14141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40" w:lineRule="exact"/>
        <w:rPr>
          <w:sz w:val="20"/>
          <w:szCs w:val="20"/>
          <w:color w:val="auto"/>
        </w:rPr>
      </w:pPr>
    </w:p>
    <w:p>
      <w:pPr>
        <w:ind w:left="380" w:hanging="330"/>
        <w:spacing w:after="0"/>
        <w:tabs>
          <w:tab w:leader="none" w:pos="38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Total loans represent gross loans (excluding loans held for sale), inclusive of deferred fees/costs and premiums/discounts.</w:t>
      </w:r>
    </w:p>
    <w:p>
      <w:pPr>
        <w:spacing w:after="0" w:line="37" w:lineRule="exact"/>
        <w:rPr>
          <w:rFonts w:ascii="Times New Roman" w:cs="Times New Roman" w:eastAsia="Times New Roman" w:hAnsi="Times New Roman"/>
          <w:sz w:val="27"/>
          <w:szCs w:val="27"/>
          <w:color w:val="auto"/>
          <w:vertAlign w:val="superscript"/>
        </w:rPr>
      </w:pPr>
    </w:p>
    <w:p>
      <w:pPr>
        <w:ind w:left="380" w:right="79" w:hanging="330"/>
        <w:spacing w:after="0" w:line="191" w:lineRule="auto"/>
        <w:tabs>
          <w:tab w:leader="none" w:pos="38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Total average loans represent gross loans (including loans held for sale), inclusive of deferred loan fees/costs and premiums/discounts.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Financial Condition at September 30, 2026 and December 31, 2025</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totaled $15.55 billion at September 30, 2026, $205.2 million above their level at December 31,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increases of $182.0 million in total securities, and $148.8 million in the loan portfolio, partially offset by a decrease of $169.2 million in cash and due from banks.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Loan originations, excluding new lines, totaled $850.5 million for the nine-month period ended September 30, 2026.</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Total investment securities increased $182.0 million during the nine months ended September 30, 2026, to $1.60 billion at period end, primarily due to purchases of $357.3 million, partially offset by proceeds from principal payments, calls and maturities of $138.9 million, an increase in unrealized losses of $32.4 million and proceeds from the sale of available for sale securities of $4.0 million. There were no transfers to or from securities held-to-maturity during the nine months ended September 30, 2026.</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BOLI increased $20.9 million during the nine months ended September 30, 2026, to $422.1 million.</w:t>
      </w:r>
    </w:p>
    <w:p>
      <w:pPr>
        <w:spacing w:after="0" w:line="221"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liabilities increased $158.2 million during the nine months ended September 30, 2026, to $14.02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end, primarily due to increases of $297.2 million in deposits (including mortgage escrow accounts) and $48.2 million in derivative cash collateral, partially offset by decreases of $173.0 million in FHLBNY advances and $41.2 million in subordinated debt.</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Stockholders’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equity increased $47.0 million during the nine months ended September 30, 2026,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$1.52 billion at period end, primarily due to net income of $111.0 million, partially offset by common stock dividends of $32.8 million, and preferred stock dividends of $5.5 million and repurchases of shares of common stock of $12.2 million.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Three Months Ended September 30, 2026 and 2025</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Net income was $41.6 million during the three months ended September 30, 2026, compared to net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$27.7 million for the three months ended September 30, 2025. During the three months ended September 30, 2026, net interest income increased by $17.8 million, non-interest expense increased by $3.3 million, income tax expense increased by $2.1 million, non-interest income increased by $1.9 million, and the credit loss provision increased by $518 thousand, compared to the three months ended September 30, 2025.</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discussion of net interest income for the three months ended September 30, 2026 and 2025 should be read in conjunction with the following tables, which set forth certain information related to the Consolidated Statements of Operations for those periods, and which also present the average yield on assets and average cost of liabilities for the periods indicated. The average yields and costs were derived by dividing income or expense by the average balance of their related assets or liabilities during the periods represented. Average balances were derived from average daily balances. No tax-equivalent adjustments have been made for interest income exempt from federal, state, and local taxation. The yields include loan fees consisting of amortization of loan origination and commitment fees and certain direct and indirect origination costs, prepayment fees, and late charges that are considered adjustments to yields. Net loan fees included in interest income were $2.2 million during the three months ended September 30, 2026, compared to $946 thousand during the three months ended September 30, 2025. The increase in net loan fees was primarily due to increases in deferred fees and prepayment penalties on loans in 2026.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Net Interest Income</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780" w:type="dxa"/>
            <w:vAlign w:val="bottom"/>
            <w:gridSpan w:val="2"/>
          </w:tcPr>
          <w:p>
            <w:pPr>
              <w:jc w:val="right"/>
              <w:ind w:right="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spacing w:after="0"/>
              <w:rPr>
                <w:sz w:val="9"/>
                <w:szCs w:val="9"/>
                <w:color w:val="auto"/>
              </w:rPr>
            </w:pPr>
          </w:p>
        </w:tc>
        <w:tc>
          <w:tcPr>
            <w:tcW w:w="22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gridSpan w:val="2"/>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Yield/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Yield/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Interest</w:t>
            </w:r>
          </w:p>
        </w:tc>
        <w:tc>
          <w:tcPr>
            <w:tcW w:w="6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3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 Interest</w:t>
            </w:r>
          </w:p>
        </w:tc>
        <w:tc>
          <w:tcPr>
            <w:tcW w:w="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15"/>
        </w:trPr>
        <w:tc>
          <w:tcPr>
            <w:tcW w:w="392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Assets:</w:t>
            </w:r>
          </w:p>
        </w:tc>
        <w:tc>
          <w:tcPr>
            <w:tcW w:w="7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w w:val="93"/>
              </w:rPr>
              <w:t>(Dollars</w:t>
            </w:r>
          </w:p>
        </w:tc>
        <w:tc>
          <w:tcPr>
            <w:tcW w:w="200" w:type="dxa"/>
            <w:vAlign w:val="bottom"/>
            <w:tcBorders>
              <w:top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0"/>
                <w:szCs w:val="10"/>
                <w:color w:val="auto"/>
                <w:w w:val="76"/>
              </w:rPr>
              <w:t>in</w:t>
            </w:r>
          </w:p>
        </w:tc>
        <w:tc>
          <w:tcPr>
            <w:tcW w:w="720" w:type="dxa"/>
            <w:vAlign w:val="bottom"/>
            <w:tcBorders>
              <w:top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thousands)</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Interest-earning assets: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1"/>
                <w:szCs w:val="11"/>
                <w:color w:val="auto"/>
              </w:rPr>
            </w:pPr>
          </w:p>
        </w:tc>
        <w:tc>
          <w:tcPr>
            <w:tcW w:w="520" w:type="dxa"/>
            <w:vAlign w:val="bottom"/>
            <w:gridSpan w:val="2"/>
          </w:tcPr>
          <w:p>
            <w:pPr>
              <w:jc w:val="right"/>
              <w:ind w:right="418"/>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1"/>
                <w:szCs w:val="11"/>
                <w:color w:val="auto"/>
              </w:rPr>
            </w:pPr>
          </w:p>
        </w:tc>
        <w:tc>
          <w:tcPr>
            <w:tcW w:w="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540" w:type="dxa"/>
            <w:vAlign w:val="bottom"/>
            <w:gridSpan w:val="2"/>
          </w:tcPr>
          <w:p>
            <w:pPr>
              <w:jc w:val="right"/>
              <w:ind w:right="439"/>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5"/>
                <w:szCs w:val="15"/>
                <w:color w:val="auto"/>
                <w:vertAlign w:val="superscript"/>
              </w:rPr>
              <w:t>(1) (3) (6)</w:t>
            </w: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3,798,622</w:t>
            </w:r>
          </w:p>
        </w:tc>
        <w:tc>
          <w:tcPr>
            <w:tcW w:w="2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62,650</w:t>
            </w:r>
          </w:p>
        </w:tc>
        <w:tc>
          <w:tcPr>
            <w:tcW w:w="82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6.54 % </w:t>
            </w: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2,957,434</w:t>
            </w:r>
          </w:p>
        </w:tc>
        <w:tc>
          <w:tcPr>
            <w:tcW w:w="24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50,271</w:t>
            </w:r>
          </w:p>
        </w:tc>
        <w:tc>
          <w:tcPr>
            <w:tcW w:w="720" w:type="dxa"/>
            <w:vAlign w:val="bottom"/>
            <w:gridSpan w:val="3"/>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6.74 %</w:t>
            </w:r>
          </w:p>
        </w:tc>
        <w:tc>
          <w:tcPr>
            <w:tcW w:w="0" w:type="dxa"/>
            <w:vAlign w:val="bottom"/>
          </w:tcPr>
          <w:p>
            <w:pPr>
              <w:spacing w:after="0"/>
              <w:rPr>
                <w:sz w:val="1"/>
                <w:szCs w:val="1"/>
                <w:color w:val="auto"/>
              </w:rPr>
            </w:pPr>
          </w:p>
        </w:tc>
      </w:tr>
      <w:tr>
        <w:trPr>
          <w:trHeight w:val="135"/>
        </w:trPr>
        <w:tc>
          <w:tcPr>
            <w:tcW w:w="39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One-to-four family residential and coop/condo apartment </w:t>
            </w:r>
            <w:r>
              <w:rPr>
                <w:rFonts w:ascii="Times New Roman" w:cs="Times New Roman" w:eastAsia="Times New Roman" w:hAnsi="Times New Roman"/>
                <w:sz w:val="15"/>
                <w:szCs w:val="15"/>
                <w:color w:val="auto"/>
                <w:vertAlign w:val="superscript"/>
              </w:rPr>
              <w:t>(3) (6)</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1,111,740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13,604</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1,023,844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12,120</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4.70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Multifamily residential and residential mixed-use </w:t>
            </w:r>
            <w:r>
              <w:rPr>
                <w:rFonts w:ascii="Times New Roman" w:cs="Times New Roman" w:eastAsia="Times New Roman" w:hAnsi="Times New Roman"/>
                <w:sz w:val="15"/>
                <w:szCs w:val="15"/>
                <w:color w:val="auto"/>
                <w:vertAlign w:val="superscript"/>
              </w:rPr>
              <w:t>(3) (6)</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3,059,148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35,123</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4.56</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3,591,822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41,712</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4.61</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Non-owner-occupied commercial real estate </w:t>
            </w:r>
            <w:r>
              <w:rPr>
                <w:rFonts w:ascii="Times New Roman" w:cs="Times New Roman" w:eastAsia="Times New Roman" w:hAnsi="Times New Roman"/>
                <w:sz w:val="15"/>
                <w:szCs w:val="15"/>
                <w:color w:val="auto"/>
                <w:vertAlign w:val="superscript"/>
              </w:rPr>
              <w:t>(3) (6)</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2,724,952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36,719</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5.35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3,067,598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40,439</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5.23</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ADC </w:t>
            </w:r>
            <w:r>
              <w:rPr>
                <w:rFonts w:ascii="Times New Roman" w:cs="Times New Roman" w:eastAsia="Times New Roman" w:hAnsi="Times New Roman"/>
                <w:sz w:val="15"/>
                <w:szCs w:val="15"/>
                <w:color w:val="auto"/>
                <w:vertAlign w:val="superscript"/>
              </w:rPr>
              <w:t>(3)</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79,710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1,654</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8.23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145,902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3,184</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8.66</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Other loans </w:t>
            </w:r>
            <w:r>
              <w:rPr>
                <w:rFonts w:ascii="Times New Roman" w:cs="Times New Roman" w:eastAsia="Times New Roman" w:hAnsi="Times New Roman"/>
                <w:sz w:val="15"/>
                <w:szCs w:val="15"/>
                <w:color w:val="auto"/>
                <w:vertAlign w:val="superscript"/>
              </w:rPr>
              <w:t>(3)</w:t>
            </w:r>
          </w:p>
        </w:tc>
        <w:tc>
          <w:tcPr>
            <w:tcW w:w="7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8,981</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w:t>
            </w:r>
          </w:p>
        </w:tc>
        <w:tc>
          <w:tcPr>
            <w:tcW w:w="5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1.15</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7,515</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54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1.58</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7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10,783,153</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149,776</w:t>
            </w:r>
          </w:p>
        </w:tc>
        <w:tc>
          <w:tcPr>
            <w:tcW w:w="5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5.51</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10,794,115</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147,756</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5.43</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Securities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1,640,702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15,428</w:t>
            </w:r>
          </w:p>
        </w:tc>
        <w:tc>
          <w:tcPr>
            <w:tcW w:w="5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1,340,223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11,338</w:t>
            </w:r>
          </w:p>
        </w:tc>
        <w:tc>
          <w:tcPr>
            <w:tcW w:w="5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3.36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short-term investments</w:t>
            </w:r>
          </w:p>
        </w:tc>
        <w:tc>
          <w:tcPr>
            <w:tcW w:w="7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1,941,034</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18,182</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3.72</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1,503,698</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16,449</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4.34</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interest-earning assets</w:t>
            </w:r>
          </w:p>
        </w:tc>
        <w:tc>
          <w:tcPr>
            <w:tcW w:w="7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14,364,889</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183,386</w:t>
            </w:r>
          </w:p>
        </w:tc>
        <w:tc>
          <w:tcPr>
            <w:tcW w:w="720" w:type="dxa"/>
            <w:vAlign w:val="bottom"/>
            <w:tcBorders>
              <w:bottom w:val="single" w:sz="8" w:color="CCEEFF"/>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5.06 %</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13,638,036</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175,543</w:t>
            </w:r>
          </w:p>
        </w:tc>
        <w:tc>
          <w:tcPr>
            <w:tcW w:w="54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5.11</w:t>
            </w:r>
          </w:p>
        </w:tc>
        <w:tc>
          <w:tcPr>
            <w:tcW w:w="1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39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Non-interest earning assets</w:t>
            </w:r>
          </w:p>
        </w:tc>
        <w:tc>
          <w:tcPr>
            <w:tcW w:w="7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777,560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787,966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92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15,142,449</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14,426,002</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24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Liabilities and Stockholders' Equity:</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1"/>
                <w:szCs w:val="11"/>
                <w:color w:val="auto"/>
              </w:rPr>
            </w:pPr>
          </w:p>
        </w:tc>
        <w:tc>
          <w:tcPr>
            <w:tcW w:w="520" w:type="dxa"/>
            <w:vAlign w:val="bottom"/>
            <w:gridSpan w:val="2"/>
          </w:tcPr>
          <w:p>
            <w:pPr>
              <w:jc w:val="right"/>
              <w:ind w:right="41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gridSpan w:val="2"/>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spacing w:after="0"/>
              <w:rPr>
                <w:sz w:val="11"/>
                <w:szCs w:val="11"/>
                <w:color w:val="auto"/>
              </w:rPr>
            </w:pPr>
          </w:p>
        </w:tc>
        <w:tc>
          <w:tcPr>
            <w:tcW w:w="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540" w:type="dxa"/>
            <w:vAlign w:val="bottom"/>
            <w:gridSpan w:val="2"/>
          </w:tcPr>
          <w:p>
            <w:pPr>
              <w:jc w:val="right"/>
              <w:ind w:right="439"/>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Interest-bearing liabilities: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1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gridSpan w:val="2"/>
            <w:shd w:val="clear" w:color="auto" w:fill="CCEEFF"/>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39"/>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9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Interest-bearing checking </w:t>
            </w:r>
            <w:r>
              <w:rPr>
                <w:rFonts w:ascii="Times New Roman" w:cs="Times New Roman" w:eastAsia="Times New Roman" w:hAnsi="Times New Roman"/>
                <w:sz w:val="15"/>
                <w:szCs w:val="15"/>
                <w:color w:val="auto"/>
                <w:vertAlign w:val="superscript"/>
              </w:rPr>
              <w:t>(2)</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1,082,628</w:t>
            </w:r>
          </w:p>
        </w:tc>
        <w:tc>
          <w:tcPr>
            <w:tcW w:w="2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4,453</w:t>
            </w:r>
          </w:p>
        </w:tc>
        <w:tc>
          <w:tcPr>
            <w:tcW w:w="82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1.63 % </w:t>
            </w: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1,069,761</w:t>
            </w:r>
          </w:p>
        </w:tc>
        <w:tc>
          <w:tcPr>
            <w:tcW w:w="24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5,306</w:t>
            </w:r>
          </w:p>
        </w:tc>
        <w:tc>
          <w:tcPr>
            <w:tcW w:w="720" w:type="dxa"/>
            <w:vAlign w:val="bottom"/>
            <w:gridSpan w:val="3"/>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1.97 %</w:t>
            </w: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Money market</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4,907,654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31,883</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2.58</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4,359,512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34,877</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3.17</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Savings </w:t>
            </w:r>
            <w:r>
              <w:rPr>
                <w:rFonts w:ascii="Times New Roman" w:cs="Times New Roman" w:eastAsia="Times New Roman" w:hAnsi="Times New Roman"/>
                <w:sz w:val="15"/>
                <w:szCs w:val="15"/>
                <w:color w:val="auto"/>
                <w:vertAlign w:val="superscript"/>
              </w:rPr>
              <w:t>(2)</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1,635,196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9,776</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1,821,289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13,273</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2.89</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CDs</w:t>
            </w:r>
          </w:p>
        </w:tc>
        <w:tc>
          <w:tcPr>
            <w:tcW w:w="7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1,051,590</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8,108</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3.06</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1,116,152</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9,494</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3.37</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2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deposits</w:t>
            </w:r>
          </w:p>
        </w:tc>
        <w:tc>
          <w:tcPr>
            <w:tcW w:w="7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8,677,068</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54,220</w:t>
            </w:r>
          </w:p>
        </w:tc>
        <w:tc>
          <w:tcPr>
            <w:tcW w:w="52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2.48</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8,366,714</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62,950</w:t>
            </w:r>
          </w:p>
        </w:tc>
        <w:tc>
          <w:tcPr>
            <w:tcW w:w="54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2.99</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gridSpan w:val="2"/>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rPr>
              <w:t>FHLBNY advances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337,717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3,469</w:t>
            </w:r>
          </w:p>
        </w:tc>
        <w:tc>
          <w:tcPr>
            <w:tcW w:w="5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4.08</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508,000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4,104</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3.21</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Subordinated debt, net</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231,229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3,809</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6.54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272,429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4,301</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6.26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 short-term borrowings</w:t>
            </w:r>
          </w:p>
        </w:tc>
        <w:tc>
          <w:tcPr>
            <w:tcW w:w="7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76</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5.22</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5.22</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borrowings</w:t>
            </w:r>
          </w:p>
        </w:tc>
        <w:tc>
          <w:tcPr>
            <w:tcW w:w="7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569,022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7,279</w:t>
            </w:r>
          </w:p>
        </w:tc>
        <w:tc>
          <w:tcPr>
            <w:tcW w:w="52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5.08</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780,505</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8,406</w:t>
            </w:r>
          </w:p>
        </w:tc>
        <w:tc>
          <w:tcPr>
            <w:tcW w:w="54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4.27</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Derivative cash collateral</w:t>
            </w:r>
          </w:p>
        </w:tc>
        <w:tc>
          <w:tcPr>
            <w:tcW w:w="7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75,524</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668</w:t>
            </w:r>
          </w:p>
        </w:tc>
        <w:tc>
          <w:tcPr>
            <w:tcW w:w="5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3.51</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63,856</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788</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4.90</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2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liabilities</w:t>
            </w:r>
          </w:p>
        </w:tc>
        <w:tc>
          <w:tcPr>
            <w:tcW w:w="7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9,321,614</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62,167</w:t>
            </w:r>
          </w:p>
        </w:tc>
        <w:tc>
          <w:tcPr>
            <w:tcW w:w="720" w:type="dxa"/>
            <w:vAlign w:val="bottom"/>
            <w:tcBorders>
              <w:bottom w:val="single" w:sz="8" w:color="CCEEFF"/>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2.65 %</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9,211,075</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72,144</w:t>
            </w:r>
          </w:p>
        </w:tc>
        <w:tc>
          <w:tcPr>
            <w:tcW w:w="54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3.11</w:t>
            </w:r>
          </w:p>
        </w:tc>
        <w:tc>
          <w:tcPr>
            <w:tcW w:w="1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92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0"/>
                <w:szCs w:val="10"/>
                <w:color w:val="auto"/>
              </w:rPr>
              <w:t xml:space="preserve">Non-interest-bearing checking </w:t>
            </w:r>
            <w:r>
              <w:rPr>
                <w:rFonts w:ascii="Times New Roman" w:cs="Times New Roman" w:eastAsia="Times New Roman" w:hAnsi="Times New Roman"/>
                <w:sz w:val="14"/>
                <w:szCs w:val="14"/>
                <w:color w:val="auto"/>
                <w:vertAlign w:val="superscript"/>
              </w:rPr>
              <w:t>(2)</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4,102,780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3,573,448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non-interest-bearing liabilities</w:t>
            </w:r>
          </w:p>
        </w:tc>
        <w:tc>
          <w:tcPr>
            <w:tcW w:w="7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174,880</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183,627</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13,599,274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12,968,150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Borders>
              <w:bottom w:val="single" w:sz="8" w:color="CCEEFF"/>
            </w:tcBorders>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7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1,543,175</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1,457,852</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2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15,142,449</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14,426,002</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auto"/>
              </w:rPr>
              <w:t>Net interest income</w:t>
            </w: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121,219</w:t>
            </w: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103,399</w:t>
            </w: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920" w:type="dxa"/>
            <w:vAlign w:val="bottom"/>
            <w:tcBorders>
              <w:top w:val="single" w:sz="8" w:color="CCEEFF"/>
            </w:tcBorders>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0"/>
                <w:szCs w:val="10"/>
                <w:color w:val="auto"/>
              </w:rPr>
              <w:t xml:space="preserve">Net interest rate spread </w:t>
            </w:r>
            <w:r>
              <w:rPr>
                <w:rFonts w:ascii="Times New Roman" w:cs="Times New Roman" w:eastAsia="Times New Roman" w:hAnsi="Times New Roman"/>
                <w:sz w:val="13"/>
                <w:szCs w:val="13"/>
                <w:color w:val="auto"/>
                <w:vertAlign w:val="superscript"/>
              </w:rPr>
              <w:t>(4)</w:t>
            </w:r>
          </w:p>
        </w:tc>
        <w:tc>
          <w:tcPr>
            <w:tcW w:w="7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CCEEFF"/>
            </w:tcBorders>
            <w:gridSpan w:val="3"/>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2.41 %</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CCEEFF"/>
            </w:tcBorders>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2.00</w:t>
            </w:r>
          </w:p>
        </w:tc>
        <w:tc>
          <w:tcPr>
            <w:tcW w:w="180" w:type="dxa"/>
            <w:vAlign w:val="bottom"/>
            <w:tcBorders>
              <w:top w:val="single" w:sz="8" w:color="CCEEFF"/>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interest-earning assets</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5,043,275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4,426,961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920" w:type="dxa"/>
            <w:vAlign w:val="bottom"/>
            <w:tcBorders>
              <w:top w:val="single" w:sz="8" w:color="CCEEFF"/>
            </w:tcBorders>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0"/>
                <w:szCs w:val="10"/>
                <w:color w:val="auto"/>
              </w:rPr>
              <w:t xml:space="preserve">Net interest margin </w:t>
            </w:r>
            <w:r>
              <w:rPr>
                <w:rFonts w:ascii="Times New Roman" w:cs="Times New Roman" w:eastAsia="Times New Roman" w:hAnsi="Times New Roman"/>
                <w:sz w:val="13"/>
                <w:szCs w:val="13"/>
                <w:color w:val="auto"/>
                <w:vertAlign w:val="superscript"/>
              </w:rPr>
              <w:t>(5)</w:t>
            </w:r>
          </w:p>
        </w:tc>
        <w:tc>
          <w:tcPr>
            <w:tcW w:w="7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gridSpan w:val="3"/>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3.35 %</w:t>
            </w: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gridSpan w:val="3"/>
            <w:shd w:val="clear" w:color="auto" w:fill="CCEEFF"/>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rPr>
              <w:t>3.01 %</w:t>
            </w:r>
          </w:p>
        </w:tc>
        <w:tc>
          <w:tcPr>
            <w:tcW w:w="0" w:type="dxa"/>
            <w:vAlign w:val="bottom"/>
          </w:tcPr>
          <w:p>
            <w:pPr>
              <w:spacing w:after="0"/>
              <w:rPr>
                <w:sz w:val="1"/>
                <w:szCs w:val="1"/>
                <w:color w:val="auto"/>
              </w:rPr>
            </w:pPr>
          </w:p>
        </w:tc>
      </w:tr>
      <w:tr>
        <w:trPr>
          <w:trHeight w:val="135"/>
        </w:trPr>
        <w:tc>
          <w:tcPr>
            <w:tcW w:w="3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Ratio of interest-earning assets to interest-bearing liabilities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154.10 %</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148.06</w:t>
            </w: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Deposits (including non-interest-bearing checking accounts) </w:t>
            </w:r>
            <w:r>
              <w:rPr>
                <w:rFonts w:ascii="Times New Roman" w:cs="Times New Roman" w:eastAsia="Times New Roman" w:hAnsi="Times New Roman"/>
                <w:sz w:val="15"/>
                <w:szCs w:val="15"/>
                <w:color w:val="auto"/>
                <w:vertAlign w:val="superscript"/>
              </w:rPr>
              <w:t>(2)</w:t>
            </w: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12,779,848</w:t>
            </w:r>
          </w:p>
        </w:tc>
        <w:tc>
          <w:tcPr>
            <w:tcW w:w="2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54,220</w:t>
            </w:r>
          </w:p>
        </w:tc>
        <w:tc>
          <w:tcPr>
            <w:tcW w:w="82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1.68 % </w:t>
            </w: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11,940,162</w:t>
            </w:r>
          </w:p>
        </w:tc>
        <w:tc>
          <w:tcPr>
            <w:tcW w:w="24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62,950</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2.09</w:t>
            </w: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80" w:right="79" w:hanging="330"/>
        <w:spacing w:after="0" w:line="250" w:lineRule="auto"/>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Business loans include C&amp;I loans and owner-occupied commercial real estate loans. At September 30, 2025, business loans included balances related to Paycheck Protection Program (“PPP”) loans; no PPP loans were outstanding at September 30, 2026.</w:t>
      </w:r>
    </w:p>
    <w:p>
      <w:pPr>
        <w:ind w:left="380" w:hanging="330"/>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Includes mortgage escrow deposits.</w:t>
      </w:r>
    </w:p>
    <w:p>
      <w:pPr>
        <w:spacing w:after="0" w:line="16" w:lineRule="exact"/>
        <w:rPr>
          <w:rFonts w:ascii="Times New Roman" w:cs="Times New Roman" w:eastAsia="Times New Roman" w:hAnsi="Times New Roman"/>
          <w:sz w:val="13"/>
          <w:szCs w:val="13"/>
          <w:color w:val="auto"/>
        </w:rPr>
      </w:pPr>
    </w:p>
    <w:p>
      <w:pPr>
        <w:ind w:left="380" w:hanging="330"/>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Amounts are net of deferred origination costs/(fees) and include loans held for sale.</w:t>
      </w:r>
    </w:p>
    <w:p>
      <w:pPr>
        <w:spacing w:after="0" w:line="16" w:lineRule="exact"/>
        <w:rPr>
          <w:rFonts w:ascii="Times New Roman" w:cs="Times New Roman" w:eastAsia="Times New Roman" w:hAnsi="Times New Roman"/>
          <w:sz w:val="13"/>
          <w:szCs w:val="13"/>
          <w:color w:val="auto"/>
        </w:rPr>
      </w:pPr>
    </w:p>
    <w:p>
      <w:pPr>
        <w:ind w:left="380" w:right="79" w:hanging="330"/>
        <w:spacing w:after="0" w:line="244" w:lineRule="auto"/>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Net interest rate spread represents the difference between the yield on average interest-earning assets and the cost of average interest-bearing liabilities.</w:t>
      </w:r>
    </w:p>
    <w:p>
      <w:pPr>
        <w:ind w:left="380" w:hanging="330"/>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Net interest margin represents net interest income divided by average-interest earning assets.</w:t>
      </w:r>
    </w:p>
    <w:p>
      <w:pPr>
        <w:spacing w:after="0" w:line="16" w:lineRule="exact"/>
        <w:rPr>
          <w:rFonts w:ascii="Times New Roman" w:cs="Times New Roman" w:eastAsia="Times New Roman" w:hAnsi="Times New Roman"/>
          <w:sz w:val="13"/>
          <w:szCs w:val="13"/>
          <w:color w:val="auto"/>
        </w:rPr>
      </w:pPr>
    </w:p>
    <w:p>
      <w:pPr>
        <w:jc w:val="both"/>
        <w:ind w:left="380" w:right="79" w:hanging="330"/>
        <w:spacing w:after="0" w:line="237" w:lineRule="auto"/>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At September 30, 2026 and 2025, the loan portfolio included a fair value hedge basis point adjustment to the carrying amount of hedged business loans, one-to-four family residential mortgage loans, multifamily residential mortgage loans and non-owner occupied commercial real estate loans.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Rate/Volume Analysis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500" w:type="dxa"/>
            <w:vAlign w:val="bottom"/>
            <w:gridSpan w:val="10"/>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10"/>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Compared to Three Months Ended September 30, 2025</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8"/>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Increase / (Decrease) Due to:</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38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460" w:type="dxa"/>
            <w:vAlign w:val="bottom"/>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9"/>
              </w:rPr>
              <w:t>(Dollars in thousands)</w:t>
            </w:r>
          </w:p>
        </w:tc>
        <w:tc>
          <w:tcPr>
            <w:tcW w:w="2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Interest-earning assets:</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Business loans</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14,081</w:t>
            </w:r>
          </w:p>
        </w:tc>
        <w:tc>
          <w:tcPr>
            <w:tcW w:w="60" w:type="dxa"/>
            <w:vAlign w:val="bottom"/>
          </w:tcPr>
          <w:p>
            <w:pPr>
              <w:spacing w:after="0"/>
              <w:rPr>
                <w:sz w:val="12"/>
                <w:szCs w:val="12"/>
                <w:color w:val="auto"/>
              </w:rPr>
            </w:pPr>
          </w:p>
        </w:tc>
        <w:tc>
          <w:tcPr>
            <w:tcW w:w="3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(1,702)</w:t>
            </w:r>
          </w:p>
        </w:tc>
        <w:tc>
          <w:tcPr>
            <w:tcW w:w="4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(6,163)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(4,583)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investments</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4,434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interest-earning assets</w:t>
            </w:r>
          </w:p>
        </w:tc>
        <w:tc>
          <w:tcPr>
            <w:tcW w:w="9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10,127</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(2,284)</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Interest-bearing liabilities:</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
                <w:szCs w:val="1"/>
                <w:color w:val="auto"/>
                <w:w w:val="4294942296"/>
              </w:rPr>
              <w:t>​</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Interest-bearing checking</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60" w:type="dxa"/>
            <w:vAlign w:val="bottom"/>
          </w:tcPr>
          <w:p>
            <w:pPr>
              <w:spacing w:after="0"/>
              <w:rPr>
                <w:sz w:val="12"/>
                <w:szCs w:val="12"/>
                <w:color w:val="auto"/>
              </w:rPr>
            </w:pPr>
          </w:p>
        </w:tc>
        <w:tc>
          <w:tcPr>
            <w:tcW w:w="3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(917)</w:t>
            </w:r>
          </w:p>
        </w:tc>
        <w:tc>
          <w:tcPr>
            <w:tcW w:w="4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Money market</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(6,929)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Savings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(2,264)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CDs</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FHLBNY advances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borrowings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interest-bearing liabilities</w:t>
            </w:r>
          </w:p>
        </w:tc>
        <w:tc>
          <w:tcPr>
            <w:tcW w:w="9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(10,105)</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change in net interest income</w:t>
            </w:r>
          </w:p>
        </w:tc>
        <w:tc>
          <w:tcPr>
            <w:tcW w:w="9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9,999</w:t>
            </w: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7,821</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interest income. </w:t>
      </w:r>
      <w:r>
        <w:rPr>
          <w:rFonts w:ascii="Times New Roman" w:cs="Times New Roman" w:eastAsia="Times New Roman" w:hAnsi="Times New Roman"/>
          <w:sz w:val="18"/>
          <w:szCs w:val="18"/>
          <w:color w:val="auto"/>
        </w:rPr>
        <w:t>Net interest income was $121.2 million during the three months ended September 30, 2026,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$17.8 million from the three months ended September 30, 2025. Average interest-earning assets were $14.36 billion for the three months ended September 30, 2026, an increase of $726.9 million from $13.64 billion for the three months ended September 30, 2025. The net interest margin was 3.35% during the three months ended September 30, 2026, up from 3.01% during the three months ended September 30, 2025.</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$183.4 million during the three months ended September 30, 2026,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$175.5 million during the three months ended September 30, 2025. During the three months ended September 30, 2026, interest income increased $7.8 million from the three months ended September 30, 2025, primarily reflecting increases in interest income of $12.4 million on business loans, $4.1 million on securities, $1.7 million on other short-term investments, and $1.5 million on one-to-four family residential and coop/condo apartment loans, partially offset by decreases in interest income of $6.6 million on multifamily residential and residential mixed-use loans, $3.7 million on non-owner-occupied commercial real estate loans and $1.5 million on ADC loans.</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increased interest income on business loans was due to a $841.2 million increase in the average balances, partially offset by a 20-basis point decrease in the yield of such loans in the period. The increased interest income on securities was related to a $300.5 million increase in average balances and a 37-basis point increase in the yield of such securities in the period. The increased interest income on other short-term investments, which is comprised of cash and due from banks and restricted stock, was related to a $437.3 million increase in the average balances, partially offset by a 62-basis point decrease in the yield of such investments in the period. The increased interest income on one-to-four family residential and coop/condo apartment loans was related to an $87.9 million increase in the average balance and a 15-basis point increase in the yield of such loans in the period. The decreased interest income on multifamily residential and residential mixed-use loans was related to a $532.7 million decrease in the average balance and a 5-basis point decrease in the yield of such loans in the period. The decreased interest income on non-owner-occupied commercial real estate loans reflected a $342.6 million decrease in the average balance, partially offset by a 12-basis point increase in the yield of such loans in the period. The decreased interest income on ADC loans reflected a $66.2 million decrease in the average balance and a 43-basis point decrease in the yield of such loans in the period.</w:t>
      </w:r>
    </w:p>
    <w:p>
      <w:pPr>
        <w:spacing w:after="0" w:line="185"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$62.2 million during the three months ended September 30, 2026,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$72.1 million during the three months ended September 30, 2025. During the three months ended September 30, 2026, interest expense decreased $10.0 million, primarily reflecting a decrease in interest expense of $8.7 million on deposits.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decreased interest expense on deposits was primarily due to a 52-basis point decrease in rates paid on savings accounts and a $186.1 million decrease in average balances of such deposits in the period, a 31-basis point decrease in rates paid on certificates of deposit and a $64.6 million decrease in average balances of such deposits, a 59-basis point decrease in rates paid on money market accounts, partially offset by a $548.1 million increase in average balances of such deposits, and a 34-basis point decrease in rates paid on interest-bearing checking accounts, partially offset by a $12.9 million increase in the average balance of such deposits.</w:t>
      </w:r>
    </w:p>
    <w:p>
      <w:pPr>
        <w:spacing w:after="0" w:line="18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We recorded a credit loss provision of $13.8 million and $13.3 million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2026 and 2025, respectively. The $13.8 million credit loss provision for the three months ended September 30, 2026, was attributable to charge-offs, provisioning for individually analyzed loans and growth in the business loan portfolio. The $13.3 million credit loss provision for the three months ended September 30, 2025, was primarily attributable to charge-offs on loans.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Non-interest income totaled $14.1 million for the three months ended September 30, 2026,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$12.2 million for the same period in 2025. The increase was primarily driven by a $1.7 million in service charges and other fees and lower loss on sale of loans and other assets during the three months ended September 30, 2026, partially offset by a decrease of $1.4 million in other income.</w:t>
      </w:r>
    </w:p>
    <w:p>
      <w:pPr>
        <w:spacing w:after="0" w:line="180"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Non-Interest Expense. </w:t>
      </w:r>
      <w:r>
        <w:rPr>
          <w:rFonts w:ascii="Times New Roman" w:cs="Times New Roman" w:eastAsia="Times New Roman" w:hAnsi="Times New Roman"/>
          <w:sz w:val="18"/>
          <w:szCs w:val="18"/>
          <w:color w:val="auto"/>
        </w:rPr>
        <w:t>Non-interest expense totaled $65.5 million for the three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$62.2 million for the same period in 2025. The increase was primarily driven by increases of $1.0 million of data processing costs, $968 thousand in severance expense and $959 thousand in salaries and employee benefits.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Non-interest expense was 1.73% of average assets for both the three months ended September 30, 2026 and 2025.</w:t>
      </w:r>
    </w:p>
    <w:p>
      <w:pPr>
        <w:spacing w:after="0" w:line="22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$14.5 million during the three months ended September 30, 2026,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income tax expense of $12.4 million during the three months ended September 30, 2025. The reported effective tax rate for the three months ended September 30, 2026 and 2025 was 25.8%, and 31.0%, respectively.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Nine Months Ended September 30, 2026 and 2025</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Net income was $111.0 million during the nine months ended September 30, 2026, compared to net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$78.8 million for the nine months ended September 30, 2025. During the nine months ended September 30, 2026, net interest income increased by $52.9 million, income tax expense increased by $11.3 million, credit loss provision increased by $7.9 million, non-interest expense increased by $4.9 million, and non-interest income increased by $3.3 million, compared to the nine months ended September 30, 2025.</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discussion of net interest income for the nine months ended September 30, 2026 and 2025 should be read in conjunction with the following tables, which set forth certain information related to the Consolidated Statements of Operations for those periods, and which also present the average yield on assets and average cost of liabilities for the periods indicated. The average yields and costs were derived by dividing income or expense by the average balance of their related assets or liabilities during the periods represented. Average balances were derived from average daily balances. No tax-equivalent adjustments have been made for interest income exempt from federal, state, and local taxation. The yields include loan fees consisting of amortization of loan origination and commitment fees and certain direct and indirect origination costs, prepayment fees, and late charges that are considered adjustments to yields. Net loan fees included in interest income were $5.4 million during the nine months ended September 30, 2026, compared to $3.2 million during the nine months ended September 30, 2025. The increase in net loan fees was primarily due to increases in deferred fees and prepayment penalty fees on loans in 2026.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Net Interest Income</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right"/>
              <w:ind w:right="29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20" w:type="dxa"/>
            <w:vAlign w:val="bottom"/>
            <w:gridSpan w:val="2"/>
          </w:tcPr>
          <w:p>
            <w:pPr>
              <w:jc w:val="right"/>
              <w:ind w:right="2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spacing w:after="0"/>
              <w:rPr>
                <w:sz w:val="9"/>
                <w:szCs w:val="9"/>
                <w:color w:val="auto"/>
              </w:rPr>
            </w:pPr>
          </w:p>
        </w:tc>
        <w:tc>
          <w:tcPr>
            <w:tcW w:w="4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Yield/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Yield/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20" w:type="dxa"/>
            <w:vAlign w:val="bottom"/>
            <w:gridSpan w:val="2"/>
          </w:tcPr>
          <w:p>
            <w:pPr>
              <w:jc w:val="right"/>
              <w:ind w:right="28"/>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b w:val="1"/>
                <w:bCs w:val="1"/>
                <w:color w:val="auto"/>
              </w:rPr>
              <w:t>Balance</w:t>
            </w:r>
          </w:p>
        </w:tc>
        <w:tc>
          <w:tcPr>
            <w:tcW w:w="700" w:type="dxa"/>
            <w:vAlign w:val="bottom"/>
            <w:gridSpan w:val="4"/>
          </w:tcPr>
          <w:p>
            <w:pPr>
              <w:ind w:left="20"/>
              <w:spacing w:after="0" w:line="137" w:lineRule="exact"/>
              <w:rPr>
                <w:sz w:val="20"/>
                <w:szCs w:val="20"/>
                <w:color w:val="auto"/>
              </w:rPr>
            </w:pPr>
            <w:r>
              <w:rPr>
                <w:rFonts w:ascii="Times New Roman" w:cs="Times New Roman" w:eastAsia="Times New Roman" w:hAnsi="Times New Roman"/>
                <w:sz w:val="13"/>
                <w:szCs w:val="13"/>
                <w:b w:val="1"/>
                <w:bCs w:val="1"/>
                <w:color w:val="auto"/>
              </w:rPr>
              <w:t>​​​ Interest</w:t>
            </w:r>
          </w:p>
        </w:tc>
        <w:tc>
          <w:tcPr>
            <w:tcW w:w="4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4"/>
              </w:rPr>
              <w:t>Cost</w:t>
            </w:r>
          </w:p>
        </w:tc>
        <w:tc>
          <w:tcPr>
            <w:tcW w:w="280" w:type="dxa"/>
            <w:vAlign w:val="bottom"/>
            <w:gridSpan w:val="2"/>
          </w:tcPr>
          <w:p>
            <w:pPr>
              <w:jc w:val="right"/>
              <w:ind w:right="57"/>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ind w:right="97"/>
              <w:spacing w:after="0" w:line="137" w:lineRule="exact"/>
              <w:rPr>
                <w:sz w:val="20"/>
                <w:szCs w:val="20"/>
                <w:color w:val="auto"/>
              </w:rPr>
            </w:pPr>
            <w:r>
              <w:rPr>
                <w:rFonts w:ascii="Times New Roman" w:cs="Times New Roman" w:eastAsia="Times New Roman" w:hAnsi="Times New Roman"/>
                <w:sz w:val="13"/>
                <w:szCs w:val="13"/>
                <w:b w:val="1"/>
                <w:bCs w:val="1"/>
                <w:color w:val="auto"/>
              </w:rPr>
              <w:t>Balance</w:t>
            </w:r>
          </w:p>
        </w:tc>
        <w:tc>
          <w:tcPr>
            <w:tcW w:w="20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7"/>
              <w:spacing w:after="0" w:line="137"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4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4"/>
              </w:rPr>
              <w:t>Cost</w:t>
            </w:r>
          </w:p>
        </w:tc>
        <w:tc>
          <w:tcPr>
            <w:tcW w:w="1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22"/>
        </w:trPr>
        <w:tc>
          <w:tcPr>
            <w:tcW w:w="39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Assets:</w:t>
            </w:r>
          </w:p>
        </w:tc>
        <w:tc>
          <w:tcPr>
            <w:tcW w:w="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(Dollars</w:t>
            </w: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in</w:t>
            </w:r>
          </w:p>
        </w:tc>
        <w:tc>
          <w:tcPr>
            <w:tcW w:w="740" w:type="dxa"/>
            <w:vAlign w:val="bottom"/>
            <w:tcBorders>
              <w:top w:val="single" w:sz="8" w:color="auto"/>
            </w:tcBorders>
            <w:gridSpan w:val="2"/>
          </w:tcPr>
          <w:p>
            <w:pPr>
              <w:spacing w:after="0" w:line="122" w:lineRule="exact"/>
              <w:rPr>
                <w:sz w:val="20"/>
                <w:szCs w:val="20"/>
                <w:color w:val="auto"/>
              </w:rPr>
            </w:pPr>
            <w:r>
              <w:rPr>
                <w:rFonts w:ascii="Times New Roman" w:cs="Times New Roman" w:eastAsia="Times New Roman" w:hAnsi="Times New Roman"/>
                <w:sz w:val="13"/>
                <w:szCs w:val="13"/>
                <w:color w:val="auto"/>
              </w:rPr>
              <w:t>thousands)</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Interest-earning assets: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5"/>
                <w:szCs w:val="15"/>
                <w:color w:val="auto"/>
                <w:vertAlign w:val="superscript"/>
              </w:rPr>
              <w:t>(1) (3) (6)</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3,522,883</w:t>
            </w:r>
          </w:p>
        </w:tc>
        <w:tc>
          <w:tcPr>
            <w:tcW w:w="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171,576</w:t>
            </w:r>
          </w:p>
        </w:tc>
        <w:tc>
          <w:tcPr>
            <w:tcW w:w="40" w:type="dxa"/>
            <w:vAlign w:val="bottom"/>
          </w:tcPr>
          <w:p>
            <w:pPr>
              <w:spacing w:after="0"/>
              <w:rPr>
                <w:sz w:val="11"/>
                <w:szCs w:val="11"/>
                <w:color w:val="auto"/>
              </w:rPr>
            </w:pP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6.51 % </w:t>
            </w: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2,834,746</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141,911</w:t>
            </w:r>
          </w:p>
        </w:tc>
        <w:tc>
          <w:tcPr>
            <w:tcW w:w="66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6.69 %</w:t>
            </w: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One-to-four family residential and coop/condo apartment </w:t>
            </w:r>
            <w:r>
              <w:rPr>
                <w:rFonts w:ascii="Times New Roman" w:cs="Times New Roman" w:eastAsia="Times New Roman" w:hAnsi="Times New Roman"/>
                <w:sz w:val="15"/>
                <w:szCs w:val="15"/>
                <w:color w:val="auto"/>
                <w:vertAlign w:val="superscript"/>
              </w:rPr>
              <w:t>(3) (6)</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1,072,784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38,575</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989,236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34,721</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4.69</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Multifamily residential and residential mixed-use </w:t>
            </w:r>
            <w:r>
              <w:rPr>
                <w:rFonts w:ascii="Times New Roman" w:cs="Times New Roman" w:eastAsia="Times New Roman" w:hAnsi="Times New Roman"/>
                <w:sz w:val="15"/>
                <w:szCs w:val="15"/>
                <w:color w:val="auto"/>
                <w:vertAlign w:val="superscript"/>
              </w:rPr>
              <w:t>(3) (6)</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3,204,989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108,751</w:t>
            </w:r>
          </w:p>
        </w:tc>
        <w:tc>
          <w:tcPr>
            <w:tcW w:w="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3,709,088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126,503</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Non-owner-occupied commercial real estate </w:t>
            </w:r>
            <w:r>
              <w:rPr>
                <w:rFonts w:ascii="Times New Roman" w:cs="Times New Roman" w:eastAsia="Times New Roman" w:hAnsi="Times New Roman"/>
                <w:sz w:val="15"/>
                <w:szCs w:val="15"/>
                <w:color w:val="auto"/>
                <w:vertAlign w:val="superscript"/>
              </w:rPr>
              <w:t>(3) (6)</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2,816,501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111,333</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3,152,779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123,587</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5.24</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5"/>
                <w:szCs w:val="15"/>
                <w:color w:val="auto"/>
                <w:vertAlign w:val="subscript"/>
              </w:rPr>
              <w:t>ADC</w:t>
            </w:r>
            <w:r>
              <w:rPr>
                <w:rFonts w:ascii="Times New Roman" w:cs="Times New Roman" w:eastAsia="Times New Roman" w:hAnsi="Times New Roman"/>
                <w:sz w:val="7"/>
                <w:szCs w:val="7"/>
                <w:color w:val="auto"/>
              </w:rPr>
              <w:t xml:space="preserve"> (3)</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92,320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5,444</w:t>
            </w:r>
          </w:p>
        </w:tc>
        <w:tc>
          <w:tcPr>
            <w:tcW w:w="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7.88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140,189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9,099</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8.68</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Other loans </w:t>
            </w:r>
            <w:r>
              <w:rPr>
                <w:rFonts w:ascii="Times New Roman" w:cs="Times New Roman" w:eastAsia="Times New Roman" w:hAnsi="Times New Roman"/>
                <w:sz w:val="15"/>
                <w:szCs w:val="15"/>
                <w:color w:val="auto"/>
                <w:vertAlign w:val="superscript"/>
              </w:rPr>
              <w:t>(3)</w:t>
            </w:r>
          </w:p>
        </w:tc>
        <w:tc>
          <w:tcPr>
            <w:tcW w:w="7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8,633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79</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1.22</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6,803</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7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10,718,110</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435,758</w:t>
            </w: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5.44</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10,832,841</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435,909</w:t>
            </w:r>
          </w:p>
        </w:tc>
        <w:tc>
          <w:tcPr>
            <w:tcW w:w="48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5.38</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Securities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1,558,836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42,734</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3.67</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1,357,938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34,014</w:t>
            </w: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3.35</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short-term investments</w:t>
            </w:r>
          </w:p>
        </w:tc>
        <w:tc>
          <w:tcPr>
            <w:tcW w:w="7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1,941,529</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53,544</w:t>
            </w: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3.69</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1,077,183</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35,035</w:t>
            </w:r>
          </w:p>
        </w:tc>
        <w:tc>
          <w:tcPr>
            <w:tcW w:w="480" w:type="dxa"/>
            <w:vAlign w:val="bottom"/>
            <w:tcBorders>
              <w:bottom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4.35</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interest-earning assets</w:t>
            </w:r>
          </w:p>
        </w:tc>
        <w:tc>
          <w:tcPr>
            <w:tcW w:w="7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14,218,475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532,036</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5.00 %</w:t>
            </w: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13,267,962</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504,958</w:t>
            </w: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5.09</w:t>
            </w:r>
          </w:p>
        </w:tc>
        <w:tc>
          <w:tcPr>
            <w:tcW w:w="180" w:type="dxa"/>
            <w:vAlign w:val="bottom"/>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29"/>
        </w:trPr>
        <w:tc>
          <w:tcPr>
            <w:tcW w:w="392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Non-interest earning assets</w:t>
            </w:r>
          </w:p>
        </w:tc>
        <w:tc>
          <w:tcPr>
            <w:tcW w:w="7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777,545</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806,832</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14,996,020</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14,074,794</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Liabilities and Stockholders' Equity:</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w w:val="4294942296"/>
              </w:rPr>
              <w:t>​</w:t>
            </w: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
                <w:szCs w:val="1"/>
                <w:color w:val="auto"/>
                <w:w w:val="4294942296"/>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Interest-bearing liabilities: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gridSpan w:val="2"/>
          </w:tcPr>
          <w:p>
            <w:pPr>
              <w:jc w:val="right"/>
              <w:ind w:right="180"/>
              <w:spacing w:after="0"/>
              <w:rPr>
                <w:sz w:val="20"/>
                <w:szCs w:val="20"/>
                <w:color w:val="auto"/>
              </w:rPr>
            </w:pPr>
            <w:r>
              <w:rPr>
                <w:rFonts w:ascii="Times New Roman" w:cs="Times New Roman" w:eastAsia="Times New Roman" w:hAnsi="Times New Roman"/>
                <w:sz w:val="1"/>
                <w:szCs w:val="1"/>
                <w:color w:val="auto"/>
                <w:w w:val="4294942296"/>
              </w:rPr>
              <w:t>​</w:t>
            </w:r>
          </w:p>
        </w:tc>
        <w:tc>
          <w:tcPr>
            <w:tcW w:w="520" w:type="dxa"/>
            <w:vAlign w:val="bottom"/>
          </w:tcPr>
          <w:p>
            <w:pPr>
              <w:spacing w:after="0"/>
              <w:rPr>
                <w:sz w:val="11"/>
                <w:szCs w:val="11"/>
                <w:color w:val="auto"/>
              </w:rPr>
            </w:pPr>
          </w:p>
        </w:tc>
        <w:tc>
          <w:tcPr>
            <w:tcW w:w="480" w:type="dxa"/>
            <w:vAlign w:val="bottom"/>
          </w:tcPr>
          <w:p>
            <w:pPr>
              <w:jc w:val="right"/>
              <w:ind w:right="401"/>
              <w:spacing w:after="0"/>
              <w:rPr>
                <w:sz w:val="20"/>
                <w:szCs w:val="20"/>
                <w:color w:val="auto"/>
              </w:rPr>
            </w:pPr>
            <w:r>
              <w:rPr>
                <w:rFonts w:ascii="Times New Roman" w:cs="Times New Roman" w:eastAsia="Times New Roman" w:hAnsi="Times New Roman"/>
                <w:sz w:val="1"/>
                <w:szCs w:val="1"/>
                <w:color w:val="auto"/>
                <w:w w:val="4294942296"/>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Interest-bearing checking </w:t>
            </w:r>
            <w:r>
              <w:rPr>
                <w:rFonts w:ascii="Times New Roman" w:cs="Times New Roman" w:eastAsia="Times New Roman" w:hAnsi="Times New Roman"/>
                <w:sz w:val="15"/>
                <w:szCs w:val="15"/>
                <w:color w:val="auto"/>
                <w:vertAlign w:val="superscript"/>
              </w:rPr>
              <w:t>(2)</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1,085,589</w:t>
            </w: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13,304</w:t>
            </w: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1.64 % </w:t>
            </w: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976,018</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13,611</w:t>
            </w:r>
          </w:p>
        </w:tc>
        <w:tc>
          <w:tcPr>
            <w:tcW w:w="66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1.86 %</w:t>
            </w:r>
          </w:p>
        </w:tc>
        <w:tc>
          <w:tcPr>
            <w:tcW w:w="0" w:type="dxa"/>
            <w:vAlign w:val="bottom"/>
          </w:tcPr>
          <w:p>
            <w:pPr>
              <w:spacing w:after="0"/>
              <w:rPr>
                <w:sz w:val="1"/>
                <w:szCs w:val="1"/>
                <w:color w:val="auto"/>
              </w:rPr>
            </w:pPr>
          </w:p>
        </w:tc>
      </w:tr>
      <w:tr>
        <w:trPr>
          <w:trHeight w:val="135"/>
        </w:trPr>
        <w:tc>
          <w:tcPr>
            <w:tcW w:w="39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Money market</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4,822,293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90,733</w:t>
            </w:r>
          </w:p>
        </w:tc>
        <w:tc>
          <w:tcPr>
            <w:tcW w:w="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4,204,642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98,988</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Savings </w:t>
            </w:r>
            <w:r>
              <w:rPr>
                <w:rFonts w:ascii="Times New Roman" w:cs="Times New Roman" w:eastAsia="Times New Roman" w:hAnsi="Times New Roman"/>
                <w:sz w:val="15"/>
                <w:szCs w:val="15"/>
                <w:color w:val="auto"/>
                <w:vertAlign w:val="superscript"/>
              </w:rPr>
              <w:t>(2)</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1,686,827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29,644</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2.35</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1,905,071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41,507</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2.91</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CDs</w:t>
            </w:r>
          </w:p>
        </w:tc>
        <w:tc>
          <w:tcPr>
            <w:tcW w:w="7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1,077,344</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25,074</w:t>
            </w: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3.11</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1,055,520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27,099</w:t>
            </w:r>
          </w:p>
        </w:tc>
        <w:tc>
          <w:tcPr>
            <w:tcW w:w="480" w:type="dxa"/>
            <w:vAlign w:val="bottom"/>
            <w:tcBorders>
              <w:bottom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3.43</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deposits</w:t>
            </w:r>
          </w:p>
        </w:tc>
        <w:tc>
          <w:tcPr>
            <w:tcW w:w="7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8,672,053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158,755</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2.45</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8,141,251</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181,205</w:t>
            </w: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2.98</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2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color w:val="auto"/>
              </w:rPr>
              <w:t>FHLBNY advances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411,403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10,860</w:t>
            </w:r>
          </w:p>
        </w:tc>
        <w:tc>
          <w:tcPr>
            <w:tcW w:w="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508,366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12,223</w:t>
            </w: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3.21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Subordinated debt, net</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244,494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12,068</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6.60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272,385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12,904</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6.33</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Borders>
              <w:bottom w:val="single" w:sz="8" w:color="CCEEFF"/>
            </w:tcBorders>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 short-term borrowings</w:t>
            </w:r>
          </w:p>
        </w:tc>
        <w:tc>
          <w:tcPr>
            <w:tcW w:w="7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66</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w:t>
            </w: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4.05</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235</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480" w:type="dxa"/>
            <w:vAlign w:val="bottom"/>
            <w:tcBorders>
              <w:bottom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7.97</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borrowings</w:t>
            </w:r>
          </w:p>
        </w:tc>
        <w:tc>
          <w:tcPr>
            <w:tcW w:w="7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655,963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22,930</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4.67</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780,986</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25,141</w:t>
            </w: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4.30</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tcBorders>
              <w:bottom w:val="single" w:sz="8" w:color="CCEEFF"/>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Derivative cash collateral</w:t>
            </w:r>
          </w:p>
        </w:tc>
        <w:tc>
          <w:tcPr>
            <w:tcW w:w="7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63,539</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1,695</w:t>
            </w: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3.57</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82,242</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2,903</w:t>
            </w:r>
          </w:p>
        </w:tc>
        <w:tc>
          <w:tcPr>
            <w:tcW w:w="48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4.72</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liabilities</w:t>
            </w:r>
          </w:p>
        </w:tc>
        <w:tc>
          <w:tcPr>
            <w:tcW w:w="7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9,391,555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183,380</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2.61 %</w:t>
            </w: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9,004,479</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209,249</w:t>
            </w: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3.11</w:t>
            </w:r>
          </w:p>
        </w:tc>
        <w:tc>
          <w:tcPr>
            <w:tcW w:w="180" w:type="dxa"/>
            <w:vAlign w:val="bottom"/>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29"/>
        </w:trPr>
        <w:tc>
          <w:tcPr>
            <w:tcW w:w="39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0"/>
                <w:szCs w:val="10"/>
                <w:color w:val="auto"/>
              </w:rPr>
              <w:t xml:space="preserve">Non-interest-bearing checking </w:t>
            </w:r>
            <w:r>
              <w:rPr>
                <w:rFonts w:ascii="Times New Roman" w:cs="Times New Roman" w:eastAsia="Times New Roman" w:hAnsi="Times New Roman"/>
                <w:sz w:val="14"/>
                <w:szCs w:val="14"/>
                <w:color w:val="auto"/>
                <w:vertAlign w:val="superscript"/>
              </w:rPr>
              <w:t>(2)</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3,906,326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3,437,001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non-interest-bearing liabilities</w:t>
            </w:r>
          </w:p>
        </w:tc>
        <w:tc>
          <w:tcPr>
            <w:tcW w:w="7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175,050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194,982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13,472,931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12,636,462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7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1,523,089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1,438,332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92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14,996,020</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14,074,794</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920" w:type="dxa"/>
            <w:vAlign w:val="bottom"/>
            <w:gridSpan w:val="2"/>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Net interest income</w:t>
            </w: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gridSpan w:val="2"/>
            <w:shd w:val="clear" w:color="auto" w:fill="CCEEFF"/>
          </w:tcPr>
          <w:p>
            <w:pPr>
              <w:ind w:left="80"/>
              <w:spacing w:after="0" w:line="102" w:lineRule="exact"/>
              <w:rPr>
                <w:sz w:val="20"/>
                <w:szCs w:val="20"/>
                <w:color w:val="auto"/>
              </w:rPr>
            </w:pPr>
            <w:r>
              <w:rPr>
                <w:rFonts w:ascii="Times New Roman" w:cs="Times New Roman" w:eastAsia="Times New Roman" w:hAnsi="Times New Roman"/>
                <w:sz w:val="10"/>
                <w:szCs w:val="10"/>
                <w:b w:val="1"/>
                <w:bCs w:val="1"/>
                <w:color w:val="auto"/>
              </w:rPr>
              <w:t>$</w:t>
            </w:r>
          </w:p>
        </w:tc>
        <w:tc>
          <w:tcPr>
            <w:tcW w:w="48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348,656</w:t>
            </w: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295,709</w:t>
            </w: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rate spread </w:t>
            </w:r>
            <w:r>
              <w:rPr>
                <w:rFonts w:ascii="Times New Roman" w:cs="Times New Roman" w:eastAsia="Times New Roman" w:hAnsi="Times New Roman"/>
                <w:sz w:val="18"/>
                <w:szCs w:val="18"/>
                <w:color w:val="auto"/>
                <w:vertAlign w:val="superscript"/>
              </w:rPr>
              <w:t>(4)</w:t>
            </w: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2.39 %</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80" w:type="dxa"/>
            <w:vAlign w:val="bottom"/>
            <w:tcBorders>
              <w:top w:val="single" w:sz="8" w:color="CCEEFF"/>
              <w:bottom w:val="single" w:sz="8" w:color="CCEEFF"/>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line="20" w:lineRule="exact"/>
              <w:rPr>
                <w:sz w:val="1"/>
                <w:szCs w:val="1"/>
                <w:color w:val="auto"/>
              </w:rPr>
            </w:pPr>
          </w:p>
        </w:tc>
      </w:tr>
      <w:tr>
        <w:trPr>
          <w:trHeight w:val="115"/>
        </w:trPr>
        <w:tc>
          <w:tcPr>
            <w:tcW w:w="392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interest-earning assets</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4,826,920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4,263,483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margin </w:t>
            </w:r>
            <w:r>
              <w:rPr>
                <w:rFonts w:ascii="Times New Roman" w:cs="Times New Roman" w:eastAsia="Times New Roman" w:hAnsi="Times New Roman"/>
                <w:sz w:val="18"/>
                <w:szCs w:val="18"/>
                <w:color w:val="auto"/>
                <w:vertAlign w:val="superscript"/>
              </w:rPr>
              <w:t>(5)</w:t>
            </w: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3.28 %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2.98 %</w:t>
            </w:r>
          </w:p>
        </w:tc>
        <w:tc>
          <w:tcPr>
            <w:tcW w:w="0" w:type="dxa"/>
            <w:vAlign w:val="bottom"/>
          </w:tcPr>
          <w:p>
            <w:pPr>
              <w:spacing w:after="0" w:line="20" w:lineRule="exact"/>
              <w:rPr>
                <w:sz w:val="1"/>
                <w:szCs w:val="1"/>
                <w:color w:val="auto"/>
              </w:rPr>
            </w:pPr>
          </w:p>
        </w:tc>
      </w:tr>
      <w:tr>
        <w:trPr>
          <w:trHeight w:val="115"/>
        </w:trPr>
        <w:tc>
          <w:tcPr>
            <w:tcW w:w="392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Ratio of interest-earning assets to interest-bearing liabilities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151.40 %</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147.35</w:t>
            </w:r>
          </w:p>
        </w:tc>
        <w:tc>
          <w:tcPr>
            <w:tcW w:w="18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35"/>
        </w:trPr>
        <w:tc>
          <w:tcPr>
            <w:tcW w:w="3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Deposits (including non-interest-bearing checking accounts) </w:t>
            </w:r>
            <w:r>
              <w:rPr>
                <w:rFonts w:ascii="Times New Roman" w:cs="Times New Roman" w:eastAsia="Times New Roman" w:hAnsi="Times New Roman"/>
                <w:sz w:val="15"/>
                <w:szCs w:val="15"/>
                <w:color w:val="auto"/>
                <w:vertAlign w:val="superscript"/>
              </w:rPr>
              <w:t>(2)</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5"/>
              </w:rPr>
              <w:t>12,578,379</w:t>
            </w:r>
          </w:p>
        </w:tc>
        <w:tc>
          <w:tcPr>
            <w:tcW w:w="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158,755</w:t>
            </w:r>
          </w:p>
        </w:tc>
        <w:tc>
          <w:tcPr>
            <w:tcW w:w="40" w:type="dxa"/>
            <w:vAlign w:val="bottom"/>
          </w:tcPr>
          <w:p>
            <w:pPr>
              <w:spacing w:after="0"/>
              <w:rPr>
                <w:sz w:val="11"/>
                <w:szCs w:val="11"/>
                <w:color w:val="auto"/>
              </w:rPr>
            </w:pP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1.69 % </w:t>
            </w: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11,578,252</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181,205</w:t>
            </w:r>
          </w:p>
        </w:tc>
        <w:tc>
          <w:tcPr>
            <w:tcW w:w="66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2.09 %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80" w:right="79" w:hanging="330"/>
        <w:spacing w:after="0" w:line="250" w:lineRule="auto"/>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Business loans include C&amp;I loans and owner-occupied commercial real estate loans. At September 30, 2025, business loans included balances related to Paycheck Protection Program (“PPP”) loans; no PPP loans were outstanding at September 30, 2026.</w:t>
      </w:r>
    </w:p>
    <w:p>
      <w:pPr>
        <w:ind w:left="380" w:hanging="330"/>
        <w:spacing w:after="0"/>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Includes mortgage escrow deposits.</w:t>
      </w:r>
    </w:p>
    <w:p>
      <w:pPr>
        <w:spacing w:after="0" w:line="16" w:lineRule="exact"/>
        <w:rPr>
          <w:rFonts w:ascii="Times New Roman" w:cs="Times New Roman" w:eastAsia="Times New Roman" w:hAnsi="Times New Roman"/>
          <w:sz w:val="13"/>
          <w:szCs w:val="13"/>
          <w:color w:val="auto"/>
        </w:rPr>
      </w:pPr>
    </w:p>
    <w:p>
      <w:pPr>
        <w:ind w:left="380" w:hanging="330"/>
        <w:spacing w:after="0"/>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Amounts are net of deferred origination costs/(fees) and include loans held for sale.</w:t>
      </w:r>
    </w:p>
    <w:p>
      <w:pPr>
        <w:spacing w:after="0" w:line="16" w:lineRule="exact"/>
        <w:rPr>
          <w:rFonts w:ascii="Times New Roman" w:cs="Times New Roman" w:eastAsia="Times New Roman" w:hAnsi="Times New Roman"/>
          <w:sz w:val="13"/>
          <w:szCs w:val="13"/>
          <w:color w:val="auto"/>
        </w:rPr>
      </w:pPr>
    </w:p>
    <w:p>
      <w:pPr>
        <w:ind w:left="380" w:right="79" w:hanging="330"/>
        <w:spacing w:after="0" w:line="244" w:lineRule="auto"/>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Net interest rate spread represents the difference between the yield on average interest-earning assets and the cost of average interest-bearing liabilities.</w:t>
      </w:r>
    </w:p>
    <w:p>
      <w:pPr>
        <w:ind w:left="380" w:hanging="330"/>
        <w:spacing w:after="0"/>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Net interest margin represents net interest income divided by average-interest earning assets.</w:t>
      </w:r>
    </w:p>
    <w:p>
      <w:pPr>
        <w:spacing w:after="0" w:line="16" w:lineRule="exact"/>
        <w:rPr>
          <w:rFonts w:ascii="Times New Roman" w:cs="Times New Roman" w:eastAsia="Times New Roman" w:hAnsi="Times New Roman"/>
          <w:sz w:val="13"/>
          <w:szCs w:val="13"/>
          <w:color w:val="auto"/>
        </w:rPr>
      </w:pPr>
    </w:p>
    <w:p>
      <w:pPr>
        <w:jc w:val="both"/>
        <w:ind w:left="380" w:right="79" w:hanging="330"/>
        <w:spacing w:after="0" w:line="237" w:lineRule="auto"/>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At September 30, 2026 and 2025, the loan portfolio included a fair value hedge basis point adjustment to the carrying amount of hedged business loans, one-to-four family residential mortgage loans, multifamily residential mortgage loans and non-owner occupied commercial real estate loans.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Rate/Volume Analysis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40" w:type="dxa"/>
            <w:vAlign w:val="bottom"/>
            <w:gridSpan w:val="8"/>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gridSpan w:val="8"/>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Compared to Nine Months Ended September 30, 2025</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Increase / (Decrease) Due to:</w:t>
            </w: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440" w:type="dxa"/>
            <w:vAlign w:val="bottom"/>
            <w:gridSpan w:val="2"/>
          </w:tcPr>
          <w:p>
            <w:pPr>
              <w:jc w:val="right"/>
              <w:ind w:right="20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1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460" w:type="dxa"/>
            <w:vAlign w:val="bottom"/>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Interest-earning assets:</w:t>
            </w:r>
          </w:p>
        </w:tc>
        <w:tc>
          <w:tcPr>
            <w:tcW w:w="10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Business loans</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33,957</w:t>
            </w:r>
          </w:p>
        </w:tc>
        <w:tc>
          <w:tcPr>
            <w:tcW w:w="44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(4,292)</w:t>
            </w:r>
          </w:p>
        </w:tc>
        <w:tc>
          <w:tcPr>
            <w:tcW w:w="4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(17,195)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935</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investments</w:t>
            </w:r>
          </w:p>
        </w:tc>
        <w:tc>
          <w:tcPr>
            <w:tcW w:w="1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25,974</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(7,465)</w:t>
            </w: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CCEEFF"/>
            </w:tcBorders>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interest-earning assets</w:t>
            </w:r>
          </w:p>
        </w:tc>
        <w:tc>
          <w:tcPr>
            <w:tcW w:w="10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34,806</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(7,728)</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27,078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4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Interest-bearing liabilities:</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Interest-bearing checking</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w:t>
            </w:r>
          </w:p>
        </w:tc>
        <w:tc>
          <w:tcPr>
            <w:tcW w:w="44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4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Money market</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13,055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(21,310)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Savings</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CDs</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FHLBNY advances</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borrowings</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1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CCEEFF"/>
            </w:tcBorders>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interest-bearing liabilities</w:t>
            </w:r>
          </w:p>
        </w:tc>
        <w:tc>
          <w:tcPr>
            <w:tcW w:w="10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6,287</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(32,156)</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(25,869)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change in net interest income</w:t>
            </w:r>
          </w:p>
        </w:tc>
        <w:tc>
          <w:tcPr>
            <w:tcW w:w="10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28,519</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24,428</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52,947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interest income. </w:t>
      </w:r>
      <w:r>
        <w:rPr>
          <w:rFonts w:ascii="Times New Roman" w:cs="Times New Roman" w:eastAsia="Times New Roman" w:hAnsi="Times New Roman"/>
          <w:sz w:val="18"/>
          <w:szCs w:val="18"/>
          <w:color w:val="auto"/>
        </w:rPr>
        <w:t>Net interest income was $348.7 million during the nine months ended September 30, 2026,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$52.9 million from the nine months ended September 30, 2025. Average interest-earning assets were $14.22 billion for the nine months ended September 30, 2026, an increase of $950.5 million from $13.27 billion for the nine months ended September 30, 2025. Net interest margin was 3.28% during the nine months ended September 30, 2026, up from 2.98% during the nine months ended September 30, 2025.</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$532.0 million during the nine months ended September 30, 2026,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$505.0 million during the nine months ended September 30, 2025. During the nine months ended September 30, 2026, interest income increased $27.1 million from the nine months ended September 30, 2025, primarily reflecting increases in interest income of $29.7 million on business loans, $18.5 million on other short-term investments, $8.7 million on securities, and $3.9 million on one-to-four family loans, partially offset by decreases in interest income of $17.8 million on multifamily residential and residential mixed-use loans, $12.3 million on non-owner-occupied commercial real estate loans, and $3.7 million on acquisition, development and construction loans.</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increased interest income on business loans was due to a $688.1 million increase in the average balances, partially offset by an 18-basis point decrease in the yield of such loans in the period. The increased interest income on other short-term investments was related to a $864.3 million increase in the average balances, partially offset by a 66-basis point decrease in the yield of such investments in the period. The increased interest income on securities was related to a $200.9 million increase in the average balances and a 32-basis point increase in the yield of such securities in the period. The increased interest income on one-to-four family loans was related to an $83.5 million increase in the average balances and a 12-basis point increase in the yield of such loans in the period. The decreased interest income on multifamily residential and residential mixed-use loans was related to a $504.1 million decrease in the average balance and a 2-basis point decrease in the yield of such loans in the period. The decreased interest income on non-owner-occupied commercial real estate loans reflected a $336.3 million decrease in the average balance, partially offset by a 4-basis point increase in the yield of such loans in the period. The decreased interest income on acquisition, development and construction loan income reflected a $47.9 million decrease in the average balance and an 80-basis point decrease in the yield of such loans in the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$183.4 million during the nine months ended September 30, 2026,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$209.2 million during the nine months ended September 30, 2025. During the nine months ended September 30, 2026, interest expense decreased $25.9 million, primarily reflecting decreases in interest expense of $22.4 million on deposits, $2.2 million on borrowed funds and $1.2 million in interest expense on derivative cash collateral.</w:t>
      </w:r>
    </w:p>
    <w:p>
      <w:pPr>
        <w:spacing w:after="0" w:line="18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decrease in interest expense on deposits was primarily due to a 63-basis point decrease in rates paid on money market accounts, partially offset by a $617.7 million increase in average balances of such deposits, a 56-basis point decrease in rates paid on savings accounts and a $218.2 million decrease in average balances of such deposits, and a 32-basis point decrease in rates paid on CDs, partially offset by a $21.8 million increase in the average balance of such deposits in the period. The decreased interest expense on FHLBNY advances was due to a $97.0 million decrease in the average balance, partially offset by a 32-basis point increase in the cost of FHLBNY advances in the period. The decreased interest expense on derivative cash collateral was due to a $18.7 million decrease in the average balance and a 115-basis point decrease in the cost of such derivatives in the period. The decreased interest expense on subordinated debt was due to a $27.9 million decrease in the average balance, partially offset by a 27-basis point increase in the cost of such debt in the period.</w:t>
      </w:r>
    </w:p>
    <w:p>
      <w:pPr>
        <w:spacing w:after="0" w:line="186"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We recorded a credit loss provision of $40.0 million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a credit loss provision of $32.1 million for the nine months ended September 30, 2025. The $40.0 million credit loss provision for the nine months ended September 30, 2026, was attributable to charge-offs, provisioning for individually analyzed loans and growth in the business loan portfolio. The $32.1 million credit loss provision for the nine months ended September 30, 2025 was primarily attributable to updates in the macroeconomic forecast, updated loss driver models, and charge-offs on loans.</w:t>
      </w:r>
    </w:p>
    <w:p>
      <w:pPr>
        <w:spacing w:after="0" w:line="18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Non-interest income was $36.7 million during the nine months ended September 30, 2026,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$33.4 million during the nine months ended September 30, 2025. The increase is primarily driven by a $4.6 million increase in service charges and other fees and a $1.1 million increase in BOLI income, partially offset by a $1.6 million decrease in other income.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Non-Interest Expense. </w:t>
      </w:r>
      <w:r>
        <w:rPr>
          <w:rFonts w:ascii="Times New Roman" w:cs="Times New Roman" w:eastAsia="Times New Roman" w:hAnsi="Times New Roman"/>
          <w:sz w:val="18"/>
          <w:szCs w:val="18"/>
          <w:color w:val="auto"/>
        </w:rPr>
        <w:t>Non-interest expense was $193.0 million during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$188.0 million during the nine months ended September 30, 2025. The increase in non-interest expense is primarily due to an $8.5 million increase in salaries and employee benefits. The nine months ended September 30, 2025 included a $7.2 million pension settlement loss.</w:t>
      </w:r>
    </w:p>
    <w:p>
      <w:pPr>
        <w:spacing w:after="0" w:line="18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Non-interest expense was 1.72% and 1.78% of average assets during the nine months ended September 30, 2026 and 2025, respectively.</w:t>
      </w:r>
    </w:p>
    <w:p>
      <w:pPr>
        <w:spacing w:after="0" w:line="160"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$41.5 million during the nine months ended September 30, 2026,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$30.1 million during the nine months ended September 30, 2025. The reported effective tax rate for the nine months ended September 30, 2026 and 2025 was 27.2%, and 27.7%, respectively.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were presented at December 31, 2025 in Item 7A of the Company’s Annual Report on Form 10-K, filed with the SEC on February 20, 2026. The following is an update of the discussion provided therein.</w:t>
      </w:r>
    </w:p>
    <w:p>
      <w:pPr>
        <w:spacing w:after="0" w:line="174"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Company’s largest component of market risk remains interest rate risk. The Company is not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exchange or commodity price risk. During the nine months ended September 30, 2026, we conducted zero transactions involving derivative instruments requiring bifurcation in order to hedge interest rate or market risk.</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 Exposure Analysis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Economic Value of Equity (“EVE”) Analysis</w:t>
      </w:r>
      <w:r>
        <w:rPr>
          <w:rFonts w:ascii="Times New Roman" w:cs="Times New Roman" w:eastAsia="Times New Roman" w:hAnsi="Times New Roman"/>
          <w:sz w:val="18"/>
          <w:szCs w:val="18"/>
          <w:color w:val="auto"/>
        </w:rPr>
        <w:t>. In accordance with agency regulatory guidelines, the Company simulates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interest rate volatility upon EVE using several interest rate scenarios. EVE is the difference between the present value of the expected future cash flows of the Company’s assets and liabilities and the value of any off-balance sheet items, such as derivatives, if applicable.</w:t>
      </w:r>
    </w:p>
    <w:p>
      <w:pPr>
        <w:spacing w:after="0" w:line="182"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Traditionally, the fair value of fixed-rate instruments fluctuates inversely with changes in interest rates. Increases in interest rates thus result in decreases in the fair value of interest-earning assets, which could adversely affect the Company’s consolidated results of operations in the event they were to be sold, or, in the case of interest-earning assets classified as available-for-sale, reduce the Company’s consolidated stockholders’ equity, if retained. The changes in the value of assets and liabilities due to fluctuations in interest rates measure the interest rate sensitivity of those assets and liabilities.</w:t>
      </w:r>
    </w:p>
    <w:p>
      <w:pPr>
        <w:spacing w:after="0" w:line="16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order to measure the Company’s sensitivity to changes in interest rates, EVE is calculated under market interest rates prevailing at a given quarter-end (“Pre-Shock Scenario”), and under various other interest rate scenarios (“Rate Shock Scenarios”) representing immediate, permanent, parallel shifts in the term structure of interest rates from the actual term structure observed in the Pre-Shock Scenario, with this shift occurring equally across all points on the yield curve. An increase in the EVE is considered favorable, while a decline is considered unfavorable. The changes in EVE between the Pre-Shock Scenario and various Rate Shock Scenarios due to fluctuations in interest rates reflect the interest rate sensitivity of the Company’s assets, liabilities, and off-balance sheet items that are included in the EVE. Management reports the EVE results to the Board of Directors on a quarterly basis. The report compares the Company’s estimated Pre-Shock Scenario EVE to the estimated EVE calculated under the various Rate Shock Scenarios.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valuation model makes various estimates regarding cash flows from principal repayments on loans and deposit decay rates at each level of interest rate change. The Company’s estimates for loan repayment levels are influenced by the recent history of prepayment activity in its loan portfolio, as well as the interest rate composition of the existing portfolio, especially in relation to the existing interest rate environment. Regarding deposit decay rates, the Company tracks and analyzes the decay rate of its deposits over time, with the assistance of a reputable third-party, and over various interest rate scenarios. Such results are utilized in determining estimates of deposit decay rates in the valuation model. The Company also generates a series of spot discount rates that are integral to the valuation of the projected monthly cash flows of its assets and liabilities. The valuation model employs discount rates that it considers representative of prevailing market rates of interest with appropriate adjustments it believes are suited to the heterogeneous characteristics of the Company’s various asset and liability portfolios. No matter the care and precision with which the estimates are derived, actual cash flows could differ significantly from the Company’s estimates resulting in significantly different EVE calculations.</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analysis that follows presents, as of September 30, 2026 and December 31, 2025, the estimated EVE at both the Pre-Shock Scenario and the -200 Basis Point, -100 Basis Point, +100 Basis Point, and +200 Basis Point Rate Shock Scenarios.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tcBorders>
              <w:bottom w:val="single" w:sz="8" w:color="auto"/>
            </w:tcBorders>
            <w:gridSpan w:val="7"/>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00" w:type="dxa"/>
            <w:vAlign w:val="bottom"/>
          </w:tcPr>
          <w:p>
            <w:pPr>
              <w:spacing w:after="0"/>
              <w:rPr>
                <w:sz w:val="18"/>
                <w:szCs w:val="18"/>
                <w:color w:val="auto"/>
              </w:rPr>
            </w:pPr>
          </w:p>
        </w:tc>
        <w:tc>
          <w:tcPr>
            <w:tcW w:w="27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Pr>
          <w:p>
            <w:pPr>
              <w:spacing w:after="0"/>
              <w:rPr>
                <w:sz w:val="18"/>
                <w:szCs w:val="18"/>
                <w:color w:val="auto"/>
              </w:rPr>
            </w:pPr>
          </w:p>
        </w:tc>
      </w:tr>
      <w:tr>
        <w:trPr>
          <w:trHeight w:val="183"/>
        </w:trPr>
        <w:tc>
          <w:tcPr>
            <w:tcW w:w="4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8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Percentage</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Percentage</w:t>
            </w:r>
          </w:p>
        </w:tc>
        <w:tc>
          <w:tcPr>
            <w:tcW w:w="240" w:type="dxa"/>
            <w:vAlign w:val="bottom"/>
          </w:tcPr>
          <w:p>
            <w:pPr>
              <w:spacing w:after="0"/>
              <w:rPr>
                <w:sz w:val="15"/>
                <w:szCs w:val="15"/>
                <w:color w:val="auto"/>
              </w:rPr>
            </w:pPr>
          </w:p>
        </w:tc>
      </w:tr>
      <w:tr>
        <w:trPr>
          <w:trHeight w:val="21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0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8"/>
                <w:szCs w:val="18"/>
                <w:color w:val="auto"/>
              </w:rPr>
            </w:pPr>
          </w:p>
        </w:tc>
      </w:tr>
      <w:tr>
        <w:trPr>
          <w:trHeight w:val="199"/>
        </w:trPr>
        <w:tc>
          <w:tcPr>
            <w:tcW w:w="27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Rate Shock Scenarios</w:t>
            </w: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$ 2,452,612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91,669</w:t>
            </w:r>
          </w:p>
        </w:tc>
        <w:tc>
          <w:tcPr>
            <w:tcW w:w="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$ 2,234,467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233,127</w:t>
            </w:r>
          </w:p>
        </w:tc>
        <w:tc>
          <w:tcPr>
            <w:tcW w:w="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2,430,541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69,598</w:t>
            </w: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2,157,136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155,796</w:t>
            </w: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Pre-Shock Scenario</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2,360,943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2,001,340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r>
      <w:tr>
        <w:trPr>
          <w:trHeight w:val="20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2,170,999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(189,944)</w:t>
            </w:r>
          </w:p>
        </w:tc>
        <w:tc>
          <w:tcPr>
            <w:tcW w:w="120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(8.0)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1,778,529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(222,811)</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12"/>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1,999,660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(361,283)</w:t>
            </w:r>
          </w:p>
        </w:tc>
        <w:tc>
          <w:tcPr>
            <w:tcW w:w="12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(15.3)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1,502,903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(498,437)</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(24.9) %</w:t>
            </w:r>
          </w:p>
        </w:tc>
      </w:tr>
    </w:tbl>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Pre-Shock Scenario EVE increased from $2.00 billion at December 31, 2025 to $2.36 billion at September 30, 2026. The primary factor contributing to the change in EVE is an increase in the value of the Bank’s non-maturity deposit base.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EVE in the +100 Basis Point Rate and +200 Basis Point Rate Shock Scenarios increased from $2.16 billion and $2.23 billion, respectively, at December 31, 2025, to $2.43 billion and $2.45 billion, respectively, at September 30, 2026. In the -100 Basis Point Rate and -200 Basis Point Rate Shock Scenario the Company’s EVE increased from $1.78 billion and $1.50 billion, respectively, at December 31, 2025, to $2.17 billion and $2.00 billion, respectively, at September 30, 2026.</w:t>
      </w:r>
    </w:p>
    <w:p>
      <w:pPr>
        <w:spacing w:after="0" w:line="181"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i w:val="1"/>
          <w:iCs w:val="1"/>
          <w:color w:val="auto"/>
        </w:rPr>
        <w:t>Income Simulation Analysis</w:t>
      </w:r>
      <w:r>
        <w:rPr>
          <w:rFonts w:ascii="Times New Roman" w:cs="Times New Roman" w:eastAsia="Times New Roman" w:hAnsi="Times New Roman"/>
          <w:sz w:val="18"/>
          <w:szCs w:val="18"/>
          <w:color w:val="auto"/>
        </w:rPr>
        <w:t>. As of the end of each quarterly period, the Company also monitors the impact of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through a net interest income simulation model. This model estimates the impact of interest rate changes on the Company’s net interest income over forward-looking periods typically not exceeding 36 months (a considerably shorter period than measured through the EVE analysis). Management reports the net interest income simulation results to the Company’s Board of Directors on a quarterly basis. The following table discloses the estimated changes to the Company’s net interest income in various time periods assuming gradual changes in interest rates occurring equally across all points on the yield curve over a 12-month period beginning September 30, 2026, for the given rate scenarios: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Percentage Change in Net Interest Income</w:t>
            </w:r>
          </w:p>
        </w:tc>
        <w:tc>
          <w:tcPr>
            <w:tcW w:w="220" w:type="dxa"/>
            <w:vAlign w:val="bottom"/>
          </w:tcPr>
          <w:p>
            <w:pPr>
              <w:spacing w:after="0"/>
              <w:rPr>
                <w:sz w:val="18"/>
                <w:szCs w:val="18"/>
                <w:color w:val="auto"/>
              </w:rPr>
            </w:pPr>
          </w:p>
        </w:tc>
      </w:tr>
      <w:tr>
        <w:trPr>
          <w:trHeight w:val="202"/>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Gradual Change in Interest rates of:</w:t>
            </w:r>
          </w:p>
        </w:tc>
        <w:tc>
          <w:tcPr>
            <w:tcW w:w="14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Year-One</w:t>
            </w:r>
          </w:p>
        </w:tc>
        <w:tc>
          <w:tcPr>
            <w:tcW w:w="420" w:type="dxa"/>
            <w:vAlign w:val="bottom"/>
          </w:tcPr>
          <w:p>
            <w:pPr>
              <w:spacing w:after="0"/>
              <w:rPr>
                <w:sz w:val="17"/>
                <w:szCs w:val="17"/>
                <w:color w:val="auto"/>
              </w:rPr>
            </w:pPr>
          </w:p>
        </w:tc>
        <w:tc>
          <w:tcPr>
            <w:tcW w:w="14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Year-Two</w:t>
            </w:r>
          </w:p>
        </w:tc>
        <w:tc>
          <w:tcPr>
            <w:tcW w:w="220" w:type="dxa"/>
            <w:vAlign w:val="bottom"/>
          </w:tcPr>
          <w:p>
            <w:pPr>
              <w:spacing w:after="0"/>
              <w:rPr>
                <w:sz w:val="17"/>
                <w:szCs w:val="17"/>
                <w:color w:val="auto"/>
              </w:rPr>
            </w:pPr>
          </w:p>
        </w:tc>
      </w:tr>
      <w:tr>
        <w:trPr>
          <w:trHeight w:val="196"/>
        </w:trPr>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2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20" w:type="dxa"/>
            <w:vAlign w:val="bottom"/>
            <w:tcBorders>
              <w:top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8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8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0"/>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8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r>
    </w:tbl>
    <w:p>
      <w:pPr>
        <w:spacing w:after="0" w:line="19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Management also examines the potential impact to net interest income by simulating the impact of instantaneous changes to interest rates occurring equally across all points on the yield curve. The following table discloses the estimated changes to the Company’s net interest income in various time periods associated with the given interest rate shock scenarios.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Percentage Change in Net Interest Income</w:t>
            </w:r>
          </w:p>
        </w:tc>
        <w:tc>
          <w:tcPr>
            <w:tcW w:w="220" w:type="dxa"/>
            <w:vAlign w:val="bottom"/>
          </w:tcPr>
          <w:p>
            <w:pPr>
              <w:spacing w:after="0"/>
              <w:rPr>
                <w:sz w:val="18"/>
                <w:szCs w:val="18"/>
                <w:color w:val="auto"/>
              </w:rPr>
            </w:pPr>
          </w:p>
        </w:tc>
      </w:tr>
      <w:tr>
        <w:trPr>
          <w:trHeight w:val="202"/>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Instantaneous Rate Shock Scenarios</w:t>
            </w:r>
          </w:p>
        </w:tc>
        <w:tc>
          <w:tcPr>
            <w:tcW w:w="14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Year-One</w:t>
            </w:r>
          </w:p>
        </w:tc>
        <w:tc>
          <w:tcPr>
            <w:tcW w:w="420" w:type="dxa"/>
            <w:vAlign w:val="bottom"/>
          </w:tcPr>
          <w:p>
            <w:pPr>
              <w:spacing w:after="0"/>
              <w:rPr>
                <w:sz w:val="17"/>
                <w:szCs w:val="17"/>
                <w:color w:val="auto"/>
              </w:rPr>
            </w:pPr>
          </w:p>
        </w:tc>
        <w:tc>
          <w:tcPr>
            <w:tcW w:w="14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Year-Two</w:t>
            </w:r>
          </w:p>
        </w:tc>
        <w:tc>
          <w:tcPr>
            <w:tcW w:w="220" w:type="dxa"/>
            <w:vAlign w:val="bottom"/>
          </w:tcPr>
          <w:p>
            <w:pPr>
              <w:spacing w:after="0"/>
              <w:rPr>
                <w:sz w:val="17"/>
                <w:szCs w:val="17"/>
                <w:color w:val="auto"/>
              </w:rPr>
            </w:pPr>
          </w:p>
        </w:tc>
      </w:tr>
      <w:tr>
        <w:trPr>
          <w:trHeight w:val="196"/>
        </w:trPr>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2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420" w:type="dxa"/>
            <w:vAlign w:val="bottom"/>
            <w:tcBorders>
              <w:top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8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8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0"/>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8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(5.0)%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w:t>
            </w:r>
          </w:p>
        </w:tc>
      </w:tr>
    </w:tbl>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Management of the Company, with the participation of its Principal Executive Officer and Principal Financial Officer, conducted an evaluation of the effectiveness, as of September 30, 2026, of the Company’s disclosure controls and procedures, as defined in Rules 13a-15(e) and 15d-15(e) under the Exchange Act. Based upon this evaluation, the Principal Executive Officer and Principal Financial Officer concluded that the Company’s disclosure controls and procedures were effective as of September 30, 2026 in ensuring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as appropriate to allow timely decisions regarding required disclosures.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quarter ended September 30, 2026, that has materially affected, or is reasonably likely to materially affect, such controls.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routinely named as a defendant in, or party to, various pending or threatened legal actions or proceedings. Certain of these matters may seek substantial monetary damages. In the opinion of management, the Company was not involved in any actions or proceedings that were likely to have a material adverse impact on its financial condition and results of operations as of September 30,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information regarding the Company’s risk factors, see Part I, Item 1A “Risk Factors” in the Company’s Annual Report on Form 10-K for fiscal year ended December 31, 2025, and Part II, Item 1A “Risk Factors” in our subsequent Quarterly Reports on Form 10-Q, each as filed with the Securities and Exchange Commission. Except as set forth below, there have been no material changes to the risk factors previously disclosed in those reports: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Proposed Merger</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Combining the Company and Empire may be more difficult, costly or time consuming than expected, and the anticipated benefits and cost savings of the Proposed Merger may not be realized.</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success of the Proposed Merger will depend, in part, on the Company’s ability to successfully combine and integrate the businesses of the Company and Empire, including the conversion of Empire State Bank’s data processing systems. If the Company experiences difficulties with the integration process, the anticipated benefits may not be realized fully or at all, or may take longer to realize than expected.</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approvals may not be received, may take longer than expected or may impose conditions that are not presently anticipated.</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Completion of the Proposed Merger is conditioned on receipt of approvals from the Federal Reserve Board and the New York Department of Financial Services. These regulators may impose conditions or require changes to the terms of the Proposed Merger. The Company is not required to accept any condition that would constitute a “materially burdensome regulatory condition” (as defined in the merger agreement), and if such a condition is imposed the Proposed Merger may not be completed.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The merger agreement may be terminated in accordance with its terms, and the Proposed Merger may not be completed.</w:t>
      </w:r>
    </w:p>
    <w:p>
      <w:pPr>
        <w:spacing w:after="0" w:line="24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Proposed Merger is subject to a number of conditions, many of which are outside of the parties’ control. If the Proposed Merger is not completed by October 19, 2027 (subject to an automatic six-month extension if only regulatory approvals remain outstanding), either party may terminate the merger agreement and the Company will have incurred substantial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 relating to the Proposed Merger could delay or prevent completion of the Proposed Merger.</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Stockholder lawsuits may be filed challenging the Proposed Merger. An adverse outcome, or the cost of defending such litigation, could adversely affect the parties or prevent or delay completion of the Proposed Merger.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shares of common stock repurchased by the Company during the three months ended September 30, 2026:</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3"/>
                <w:szCs w:val="13"/>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Purchased</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Announced Programs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​​​Under the Programs</w:t>
            </w: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July 2026</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83,101</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40.75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83,101</w:t>
            </w:r>
          </w:p>
        </w:tc>
        <w:tc>
          <w:tcPr>
            <w:tcW w:w="16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1,483,846</w:t>
            </w:r>
          </w:p>
        </w:tc>
        <w:tc>
          <w:tcPr>
            <w:tcW w:w="0" w:type="dxa"/>
            <w:vAlign w:val="bottom"/>
          </w:tcPr>
          <w:p>
            <w:pPr>
              <w:spacing w:after="0"/>
              <w:rPr>
                <w:sz w:val="1"/>
                <w:szCs w:val="1"/>
                <w:color w:val="auto"/>
              </w:rPr>
            </w:pPr>
          </w:p>
        </w:tc>
      </w:tr>
      <w:tr>
        <w:trPr>
          <w:trHeight w:val="149"/>
        </w:trPr>
        <w:tc>
          <w:tcPr>
            <w:tcW w:w="4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August 2026</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105,902</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40.73</w:t>
            </w:r>
          </w:p>
        </w:tc>
        <w:tc>
          <w:tcPr>
            <w:tcW w:w="4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105,902</w:t>
            </w:r>
          </w:p>
        </w:tc>
        <w:tc>
          <w:tcPr>
            <w:tcW w:w="1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1,377,944</w:t>
            </w: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September 2026</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109,000</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40.47</w:t>
            </w:r>
          </w:p>
        </w:tc>
        <w:tc>
          <w:tcPr>
            <w:tcW w:w="4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109,000</w:t>
            </w:r>
          </w:p>
        </w:tc>
        <w:tc>
          <w:tcPr>
            <w:tcW w:w="1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1,268,944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2026, the Company repurchased 298,003 shares of the Company’s common stock. As of September 30, 2026, there were 1,268,944 shares remaining to be purchased in the program. The stock repurchase program may be suspended, terminated, or modified at any time for any reason, and has no termination date.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300" w:type="dxa"/>
            <w:vAlign w:val="bottom"/>
            <w:gridSpan w:val="26"/>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62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4"/>
                <w:szCs w:val="24"/>
                <w:color w:val="auto"/>
              </w:rPr>
            </w:pPr>
          </w:p>
        </w:tc>
        <w:tc>
          <w:tcPr>
            <w:tcW w:w="78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Agreement and Plan of Merger, dated as of October 19, 2026, by and among Dime Commercial Bancshares,</w:t>
              </w:r>
            </w:hyperlink>
          </w:p>
        </w:tc>
        <w:tc>
          <w:tcPr>
            <w:tcW w:w="220" w:type="dxa"/>
            <w:vAlign w:val="bottom"/>
            <w:gridSpan w:val="4"/>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Inc. and ES Bancshares, Inc. (incorporated by reference to Exhibit 2.1 to the Registrant’s Current Report on</w:t>
              </w:r>
            </w:hyperlink>
          </w:p>
        </w:tc>
        <w:tc>
          <w:tcPr>
            <w:tcW w:w="260" w:type="dxa"/>
            <w:vAlign w:val="bottom"/>
            <w:gridSpan w:val="6"/>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Form 8-K, filed October 20, 2026 (File No. 001-34096))</w:t>
              </w:r>
            </w:hyperlink>
          </w:p>
        </w:tc>
        <w:tc>
          <w:tcPr>
            <w:tcW w:w="3940" w:type="dxa"/>
            <w:vAlign w:val="bottom"/>
            <w:gridSpan w:val="22"/>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7"/>
                <w:szCs w:val="17"/>
                <w:color w:val="auto"/>
              </w:rPr>
            </w:pPr>
          </w:p>
        </w:tc>
        <w:tc>
          <w:tcPr>
            <w:tcW w:w="73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Restated Certificate of Incorporation of the Registrant (incorporated by reference to Exhibit 3.1 to the</w:t>
              </w:r>
            </w:hyperlink>
          </w:p>
        </w:tc>
        <w:tc>
          <w:tcPr>
            <w:tcW w:w="700" w:type="dxa"/>
            <w:vAlign w:val="bottom"/>
            <w:gridSpan w:val="13"/>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Registrant’s Current Report on Form 8-K, filed February 2, 2021 (File No. 001-34096))</w:t>
              </w:r>
            </w:hyperlink>
          </w:p>
        </w:tc>
        <w:tc>
          <w:tcPr>
            <w:tcW w:w="1700" w:type="dxa"/>
            <w:vAlign w:val="bottom"/>
            <w:gridSpan w:val="15"/>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7"/>
                <w:szCs w:val="17"/>
                <w:color w:val="auto"/>
              </w:rPr>
            </w:pPr>
          </w:p>
        </w:tc>
        <w:tc>
          <w:tcPr>
            <w:tcW w:w="8020" w:type="dxa"/>
            <w:vAlign w:val="bottom"/>
            <w:gridSpan w:val="25"/>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Amended and Restated Bylaws of Dime Community Bancshares, Inc. (incorporated by reference to Exhibit 3.2</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to the Registrant’s Current Report on Form 8-K, filed October 25, 2024 (File No. 001-34096))</w:t>
              </w:r>
            </w:hyperlink>
          </w:p>
        </w:tc>
        <w:tc>
          <w:tcPr>
            <w:tcW w:w="2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7"/>
                <w:szCs w:val="17"/>
                <w:color w:val="auto"/>
              </w:rPr>
            </w:pPr>
          </w:p>
        </w:tc>
        <w:tc>
          <w:tcPr>
            <w:tcW w:w="8020" w:type="dxa"/>
            <w:vAlign w:val="bottom"/>
            <w:gridSpan w:val="25"/>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Certificate of Amendment to Certificate of Incorporation (incorporated by reference to Exhibit 3.1 to the</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Registrant’s Current Report on Form 8-K, filed June 1, 2026 (File No. 001-34096))</w:t>
              </w:r>
            </w:hyperlink>
          </w:p>
        </w:tc>
        <w:tc>
          <w:tcPr>
            <w:tcW w:w="1500" w:type="dxa"/>
            <w:vAlign w:val="bottom"/>
            <w:tcBorders>
              <w:top w:val="single" w:sz="8" w:color="0000EE"/>
            </w:tcBorders>
            <w:gridSpan w:val="5"/>
          </w:tcPr>
          <w:p>
            <w:pPr>
              <w:spacing w:after="0"/>
              <w:rPr>
                <w:sz w:val="17"/>
                <w:szCs w:val="17"/>
                <w:color w:val="auto"/>
              </w:rPr>
            </w:pPr>
          </w:p>
        </w:tc>
        <w:tc>
          <w:tcPr>
            <w:tcW w:w="500" w:type="dxa"/>
            <w:vAlign w:val="bottom"/>
            <w:gridSpan w:val="11"/>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7"/>
                <w:szCs w:val="17"/>
                <w:color w:val="auto"/>
              </w:rPr>
            </w:pPr>
          </w:p>
        </w:tc>
        <w:tc>
          <w:tcPr>
            <w:tcW w:w="77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Indenture, dated May 6, 2022, between Dime Community Bancshares, Inc. and Wilmington Trust National</w:t>
              </w:r>
            </w:hyperlink>
          </w:p>
        </w:tc>
        <w:tc>
          <w:tcPr>
            <w:tcW w:w="320" w:type="dxa"/>
            <w:vAlign w:val="bottom"/>
            <w:gridSpan w:val="7"/>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Association, as trustee (incorporated by reference to Exhibit 4.1 to the Registrant’s Current Report on Form 8-</w:t>
              </w:r>
            </w:hyperlink>
          </w:p>
        </w:tc>
        <w:tc>
          <w:tcPr>
            <w:tcW w:w="80" w:type="dxa"/>
            <w:vAlign w:val="bottom"/>
            <w:gridSpan w:val="3"/>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20" w:type="dxa"/>
            <w:vAlign w:val="bottom"/>
            <w:gridSpan w:val="25"/>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K, filed May 6, 2022 (File No. 001-34096))</w:t>
              </w:r>
            </w:hyperlink>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7"/>
                <w:szCs w:val="17"/>
                <w:color w:val="auto"/>
              </w:rPr>
            </w:pPr>
          </w:p>
        </w:tc>
        <w:tc>
          <w:tcPr>
            <w:tcW w:w="80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First Supplemental Indenture, dated May 6, 2022, between Dime Community Bancshares, Inc. and Wilmington</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Trust National Association, as trustee (incorporated by reference to Exhibit 4.2 to the Registrant’s Current</w:t>
              </w:r>
            </w:hyperlink>
          </w:p>
        </w:tc>
        <w:tc>
          <w:tcPr>
            <w:tcW w:w="380" w:type="dxa"/>
            <w:vAlign w:val="bottom"/>
            <w:gridSpan w:val="9"/>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Report on Form 8-K, filed May 6, 2022 (File No. 001-34096))</w:t>
              </w:r>
            </w:hyperlink>
          </w:p>
        </w:tc>
        <w:tc>
          <w:tcPr>
            <w:tcW w:w="3520" w:type="dxa"/>
            <w:vAlign w:val="bottom"/>
            <w:gridSpan w:val="21"/>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7"/>
                <w:szCs w:val="17"/>
                <w:color w:val="auto"/>
              </w:rPr>
            </w:pPr>
          </w:p>
        </w:tc>
        <w:tc>
          <w:tcPr>
            <w:tcW w:w="74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Second Supplemental Indenture, dated June 28, 2024, between Dime Community Bancshares, Inc. and</w:t>
              </w:r>
            </w:hyperlink>
          </w:p>
        </w:tc>
        <w:tc>
          <w:tcPr>
            <w:tcW w:w="620" w:type="dxa"/>
            <w:vAlign w:val="bottom"/>
            <w:gridSpan w:val="12"/>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20" w:type="dxa"/>
            <w:vAlign w:val="bottom"/>
            <w:gridSpan w:val="25"/>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Wilmington Trust National Association, as trustee (incorporated by reference to Exhibit 4.2 to the Registrant’s</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Current Report on Form 8-K, filed June 28, 2024 (File No. 001-34096))</w:t>
              </w:r>
            </w:hyperlink>
          </w:p>
        </w:tc>
        <w:tc>
          <w:tcPr>
            <w:tcW w:w="2760" w:type="dxa"/>
            <w:vAlign w:val="bottom"/>
            <w:tcBorders>
              <w:top w:val="single" w:sz="8" w:color="0000EE"/>
            </w:tcBorders>
            <w:gridSpan w:val="15"/>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7"/>
                <w:szCs w:val="17"/>
                <w:color w:val="auto"/>
              </w:rPr>
            </w:pPr>
          </w:p>
        </w:tc>
        <w:tc>
          <w:tcPr>
            <w:tcW w:w="76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Amended and Restated Employment Agreement by and among Dime Community Bancshares, Inc., Dime</w:t>
              </w:r>
            </w:hyperlink>
          </w:p>
        </w:tc>
        <w:tc>
          <w:tcPr>
            <w:tcW w:w="400" w:type="dxa"/>
            <w:vAlign w:val="bottom"/>
            <w:gridSpan w:val="10"/>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Community Bank and Stuart Lubow, dated May 28, 2026 (incorporated by reference to Exhibit 10.1 to the</w:t>
              </w:r>
            </w:hyperlink>
          </w:p>
        </w:tc>
        <w:tc>
          <w:tcPr>
            <w:tcW w:w="360" w:type="dxa"/>
            <w:vAlign w:val="bottom"/>
            <w:gridSpan w:val="8"/>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Registrant’s Current Report on Form 8-K, filed June 1, 2026 (File No. 001-34096))</w:t>
              </w:r>
            </w:hyperlink>
          </w:p>
        </w:tc>
        <w:tc>
          <w:tcPr>
            <w:tcW w:w="2000" w:type="dxa"/>
            <w:vAlign w:val="bottom"/>
            <w:gridSpan w:val="16"/>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7"/>
                <w:szCs w:val="17"/>
                <w:color w:val="auto"/>
              </w:rPr>
            </w:pPr>
          </w:p>
        </w:tc>
        <w:tc>
          <w:tcPr>
            <w:tcW w:w="76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Amended and Restated Employment Agreement by and among Dime Community Bancshares, Inc., Dime</w:t>
              </w:r>
            </w:hyperlink>
          </w:p>
        </w:tc>
        <w:tc>
          <w:tcPr>
            <w:tcW w:w="400" w:type="dxa"/>
            <w:vAlign w:val="bottom"/>
            <w:gridSpan w:val="10"/>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20" w:type="dxa"/>
            <w:vAlign w:val="bottom"/>
            <w:gridSpan w:val="25"/>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Community Bank and Thomas X. Geisel, dated May 28, 2026 (incorporated by reference to Exhibit 10.2 to the</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Registrant’s Current Report on Form 8-K, filed June 1, 2026 (File No. 001-34096))</w:t>
              </w:r>
            </w:hyperlink>
          </w:p>
        </w:tc>
        <w:tc>
          <w:tcPr>
            <w:tcW w:w="1960" w:type="dxa"/>
            <w:vAlign w:val="bottom"/>
            <w:tcBorders>
              <w:top w:val="single" w:sz="8" w:color="0000EE"/>
            </w:tcBorders>
            <w:gridSpan w:val="1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17"/>
                <w:szCs w:val="17"/>
                <w:color w:val="auto"/>
              </w:rPr>
            </w:pPr>
          </w:p>
        </w:tc>
        <w:tc>
          <w:tcPr>
            <w:tcW w:w="76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Amended and Restated Employment Agreement by and among Dime Community Bancshares, Inc., Dime</w:t>
              </w:r>
            </w:hyperlink>
          </w:p>
        </w:tc>
        <w:tc>
          <w:tcPr>
            <w:tcW w:w="400" w:type="dxa"/>
            <w:vAlign w:val="bottom"/>
            <w:gridSpan w:val="10"/>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Community Bank and Avinash Reddy, dated May 28, 2026 (incorporated by reference to Exhibit 10.3 to the</w:t>
              </w:r>
            </w:hyperlink>
          </w:p>
        </w:tc>
        <w:tc>
          <w:tcPr>
            <w:tcW w:w="240" w:type="dxa"/>
            <w:vAlign w:val="bottom"/>
            <w:gridSpan w:val="5"/>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Registrant’s Current Report on Form 8-K, filed June 1, 2026 (File No. 001-34096))</w:t>
              </w:r>
            </w:hyperlink>
          </w:p>
        </w:tc>
        <w:tc>
          <w:tcPr>
            <w:tcW w:w="2020" w:type="dxa"/>
            <w:vAlign w:val="bottom"/>
            <w:gridSpan w:val="17"/>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300" w:type="dxa"/>
            <w:vAlign w:val="bottom"/>
            <w:gridSpan w:val="26"/>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Certification of Principal Executive Officer pursuant to Rule 13a-14(a)</w:t>
            </w: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 13a-14(a)</w:t>
            </w:r>
          </w:p>
        </w:tc>
        <w:tc>
          <w:tcPr>
            <w:tcW w:w="40" w:type="dxa"/>
            <w:vAlign w:val="bottom"/>
            <w:tcBorders>
              <w:top w:val="single" w:sz="8" w:color="0000EE"/>
            </w:tcBorders>
          </w:tcPr>
          <w:p>
            <w:pPr>
              <w:spacing w:after="0"/>
              <w:rPr>
                <w:sz w:val="17"/>
                <w:szCs w:val="17"/>
                <w:color w:val="auto"/>
              </w:rPr>
            </w:pPr>
          </w:p>
        </w:tc>
        <w:tc>
          <w:tcPr>
            <w:tcW w:w="2920" w:type="dxa"/>
            <w:vAlign w:val="bottom"/>
            <w:gridSpan w:val="19"/>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17"/>
                <w:szCs w:val="17"/>
                <w:color w:val="auto"/>
              </w:rPr>
            </w:pPr>
          </w:p>
        </w:tc>
        <w:tc>
          <w:tcPr>
            <w:tcW w:w="8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Rule 13a-14(b) and 18 U.S.C.</w:t>
            </w: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Section 1350</w:t>
            </w:r>
          </w:p>
        </w:tc>
        <w:tc>
          <w:tcPr>
            <w:tcW w:w="80" w:type="dxa"/>
            <w:vAlign w:val="bottom"/>
            <w:gridSpan w:val="3"/>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920" w:right="139" w:hanging="864"/>
        <w:spacing w:after="0" w:line="255"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Dime Commercial Bancshares, Inc.'s Quarterly Report on Form 10-Q for the Quarter Ended September 30, 2026, filed on October 30, 2026, formatted in XBRL: (i) Consolidated Statements of Financial Condition as of September 30, 2026 and December 31, 2025, (ii) Consolidated Statements of Operations for the Three and Nine Months Ended September 30, 2026 and 2025,</w:t>
      </w:r>
    </w:p>
    <w:p>
      <w:pPr>
        <w:spacing w:after="0" w:line="2"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Consolidated Statements of Comprehensive Income for the Three and Nine Months Ended September 30,</w:t>
      </w:r>
    </w:p>
    <w:tbl>
      <w:tblPr>
        <w:tblLayout w:type="fixed"/>
        <w:tblInd w:w="6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2026 and 2025, (iv) Consolidated Statements of Stockholders' Equity for the Three and Nine Months Ended</w:t>
            </w:r>
          </w:p>
        </w:tc>
      </w:tr>
      <w:tr>
        <w:trPr>
          <w:trHeight w:val="216"/>
        </w:trPr>
        <w:tc>
          <w:tcPr>
            <w:tcW w:w="76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September 30, 2026 and 2025, (v) Consolidated Statements of Cash Flows for the Nine Months Ended</w:t>
            </w:r>
          </w:p>
        </w:tc>
      </w:tr>
      <w:tr>
        <w:trPr>
          <w:trHeight w:val="216"/>
        </w:trPr>
        <w:tc>
          <w:tcPr>
            <w:tcW w:w="76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September 30, 2026 and 2025, and (vi) the Condensed Notes to Consolidated Financial Statements.</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6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Definitions Linkbase Document</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Cover page to this Quarterly Report on Form 10-Q, formatted in Inline XBRL</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6540" w:type="dxa"/>
            <w:vAlign w:val="bottom"/>
            <w:gridSpan w:val="3"/>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Dime Commercial Bancshares, Inc.</w:t>
            </w:r>
          </w:p>
        </w:tc>
      </w:tr>
      <w:tr>
        <w:trPr>
          <w:trHeight w:val="41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October 30, 2026</w:t>
            </w:r>
          </w:p>
        </w:tc>
        <w:tc>
          <w:tcPr>
            <w:tcW w:w="65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By: /s/ Stuart H. Lubow</w:t>
            </w:r>
          </w:p>
        </w:tc>
      </w:tr>
      <w:tr>
        <w:trPr>
          <w:trHeight w:val="191"/>
        </w:trPr>
        <w:tc>
          <w:tcPr>
            <w:tcW w:w="2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Stuart H. Lubow</w:t>
            </w:r>
          </w:p>
        </w:tc>
        <w:tc>
          <w:tcPr>
            <w:tcW w:w="3160" w:type="dxa"/>
            <w:vAlign w:val="bottom"/>
          </w:tcPr>
          <w:p>
            <w:pPr>
              <w:spacing w:after="0"/>
              <w:rPr>
                <w:sz w:val="16"/>
                <w:szCs w:val="16"/>
                <w:color w:val="auto"/>
              </w:rPr>
            </w:pPr>
          </w:p>
        </w:tc>
      </w:tr>
      <w:tr>
        <w:trPr>
          <w:trHeight w:val="216"/>
        </w:trPr>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w:t>
            </w:r>
          </w:p>
        </w:tc>
      </w:tr>
      <w:tr>
        <w:trPr>
          <w:trHeight w:val="234"/>
        </w:trPr>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64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October 30, 2026</w:t>
            </w:r>
          </w:p>
        </w:tc>
        <w:tc>
          <w:tcPr>
            <w:tcW w:w="65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By: /s/ Avinash Reddy</w:t>
            </w:r>
          </w:p>
        </w:tc>
      </w:tr>
      <w:tr>
        <w:trPr>
          <w:trHeight w:val="191"/>
        </w:trPr>
        <w:tc>
          <w:tcPr>
            <w:tcW w:w="2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Avinash Reddy</w:t>
            </w:r>
          </w:p>
        </w:tc>
        <w:tc>
          <w:tcPr>
            <w:tcW w:w="3160" w:type="dxa"/>
            <w:vAlign w:val="bottom"/>
          </w:tcPr>
          <w:p>
            <w:pPr>
              <w:spacing w:after="0"/>
              <w:rPr>
                <w:sz w:val="16"/>
                <w:szCs w:val="16"/>
                <w:color w:val="auto"/>
              </w:rPr>
            </w:pPr>
          </w:p>
        </w:tc>
      </w:tr>
      <w:tr>
        <w:trPr>
          <w:trHeight w:val="216"/>
        </w:trPr>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Executive Vice President,</w:t>
            </w:r>
          </w:p>
        </w:tc>
      </w:tr>
      <w:tr>
        <w:trPr>
          <w:trHeight w:val="216"/>
        </w:trPr>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Operating Officer and</w:t>
            </w:r>
          </w:p>
        </w:tc>
      </w:tr>
      <w:tr>
        <w:trPr>
          <w:trHeight w:val="234"/>
        </w:trPr>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64"/>
        </w:trPr>
        <w:tc>
          <w:tcPr>
            <w:tcW w:w="2380" w:type="dxa"/>
            <w:vAlign w:val="bottom"/>
          </w:tcPr>
          <w:p>
            <w:pPr>
              <w:spacing w:after="0"/>
              <w:rPr>
                <w:sz w:val="24"/>
                <w:szCs w:val="24"/>
                <w:color w:val="auto"/>
              </w:rPr>
            </w:pPr>
          </w:p>
        </w:tc>
        <w:tc>
          <w:tcPr>
            <w:tcW w:w="338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67</w:t>
            </w:r>
          </w:p>
        </w:tc>
        <w:tc>
          <w:tcPr>
            <w:tcW w:w="3160" w:type="dxa"/>
            <w:vAlign w:val="bottom"/>
          </w:tcPr>
          <w:p>
            <w:pPr>
              <w:spacing w:after="0"/>
              <w:rPr>
                <w:sz w:val="24"/>
                <w:szCs w:val="24"/>
                <w:color w:val="auto"/>
              </w:rPr>
            </w:pPr>
          </w:p>
        </w:tc>
      </w:tr>
      <w:tr>
        <w:trPr>
          <w:trHeight w:val="547"/>
        </w:trPr>
        <w:tc>
          <w:tcPr>
            <w:tcW w:w="2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7" w:name="page68"/>
    <w:bookmarkEnd w:id="67"/>
    <w:p>
      <w:pPr>
        <w:ind w:left="76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PRINCIPAL EXECUTIVE OFFICER PURSUANT TO RULE 13a-14(a)</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Stuart H. Lubow, certify that:</w:t>
      </w:r>
    </w:p>
    <w:p>
      <w:pPr>
        <w:spacing w:after="0" w:line="225" w:lineRule="exact"/>
        <w:rPr>
          <w:sz w:val="20"/>
          <w:szCs w:val="20"/>
          <w:color w:val="auto"/>
        </w:rPr>
      </w:pPr>
    </w:p>
    <w:p>
      <w:pPr>
        <w:ind w:left="540" w:hanging="331"/>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Dime Commercial Bancshares, Inc.;</w:t>
      </w:r>
    </w:p>
    <w:p>
      <w:pPr>
        <w:spacing w:after="0" w:line="184"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2"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860" w:right="239" w:hanging="327"/>
        <w:spacing w:after="0" w:line="266"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540" w:right="239" w:hanging="331"/>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860" w:right="219" w:hanging="327"/>
        <w:spacing w:after="0" w:line="282"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Stuart H. Lubow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8632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Stuart H. Lubow</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8" w:name="page69"/>
    <w:bookmarkEnd w:id="68"/>
    <w:p>
      <w:pPr>
        <w:ind w:left="768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PRINCIPAL FINANCIAL OFFICER PURSUANT TO RULE 13a-14(a)</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Avinash Reddy, certify that:</w:t>
      </w:r>
    </w:p>
    <w:p>
      <w:pPr>
        <w:spacing w:after="0" w:line="185" w:lineRule="exact"/>
        <w:rPr>
          <w:sz w:val="20"/>
          <w:szCs w:val="20"/>
          <w:color w:val="auto"/>
        </w:rPr>
      </w:pPr>
    </w:p>
    <w:p>
      <w:pPr>
        <w:ind w:left="540" w:hanging="331"/>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Dime Commercial Bancshares, Inc.;</w:t>
      </w:r>
    </w:p>
    <w:p>
      <w:pPr>
        <w:spacing w:after="0" w:line="184"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2"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860" w:right="239" w:hanging="327"/>
        <w:spacing w:after="0" w:line="266" w:lineRule="auto"/>
        <w:tabs>
          <w:tab w:leader="none" w:pos="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540" w:right="239" w:hanging="331"/>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860" w:right="219" w:hanging="327"/>
        <w:spacing w:after="0" w:line="282" w:lineRule="auto"/>
        <w:tabs>
          <w:tab w:leader="none" w:pos="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Avinash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7260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Avinash Reddy</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Senior Executive Vice President, Chief Operating Officer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9" w:name="page70"/>
    <w:bookmarkEnd w:id="69"/>
    <w:p>
      <w:pPr>
        <w:ind w:left="768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PURSUANT TO RULE 13a-14(b) 18 U.S.C. SECTION 1350,</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As adopted pursuant to</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SECTION 906 OF THE SARBANES-OXLEY ACT OF 2002</w:t>
      </w:r>
    </w:p>
    <w:p>
      <w:pPr>
        <w:spacing w:after="0" w:line="202"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Dime Commercial Bancshares, Inc. (the “Company”) on Form 10-Q for the period ended September 30, 2026 as filed with the Securities and Exchange Commission, (the “Report”), we, Stuart H. Lubow, President and Chief Executive Officer of the Company and, Avinash Reddy, Senior Executive Vice President, Chief Operating Officer and Chief Financial Officer of the Company, hereby certify, pursuant to 18 U.S.C. Section 1350, as adopted pursuant to Section 906 of the Sarbanes-Oxley Act of 2002, that:</w:t>
      </w:r>
    </w:p>
    <w:p>
      <w:pPr>
        <w:spacing w:after="0" w:line="143" w:lineRule="exact"/>
        <w:rPr>
          <w:sz w:val="20"/>
          <w:szCs w:val="20"/>
          <w:color w:val="auto"/>
        </w:rPr>
      </w:pPr>
    </w:p>
    <w:p>
      <w:pPr>
        <w:ind w:left="860" w:right="239" w:hanging="327"/>
        <w:spacing w:after="0" w:line="282" w:lineRule="auto"/>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860" w:right="239" w:hanging="327"/>
        <w:spacing w:after="0" w:line="282" w:lineRule="auto"/>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October 30, 2026</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Stuart H. Lubow</w:t>
            </w: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Stuart H. Lubow</w:t>
            </w: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Avinash Reddy</w:t>
            </w: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Avinash Reddy</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Senior Executive Vice President, Chief Operating Officer and</w:t>
            </w: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63"/>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2"/>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4"/>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0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79" Type="http://schemas.openxmlformats.org/officeDocument/2006/relationships/hyperlink" Target="https://www.sec.gov/Archives/edgar/data/846617/000110465926117199/tm2627821d1_ex2-1.htm" TargetMode="External"/><Relationship Id="rId80" Type="http://schemas.openxmlformats.org/officeDocument/2006/relationships/hyperlink" Target="https://www.sec.gov/Archives/edgar/data/846617/000110465921010989/tm214955d1_ex3-1.htm" TargetMode="External"/><Relationship Id="rId81" Type="http://schemas.openxmlformats.org/officeDocument/2006/relationships/hyperlink" Target="https://www.sec.gov/Archives/edgar/data/846617/000094337424000436/ex3-2_8k102424.htm" TargetMode="External"/><Relationship Id="rId82" Type="http://schemas.openxmlformats.org/officeDocument/2006/relationships/hyperlink" Target="https://www.sec.gov/Archives/edgar/data/846617/000094337426000219/ex3-1_8k052826.htm" TargetMode="External"/><Relationship Id="rId83" Type="http://schemas.openxmlformats.org/officeDocument/2006/relationships/hyperlink" Target="https://www.sec.gov/Archives/edgar/data/0000846617/000110465922056846/tm2214585d1_ex4-1.htm" TargetMode="External"/><Relationship Id="rId84" Type="http://schemas.openxmlformats.org/officeDocument/2006/relationships/hyperlink" Target="https://www.sec.gov/Archives/edgar/data/846617/000110465922056846/tm2214585d1_ex4-2.htm" TargetMode="External"/><Relationship Id="rId85" Type="http://schemas.openxmlformats.org/officeDocument/2006/relationships/hyperlink" Target="https://www.sec.gov/Archives/edgar/data/846617/000110465924076292/tm2417725d4_ex4-2.htm" TargetMode="External"/><Relationship Id="rId86" Type="http://schemas.openxmlformats.org/officeDocument/2006/relationships/hyperlink" Target="https://www.sec.gov/Archives/edgar/data/846617/000094337426000219/ex10-1_8k052826.htm" TargetMode="External"/><Relationship Id="rId87" Type="http://schemas.openxmlformats.org/officeDocument/2006/relationships/hyperlink" Target="https://www.sec.gov/Archives/edgar/data/846617/000094337426000219/ex10-2_8k052826.htm" TargetMode="External"/><Relationship Id="rId88" Type="http://schemas.openxmlformats.org/officeDocument/2006/relationships/hyperlink" Target="https://www.sec.gov/Archives/edgar/data/846617/000094337426000219/ex10-3_8k0528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2026-10-30T16:19:21Z</dcterms:created>
  <dcterms:modified xsi:type="dcterms:W3CDTF">2026-10-30T16:19:21Z</dcterms:modified>
</cp:coreProperties>
</file>