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63226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2695" cy="2540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63226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2695" cy="635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8" w:lineRule="exact"/>
        <w:rPr>
          <w:sz w:val="24"/>
          <w:szCs w:val="24"/>
          <w:color w:val="auto"/>
        </w:rPr>
      </w:pPr>
    </w:p>
    <w:p>
      <w:pPr>
        <w:ind w:left="480" w:hanging="476"/>
        <w:spacing w:after="0"/>
        <w:tabs>
          <w:tab w:leader="none" w:pos="4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ANNUAL REPORT PURSUANT TO SECTION 13 OR 15(d) OF THE SECURITIES EXCHANGE ACT OF 1934</w:t>
      </w:r>
    </w:p>
    <w:p>
      <w:pPr>
        <w:spacing w:after="0" w:line="17" w:lineRule="exact"/>
        <w:rPr>
          <w:rFonts w:ascii="MS PGothic" w:cs="MS PGothic" w:eastAsia="MS PGothic" w:hAnsi="MS PGothic"/>
          <w:sz w:val="12"/>
          <w:szCs w:val="12"/>
          <w:color w:val="auto"/>
          <w:highlight w:val="black"/>
        </w:rPr>
      </w:pPr>
    </w:p>
    <w:p>
      <w:pPr>
        <w:ind w:left="398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For the Year Ended December 31, 2024</w:t>
      </w:r>
    </w:p>
    <w:p>
      <w:pPr>
        <w:spacing w:after="0" w:line="60" w:lineRule="exact"/>
        <w:rPr>
          <w:sz w:val="24"/>
          <w:szCs w:val="24"/>
          <w:color w:val="auto"/>
        </w:rPr>
      </w:pPr>
    </w:p>
    <w:p>
      <w:pPr>
        <w:jc w:val="right"/>
        <w:ind w:left="4100" w:right="4080" w:hanging="4096"/>
        <w:spacing w:after="0" w:line="268" w:lineRule="auto"/>
        <w:tabs>
          <w:tab w:leader="none" w:pos="482"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 xml:space="preserve">TRANSITION REPORT PURSUANT TO SECTION 13 OR 15(d) OF THE SECURITIES EXCHANGE ACT Commission file number </w:t>
      </w:r>
      <w:r>
        <w:rPr>
          <w:rFonts w:ascii="Times New Roman" w:cs="Times New Roman" w:eastAsia="Times New Roman" w:hAnsi="Times New Roman"/>
          <w:sz w:val="12"/>
          <w:szCs w:val="12"/>
          <w:b w:val="1"/>
          <w:bCs w:val="1"/>
          <w:color w:val="auto"/>
        </w:rPr>
        <w:t>001-34096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Dime Community Bancshares, Inc.</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29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480" w:type="dxa"/>
            <w:vAlign w:val="bottom"/>
          </w:tcPr>
          <w:p>
            <w:pPr>
              <w:spacing w:after="0"/>
              <w:rPr>
                <w:sz w:val="13"/>
                <w:szCs w:val="13"/>
                <w:color w:val="auto"/>
              </w:rPr>
            </w:pPr>
          </w:p>
        </w:tc>
      </w:tr>
      <w:tr>
        <w:trPr>
          <w:trHeight w:val="208"/>
        </w:trPr>
        <w:tc>
          <w:tcPr>
            <w:tcW w:w="3560" w:type="dxa"/>
            <w:vAlign w:val="bottom"/>
            <w:tcBorders>
              <w:bottom w:val="single" w:sz="8" w:color="auto"/>
            </w:tcBorders>
          </w:tcPr>
          <w:p>
            <w:pPr>
              <w:jc w:val="center"/>
              <w:ind w:left="1280"/>
              <w:spacing w:after="0"/>
              <w:rPr>
                <w:sz w:val="20"/>
                <w:szCs w:val="20"/>
                <w:color w:val="auto"/>
              </w:rPr>
            </w:pPr>
            <w:r>
              <w:rPr>
                <w:rFonts w:ascii="Times New Roman" w:cs="Times New Roman" w:eastAsia="Times New Roman" w:hAnsi="Times New Roman"/>
                <w:sz w:val="12"/>
                <w:szCs w:val="12"/>
                <w:b w:val="1"/>
                <w:bCs w:val="1"/>
                <w:color w:val="auto"/>
                <w:w w:val="95"/>
              </w:rPr>
              <w:t>New York</w:t>
            </w:r>
          </w:p>
        </w:tc>
        <w:tc>
          <w:tcPr>
            <w:tcW w:w="1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right"/>
              <w:ind w:right="2080"/>
              <w:spacing w:after="0"/>
              <w:rPr>
                <w:sz w:val="20"/>
                <w:szCs w:val="20"/>
                <w:color w:val="auto"/>
              </w:rPr>
            </w:pPr>
            <w:r>
              <w:rPr>
                <w:rFonts w:ascii="Times New Roman" w:cs="Times New Roman" w:eastAsia="Times New Roman" w:hAnsi="Times New Roman"/>
                <w:sz w:val="12"/>
                <w:szCs w:val="12"/>
                <w:b w:val="1"/>
                <w:bCs w:val="1"/>
                <w:color w:val="auto"/>
              </w:rPr>
              <w:t>11-2934195</w:t>
            </w:r>
          </w:p>
        </w:tc>
      </w:tr>
      <w:tr>
        <w:trPr>
          <w:trHeight w:val="152"/>
        </w:trPr>
        <w:tc>
          <w:tcPr>
            <w:tcW w:w="4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80" w:type="dxa"/>
            <w:vAlign w:val="bottom"/>
          </w:tcPr>
          <w:p>
            <w:pPr>
              <w:jc w:val="center"/>
              <w:ind w:right="1340"/>
              <w:spacing w:after="0"/>
              <w:rPr>
                <w:sz w:val="20"/>
                <w:szCs w:val="20"/>
                <w:color w:val="auto"/>
              </w:rPr>
            </w:pPr>
            <w:r>
              <w:rPr>
                <w:rFonts w:ascii="Times New Roman" w:cs="Times New Roman" w:eastAsia="Times New Roman" w:hAnsi="Times New Roman"/>
                <w:sz w:val="12"/>
                <w:szCs w:val="12"/>
                <w:color w:val="auto"/>
              </w:rPr>
              <w:t>(I.R.S. employer identification number)</w:t>
            </w:r>
          </w:p>
        </w:tc>
      </w:tr>
      <w:tr>
        <w:trPr>
          <w:trHeight w:val="294"/>
        </w:trPr>
        <w:tc>
          <w:tcPr>
            <w:tcW w:w="6480" w:type="dxa"/>
            <w:vAlign w:val="bottom"/>
            <w:gridSpan w:val="4"/>
          </w:tcPr>
          <w:p>
            <w:pPr>
              <w:jc w:val="center"/>
              <w:ind w:right="1600"/>
              <w:spacing w:after="0"/>
              <w:rPr>
                <w:sz w:val="20"/>
                <w:szCs w:val="20"/>
                <w:color w:val="auto"/>
              </w:rPr>
            </w:pPr>
            <w:r>
              <w:rPr>
                <w:rFonts w:ascii="Times New Roman" w:cs="Times New Roman" w:eastAsia="Times New Roman" w:hAnsi="Times New Roman"/>
                <w:sz w:val="12"/>
                <w:szCs w:val="12"/>
                <w:b w:val="1"/>
                <w:bCs w:val="1"/>
                <w:color w:val="auto"/>
              </w:rPr>
              <w:t>898 Veterans Memorial Highway, Suite 560, Hauppauge, NY</w:t>
            </w:r>
          </w:p>
        </w:tc>
        <w:tc>
          <w:tcPr>
            <w:tcW w:w="3480" w:type="dxa"/>
            <w:vAlign w:val="bottom"/>
          </w:tcPr>
          <w:p>
            <w:pPr>
              <w:jc w:val="right"/>
              <w:ind w:right="2240"/>
              <w:spacing w:after="0"/>
              <w:rPr>
                <w:sz w:val="20"/>
                <w:szCs w:val="20"/>
                <w:color w:val="auto"/>
              </w:rPr>
            </w:pPr>
            <w:r>
              <w:rPr>
                <w:rFonts w:ascii="Times New Roman" w:cs="Times New Roman" w:eastAsia="Times New Roman" w:hAnsi="Times New Roman"/>
                <w:sz w:val="12"/>
                <w:szCs w:val="12"/>
                <w:b w:val="1"/>
                <w:bCs w:val="1"/>
                <w:color w:val="auto"/>
              </w:rPr>
              <w:t>11788</w:t>
            </w:r>
          </w:p>
        </w:tc>
      </w:tr>
      <w:tr>
        <w:trPr>
          <w:trHeight w:val="150"/>
        </w:trPr>
        <w:tc>
          <w:tcPr>
            <w:tcW w:w="3560" w:type="dxa"/>
            <w:vAlign w:val="bottom"/>
            <w:tcBorders>
              <w:top w:val="single" w:sz="8" w:color="auto"/>
            </w:tcBorders>
          </w:tcPr>
          <w:p>
            <w:pPr>
              <w:jc w:val="center"/>
              <w:ind w:left="1260"/>
              <w:spacing w:after="0"/>
              <w:rPr>
                <w:sz w:val="20"/>
                <w:szCs w:val="20"/>
                <w:color w:val="auto"/>
              </w:rPr>
            </w:pP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Address of principal executive offices)</w:t>
            </w:r>
          </w:p>
        </w:tc>
        <w:tc>
          <w:tcPr>
            <w:tcW w:w="1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480" w:type="dxa"/>
            <w:vAlign w:val="bottom"/>
            <w:tcBorders>
              <w:top w:val="single" w:sz="8" w:color="auto"/>
            </w:tcBorders>
          </w:tcPr>
          <w:p>
            <w:pPr>
              <w:jc w:val="center"/>
              <w:ind w:right="134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302"/>
        </w:trPr>
        <w:tc>
          <w:tcPr>
            <w:tcW w:w="996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 (631) 537-1000</w:t>
            </w:r>
          </w:p>
        </w:tc>
      </w:tr>
      <w:tr>
        <w:trPr>
          <w:trHeight w:val="212"/>
        </w:trPr>
        <w:tc>
          <w:tcPr>
            <w:tcW w:w="3560" w:type="dxa"/>
            <w:vAlign w:val="bottom"/>
          </w:tcPr>
          <w:p>
            <w:pPr>
              <w:spacing w:after="0"/>
              <w:rPr>
                <w:sz w:val="18"/>
                <w:szCs w:val="18"/>
                <w:color w:val="auto"/>
              </w:rPr>
            </w:pPr>
          </w:p>
        </w:tc>
        <w:tc>
          <w:tcPr>
            <w:tcW w:w="2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480" w:type="dxa"/>
            <w:vAlign w:val="bottom"/>
          </w:tcPr>
          <w:p>
            <w:pPr>
              <w:spacing w:after="0"/>
              <w:rPr>
                <w:sz w:val="18"/>
                <w:szCs w:val="18"/>
                <w:color w:val="auto"/>
              </w:rPr>
            </w:pPr>
          </w:p>
        </w:tc>
      </w:tr>
      <w:tr>
        <w:trPr>
          <w:trHeight w:val="213"/>
        </w:trPr>
        <w:tc>
          <w:tcPr>
            <w:tcW w:w="356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920" w:type="dxa"/>
            <w:vAlign w:val="bottom"/>
            <w:gridSpan w:val="3"/>
          </w:tcPr>
          <w:p>
            <w:pPr>
              <w:ind w:left="1060"/>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3480" w:type="dxa"/>
            <w:vAlign w:val="bottom"/>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r>
      <w:tr>
        <w:trPr>
          <w:trHeight w:val="162"/>
        </w:trPr>
        <w:tc>
          <w:tcPr>
            <w:tcW w:w="35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2"/>
                <w:szCs w:val="12"/>
                <w:b w:val="1"/>
                <w:bCs w:val="1"/>
                <w:color w:val="auto"/>
              </w:rPr>
              <w:t>Symbol(s</w:t>
            </w:r>
            <w:r>
              <w:rPr>
                <w:rFonts w:ascii="Times New Roman" w:cs="Times New Roman" w:eastAsia="Times New Roman" w:hAnsi="Times New Roman"/>
                <w:sz w:val="12"/>
                <w:szCs w:val="12"/>
                <w:color w:val="auto"/>
              </w:rPr>
              <w:t>)</w:t>
            </w:r>
          </w:p>
        </w:tc>
        <w:tc>
          <w:tcPr>
            <w:tcW w:w="3480" w:type="dxa"/>
            <w:vAlign w:val="bottom"/>
            <w:tcBorders>
              <w:bottom w:val="single" w:sz="8" w:color="auto"/>
            </w:tcBorders>
          </w:tcPr>
          <w:p>
            <w:pPr>
              <w:spacing w:after="0"/>
              <w:rPr>
                <w:sz w:val="14"/>
                <w:szCs w:val="14"/>
                <w:color w:val="auto"/>
              </w:rPr>
            </w:pPr>
          </w:p>
        </w:tc>
      </w:tr>
      <w:tr>
        <w:trPr>
          <w:trHeight w:val="132"/>
        </w:trPr>
        <w:tc>
          <w:tcPr>
            <w:tcW w:w="3560" w:type="dxa"/>
            <w:vAlign w:val="bottom"/>
          </w:tcPr>
          <w:p>
            <w:pPr>
              <w:jc w:val="center"/>
              <w:ind w:left="1000"/>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9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9"/>
              </w:rPr>
              <w:t>DCOM</w:t>
            </w:r>
          </w:p>
        </w:tc>
        <w:tc>
          <w:tcPr>
            <w:tcW w:w="3480" w:type="dxa"/>
            <w:vAlign w:val="bottom"/>
          </w:tcPr>
          <w:p>
            <w:pPr>
              <w:jc w:val="center"/>
              <w:ind w:right="1100"/>
              <w:spacing w:after="0" w:line="133" w:lineRule="exact"/>
              <w:rPr>
                <w:sz w:val="20"/>
                <w:szCs w:val="20"/>
                <w:color w:val="auto"/>
              </w:rPr>
            </w:pPr>
            <w:r>
              <w:rPr>
                <w:rFonts w:ascii="Times New Roman" w:cs="Times New Roman" w:eastAsia="Times New Roman" w:hAnsi="Times New Roman"/>
                <w:sz w:val="12"/>
                <w:szCs w:val="12"/>
                <w:color w:val="auto"/>
              </w:rPr>
              <w:t>The Nasdaq Stock Market</w:t>
            </w:r>
          </w:p>
        </w:tc>
      </w:tr>
      <w:tr>
        <w:trPr>
          <w:trHeight w:val="151"/>
        </w:trPr>
        <w:tc>
          <w:tcPr>
            <w:tcW w:w="35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Preferred Stock, Series A, par value $0.01 per share</w:t>
            </w:r>
          </w:p>
        </w:tc>
        <w:tc>
          <w:tcPr>
            <w:tcW w:w="29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w w:val="98"/>
              </w:rPr>
              <w:t>DCOMP</w:t>
            </w:r>
          </w:p>
        </w:tc>
        <w:tc>
          <w:tcPr>
            <w:tcW w:w="3480" w:type="dxa"/>
            <w:vAlign w:val="bottom"/>
          </w:tcPr>
          <w:p>
            <w:pPr>
              <w:jc w:val="center"/>
              <w:ind w:right="1100"/>
              <w:spacing w:after="0"/>
              <w:rPr>
                <w:sz w:val="20"/>
                <w:szCs w:val="20"/>
                <w:color w:val="auto"/>
              </w:rPr>
            </w:pPr>
            <w:r>
              <w:rPr>
                <w:rFonts w:ascii="Times New Roman" w:cs="Times New Roman" w:eastAsia="Times New Roman" w:hAnsi="Times New Roman"/>
                <w:sz w:val="12"/>
                <w:szCs w:val="12"/>
                <w:color w:val="auto"/>
              </w:rPr>
              <w:t>The Nasdaq Stock Market</w:t>
            </w:r>
          </w:p>
        </w:tc>
      </w:tr>
      <w:tr>
        <w:trPr>
          <w:trHeight w:val="158"/>
        </w:trPr>
        <w:tc>
          <w:tcPr>
            <w:tcW w:w="356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rPr>
              <w:t>9.000% Subordinated Notes, par value $25.00</w:t>
            </w:r>
          </w:p>
        </w:tc>
        <w:tc>
          <w:tcPr>
            <w:tcW w:w="29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color w:val="auto"/>
              </w:rPr>
              <w:t>DCOMG</w:t>
            </w:r>
          </w:p>
        </w:tc>
        <w:tc>
          <w:tcPr>
            <w:tcW w:w="3480" w:type="dxa"/>
            <w:vAlign w:val="bottom"/>
          </w:tcPr>
          <w:p>
            <w:pPr>
              <w:jc w:val="center"/>
              <w:ind w:right="1100"/>
              <w:spacing w:after="0"/>
              <w:rPr>
                <w:sz w:val="20"/>
                <w:szCs w:val="20"/>
                <w:color w:val="auto"/>
              </w:rPr>
            </w:pPr>
            <w:r>
              <w:rPr>
                <w:rFonts w:ascii="Times New Roman" w:cs="Times New Roman" w:eastAsia="Times New Roman" w:hAnsi="Times New Roman"/>
                <w:sz w:val="12"/>
                <w:szCs w:val="12"/>
                <w:color w:val="auto"/>
              </w:rPr>
              <w:t>The Nasdaq Stock Market</w:t>
            </w:r>
          </w:p>
        </w:tc>
      </w:tr>
    </w:tbl>
    <w:p>
      <w:pPr>
        <w:spacing w:after="0" w:line="15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pacing w:after="0" w:line="5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9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6" w:lineRule="exact"/>
        <w:rPr>
          <w:sz w:val="24"/>
          <w:szCs w:val="24"/>
          <w:color w:val="auto"/>
        </w:rPr>
      </w:pPr>
    </w:p>
    <w:p>
      <w:pPr>
        <w:ind w:right="60"/>
        <w:spacing w:after="0" w:line="29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60"/>
          </w:cols>
          <w:pgMar w:left="960" w:top="530" w:right="979" w:bottom="1440" w:gutter="0" w:footer="0" w:header="0"/>
        </w:sectPr>
      </w:pPr>
    </w:p>
    <w:p>
      <w:pPr>
        <w:spacing w:after="0" w:line="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6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5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2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72" w:lineRule="exact"/>
        <w:rPr>
          <w:sz w:val="24"/>
          <w:szCs w:val="24"/>
          <w:color w:val="auto"/>
        </w:rPr>
      </w:pPr>
    </w:p>
    <w:p>
      <w:pPr>
        <w:sectPr>
          <w:pgSz w:w="11900" w:h="16838" w:orient="portrait"/>
          <w:cols w:equalWidth="0" w:num="2">
            <w:col w:w="4120" w:space="720"/>
            <w:col w:w="5120"/>
          </w:cols>
          <w:pgMar w:left="960" w:top="530" w:right="979" w:bottom="1440" w:gutter="0" w:footer="0" w:header="0"/>
          <w:type w:val="continuous"/>
        </w:sectPr>
      </w:pPr>
    </w:p>
    <w:p>
      <w:pPr>
        <w:ind w:right="40"/>
        <w:spacing w:after="0" w:line="16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27"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The aggregate market value of the voting stock held by non-affiliates of the registrant as of June 30, 2024 was approximately $723.2 million based upon the $20.40 closing price on the NASDAQ National Market for a share of the registrant’s common stock on June 30, 2024.</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registrant had 43,638,375 shares of common stock, $0.01 par value, outstanding as of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632269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22695" cy="19050"/>
                    </a:xfrm>
                    <a:prstGeom prst="rect">
                      <a:avLst/>
                    </a:prstGeom>
                    <a:noFill/>
                  </pic:spPr>
                </pic:pic>
              </a:graphicData>
            </a:graphic>
          </wp:anchor>
        </w:drawing>
      </w:r>
    </w:p>
    <w:p>
      <w:pPr>
        <w:sectPr>
          <w:pgSz w:w="11900" w:h="16838" w:orient="portrait"/>
          <w:cols w:equalWidth="0" w:num="1">
            <w:col w:w="9960"/>
          </w:cols>
          <w:pgMar w:left="960" w:top="53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2"/>
          <w:szCs w:val="12"/>
          <w:color w:val="auto"/>
        </w:rPr>
        <w:t>Portions of the definitive Proxy Statement to be distributed on behalf of the Board of Directors of Registrant in connection with the Annual Meeting of Shareholders to be held on May 22, 2025 and any adjournment thereof,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632269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2695" cy="190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63226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2695"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18415</wp:posOffset>
            </wp:positionV>
            <wp:extent cx="632269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2695" cy="25400"/>
                    </a:xfrm>
                    <a:prstGeom prst="rect">
                      <a:avLst/>
                    </a:prstGeom>
                    <a:noFill/>
                  </pic:spPr>
                </pic:pic>
              </a:graphicData>
            </a:graphic>
          </wp:anchor>
        </w:drawing>
      </w:r>
    </w:p>
    <w:p>
      <w:pPr>
        <w:sectPr>
          <w:pgSz w:w="11900" w:h="16838" w:orient="portrait"/>
          <w:cols w:equalWidth="0" w:num="1">
            <w:col w:w="9960"/>
          </w:cols>
          <w:pgMar w:left="960" w:top="419" w:right="97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49"/>
        </w:trPr>
        <w:tc>
          <w:tcPr>
            <w:tcW w:w="8120" w:type="dxa"/>
            <w:vAlign w:val="bottom"/>
            <w:gridSpan w:val="33"/>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4"/>
        </w:trPr>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16"/>
          </w:tcPr>
          <w:p>
            <w:pPr>
              <w:ind w:left="3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2"/>
            <w:vMerge w:val="restart"/>
          </w:tcPr>
          <w:p>
            <w:pPr>
              <w:jc w:val="center"/>
              <w:ind w:right="3340"/>
              <w:spacing w:after="0"/>
              <w:rPr>
                <w:sz w:val="20"/>
                <w:szCs w:val="20"/>
                <w:color w:val="auto"/>
              </w:rPr>
            </w:pPr>
            <w:r>
              <w:rPr>
                <w:rFonts w:ascii="Times New Roman" w:cs="Times New Roman" w:eastAsia="Times New Roman" w:hAnsi="Times New Roman"/>
                <w:sz w:val="13"/>
                <w:szCs w:val="13"/>
                <w:b w:val="1"/>
                <w:bCs w:val="1"/>
                <w:color w:val="0000EE"/>
                <w:w w:val="96"/>
              </w:rPr>
              <w:t>PART I</w:t>
            </w: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40" w:type="dxa"/>
            <w:vAlign w:val="bottom"/>
            <w:gridSpan w:val="12"/>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1.</w:t>
            </w:r>
          </w:p>
        </w:tc>
        <w:tc>
          <w:tcPr>
            <w:tcW w:w="3600" w:type="dxa"/>
            <w:vAlign w:val="bottom"/>
            <w:gridSpan w:val="19"/>
          </w:tcPr>
          <w:p>
            <w:pPr>
              <w:ind w:left="220"/>
              <w:spacing w:after="0" w:line="141" w:lineRule="exact"/>
              <w:rPr>
                <w:sz w:val="20"/>
                <w:szCs w:val="20"/>
                <w:color w:val="auto"/>
              </w:rPr>
            </w:pPr>
            <w:r>
              <w:rPr>
                <w:rFonts w:ascii="Times New Roman" w:cs="Times New Roman" w:eastAsia="Times New Roman" w:hAnsi="Times New Roman"/>
                <w:sz w:val="13"/>
                <w:szCs w:val="13"/>
                <w:color w:val="0000EE"/>
              </w:rPr>
              <w:t>Business</w:t>
            </w:r>
          </w:p>
        </w:tc>
        <w:tc>
          <w:tcPr>
            <w:tcW w:w="420" w:type="dxa"/>
            <w:vAlign w:val="bottom"/>
            <w:tcBorders>
              <w:top w:val="single" w:sz="8" w:color="0000EE"/>
            </w:tcBorders>
            <w:gridSpan w:val="2"/>
          </w:tcPr>
          <w:p>
            <w:pPr>
              <w:spacing w:after="0"/>
              <w:rPr>
                <w:sz w:val="12"/>
                <w:szCs w:val="12"/>
                <w:color w:val="auto"/>
              </w:rPr>
            </w:pPr>
          </w:p>
        </w:tc>
        <w:tc>
          <w:tcPr>
            <w:tcW w:w="3380" w:type="dxa"/>
            <w:vAlign w:val="bottom"/>
            <w:gridSpan w:val="9"/>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1"/>
              </w:rPr>
              <w:t>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95"/>
              </w:rPr>
              <w:t>Item 1A.</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60" w:type="dxa"/>
            <w:vAlign w:val="bottom"/>
            <w:gridSpan w:val="29"/>
          </w:tcPr>
          <w:p>
            <w:pPr>
              <w:spacing w:after="0"/>
              <w:rPr>
                <w:sz w:val="20"/>
                <w:szCs w:val="20"/>
                <w:color w:val="auto"/>
              </w:rPr>
            </w:pPr>
            <w:r>
              <w:rPr>
                <w:rFonts w:ascii="Times New Roman" w:cs="Times New Roman" w:eastAsia="Times New Roman" w:hAnsi="Times New Roman"/>
                <w:sz w:val="13"/>
                <w:szCs w:val="13"/>
                <w:color w:val="0000EE"/>
              </w:rPr>
              <w:t>Risk Factors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 w:type="dxa"/>
            <w:vAlign w:val="bottom"/>
            <w:tcBorders>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6"/>
              </w:rPr>
              <w:t>Item 1B.</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line="141" w:lineRule="exact"/>
              <w:rPr>
                <w:sz w:val="20"/>
                <w:szCs w:val="20"/>
                <w:color w:val="auto"/>
              </w:rPr>
            </w:pPr>
            <w:r>
              <w:rPr>
                <w:rFonts w:ascii="Times New Roman" w:cs="Times New Roman" w:eastAsia="Times New Roman" w:hAnsi="Times New Roman"/>
                <w:sz w:val="13"/>
                <w:szCs w:val="13"/>
                <w:color w:val="0000EE"/>
              </w:rPr>
              <w:t>Unresolved Staff Comments</w:t>
            </w:r>
          </w:p>
        </w:tc>
        <w:tc>
          <w:tcPr>
            <w:tcW w:w="5640" w:type="dxa"/>
            <w:vAlign w:val="bottom"/>
            <w:gridSpan w:val="19"/>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1"/>
        </w:trPr>
        <w:tc>
          <w:tcPr>
            <w:tcW w:w="480" w:type="dxa"/>
            <w:vAlign w:val="bottom"/>
            <w:tcBorders>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6"/>
              </w:rPr>
              <w:t>Item 1C.</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0000EE"/>
            </w:tcBorders>
            <w:gridSpan w:val="5"/>
          </w:tcPr>
          <w:p>
            <w:pPr>
              <w:spacing w:after="0" w:line="141" w:lineRule="exact"/>
              <w:rPr>
                <w:sz w:val="20"/>
                <w:szCs w:val="20"/>
                <w:color w:val="auto"/>
              </w:rPr>
            </w:pPr>
            <w:r>
              <w:rPr>
                <w:rFonts w:ascii="Times New Roman" w:cs="Times New Roman" w:eastAsia="Times New Roman" w:hAnsi="Times New Roman"/>
                <w:sz w:val="13"/>
                <w:szCs w:val="13"/>
                <w:color w:val="0000EE"/>
                <w:w w:val="98"/>
              </w:rPr>
              <w:t>Cybersecurity</w:t>
            </w:r>
          </w:p>
        </w:tc>
        <w:tc>
          <w:tcPr>
            <w:tcW w:w="6420" w:type="dxa"/>
            <w:vAlign w:val="bottom"/>
            <w:gridSpan w:val="24"/>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2.</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Properties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3.</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Legal Proceedings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4.</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Mine Safety Disclosures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0000EE"/>
            </w:tcBorders>
            <w:gridSpan w:val="4"/>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0000EE"/>
              </w:rPr>
              <w:t>PART II</w:t>
            </w:r>
          </w:p>
        </w:tc>
        <w:tc>
          <w:tcPr>
            <w:tcW w:w="3340" w:type="dxa"/>
            <w:vAlign w:val="bottom"/>
            <w:gridSpan w:val="8"/>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5.</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Market for Registrant’s Common Equity, Related Stockholder Matters and Issuer Purchases of Equity Securities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6.</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[Reserved]</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7.</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Management’s Discussion and Analysis of Financial Condition and Results of Operations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7A</w:t>
            </w:r>
            <w:r>
              <w:rPr>
                <w:rFonts w:ascii="Times New Roman" w:cs="Times New Roman" w:eastAsia="Times New Roman" w:hAnsi="Times New Roman"/>
                <w:sz w:val="13"/>
                <w:szCs w:val="13"/>
                <w:color w:val="000000"/>
              </w:rPr>
              <w:t>.</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Quantitative and Qualitative Disclosures About Market Risk</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tcBorders>
              <w:top w:val="single" w:sz="8" w:color="0000EE"/>
            </w:tcBorders>
            <w:gridSpan w:val="15"/>
          </w:tcPr>
          <w:p>
            <w:pPr>
              <w:spacing w:after="0" w:line="141" w:lineRule="exact"/>
              <w:rPr>
                <w:sz w:val="20"/>
                <w:szCs w:val="20"/>
                <w:color w:val="auto"/>
              </w:rPr>
            </w:pPr>
            <w:r>
              <w:rPr>
                <w:rFonts w:ascii="Times New Roman" w:cs="Times New Roman" w:eastAsia="Times New Roman" w:hAnsi="Times New Roman"/>
                <w:sz w:val="13"/>
                <w:szCs w:val="13"/>
                <w:color w:val="0000EE"/>
              </w:rPr>
              <w:t>Financial Statements and Supplementary Data</w:t>
            </w:r>
          </w:p>
        </w:tc>
        <w:tc>
          <w:tcPr>
            <w:tcW w:w="3920" w:type="dxa"/>
            <w:vAlign w:val="bottom"/>
            <w:gridSpan w:val="14"/>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9.</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Changes in and Disagreements With Accountants on Accounting and Financial Disclosure</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5"/>
              </w:rPr>
              <w:t>Item 9A.</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60" w:type="dxa"/>
            <w:vAlign w:val="bottom"/>
            <w:gridSpan w:val="29"/>
          </w:tcPr>
          <w:p>
            <w:pPr>
              <w:spacing w:after="0" w:line="141" w:lineRule="exact"/>
              <w:rPr>
                <w:sz w:val="20"/>
                <w:szCs w:val="20"/>
                <w:color w:val="auto"/>
              </w:rPr>
            </w:pPr>
            <w:r>
              <w:rPr>
                <w:rFonts w:ascii="Times New Roman" w:cs="Times New Roman" w:eastAsia="Times New Roman" w:hAnsi="Times New Roman"/>
                <w:sz w:val="13"/>
                <w:szCs w:val="13"/>
                <w:color w:val="0000EE"/>
              </w:rPr>
              <w:t>Controls and Procedures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6"/>
              </w:rPr>
              <w:t>Item 9B.</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0000EE"/>
            </w:tcBorders>
            <w:gridSpan w:val="8"/>
          </w:tcPr>
          <w:p>
            <w:pPr>
              <w:spacing w:after="0" w:line="141" w:lineRule="exact"/>
              <w:rPr>
                <w:sz w:val="20"/>
                <w:szCs w:val="20"/>
                <w:color w:val="auto"/>
              </w:rPr>
            </w:pPr>
            <w:r>
              <w:rPr>
                <w:rFonts w:ascii="Times New Roman" w:cs="Times New Roman" w:eastAsia="Times New Roman" w:hAnsi="Times New Roman"/>
                <w:sz w:val="13"/>
                <w:szCs w:val="13"/>
                <w:color w:val="0000EE"/>
              </w:rPr>
              <w:t>Other Information</w:t>
            </w:r>
          </w:p>
        </w:tc>
        <w:tc>
          <w:tcPr>
            <w:tcW w:w="5860" w:type="dxa"/>
            <w:vAlign w:val="bottom"/>
            <w:gridSpan w:val="21"/>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EE"/>
                <w:w w:val="96"/>
              </w:rPr>
              <w:t>Item 9C.</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60" w:type="dxa"/>
            <w:vAlign w:val="bottom"/>
            <w:gridSpan w:val="29"/>
          </w:tcPr>
          <w:p>
            <w:pPr>
              <w:spacing w:after="0" w:line="141" w:lineRule="exact"/>
              <w:rPr>
                <w:sz w:val="20"/>
                <w:szCs w:val="20"/>
                <w:color w:val="auto"/>
              </w:rPr>
            </w:pPr>
            <w:r>
              <w:rPr>
                <w:rFonts w:ascii="Times New Roman" w:cs="Times New Roman" w:eastAsia="Times New Roman" w:hAnsi="Times New Roman"/>
                <w:sz w:val="13"/>
                <w:szCs w:val="13"/>
                <w:color w:val="0000EE"/>
              </w:rPr>
              <w:t>Disclosure Regarding Foreign Jurisdictions that Prevent Inspections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0000EE"/>
            </w:tcBorders>
            <w:gridSpan w:val="7"/>
          </w:tcPr>
          <w:p>
            <w:pPr>
              <w:jc w:val="center"/>
              <w:ind w:right="20"/>
              <w:spacing w:after="0" w:line="141" w:lineRule="exact"/>
              <w:rPr>
                <w:sz w:val="20"/>
                <w:szCs w:val="20"/>
                <w:color w:val="auto"/>
              </w:rPr>
            </w:pPr>
            <w:r>
              <w:rPr>
                <w:rFonts w:ascii="Times New Roman" w:cs="Times New Roman" w:eastAsia="Times New Roman" w:hAnsi="Times New Roman"/>
                <w:sz w:val="13"/>
                <w:szCs w:val="13"/>
                <w:b w:val="1"/>
                <w:bCs w:val="1"/>
                <w:color w:val="0000EE"/>
              </w:rPr>
              <w:t>PART III</w:t>
            </w:r>
          </w:p>
        </w:tc>
        <w:tc>
          <w:tcPr>
            <w:tcW w:w="3300" w:type="dxa"/>
            <w:vAlign w:val="bottom"/>
            <w:gridSpan w:val="6"/>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60" w:type="dxa"/>
            <w:vAlign w:val="bottom"/>
            <w:gridSpan w:val="29"/>
          </w:tcPr>
          <w:p>
            <w:pPr>
              <w:spacing w:after="0" w:line="141" w:lineRule="exact"/>
              <w:rPr>
                <w:sz w:val="20"/>
                <w:szCs w:val="20"/>
                <w:color w:val="auto"/>
              </w:rPr>
            </w:pPr>
            <w:r>
              <w:rPr>
                <w:rFonts w:ascii="Times New Roman" w:cs="Times New Roman" w:eastAsia="Times New Roman" w:hAnsi="Times New Roman"/>
                <w:sz w:val="13"/>
                <w:szCs w:val="13"/>
                <w:color w:val="0000EE"/>
              </w:rPr>
              <w:t>Directors, Executive Officers and Corporate Governance</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EE"/>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top w:val="single" w:sz="8" w:color="0000EE"/>
              <w:bottom w:val="single" w:sz="8" w:color="0000EE"/>
            </w:tcBorders>
            <w:gridSpan w:val="9"/>
          </w:tcPr>
          <w:p>
            <w:pPr>
              <w:spacing w:after="0" w:line="141" w:lineRule="exact"/>
              <w:rPr>
                <w:sz w:val="20"/>
                <w:szCs w:val="20"/>
                <w:color w:val="auto"/>
              </w:rPr>
            </w:pPr>
            <w:r>
              <w:rPr>
                <w:rFonts w:ascii="Times New Roman" w:cs="Times New Roman" w:eastAsia="Times New Roman" w:hAnsi="Times New Roman"/>
                <w:sz w:val="13"/>
                <w:szCs w:val="13"/>
                <w:color w:val="0000EE"/>
              </w:rPr>
              <w:t>Executive Compensation</w:t>
            </w:r>
          </w:p>
        </w:tc>
        <w:tc>
          <w:tcPr>
            <w:tcW w:w="1700" w:type="dxa"/>
            <w:vAlign w:val="bottom"/>
            <w:tcBorders>
              <w:top w:val="single" w:sz="8" w:color="0000EE"/>
            </w:tcBorders>
            <w:gridSpan w:val="5"/>
          </w:tcPr>
          <w:p>
            <w:pPr>
              <w:spacing w:after="0"/>
              <w:rPr>
                <w:sz w:val="12"/>
                <w:szCs w:val="12"/>
                <w:color w:val="auto"/>
              </w:rPr>
            </w:pPr>
          </w:p>
        </w:tc>
        <w:tc>
          <w:tcPr>
            <w:tcW w:w="4120" w:type="dxa"/>
            <w:vAlign w:val="bottom"/>
            <w:gridSpan w:val="15"/>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60" w:type="dxa"/>
            <w:vAlign w:val="bottom"/>
            <w:gridSpan w:val="29"/>
          </w:tcPr>
          <w:p>
            <w:pPr>
              <w:spacing w:after="0" w:line="141" w:lineRule="exact"/>
              <w:rPr>
                <w:sz w:val="20"/>
                <w:szCs w:val="20"/>
                <w:color w:val="auto"/>
              </w:rPr>
            </w:pPr>
            <w:r>
              <w:rPr>
                <w:rFonts w:ascii="Times New Roman" w:cs="Times New Roman" w:eastAsia="Times New Roman" w:hAnsi="Times New Roman"/>
                <w:sz w:val="13"/>
                <w:szCs w:val="13"/>
                <w:color w:val="0000EE"/>
              </w:rPr>
              <w:t>Security Ownership of Certain Beneficial Owners and Management and Related Stockholder Matters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EE"/>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60" w:type="dxa"/>
            <w:vAlign w:val="bottom"/>
            <w:tcBorders>
              <w:top w:val="single" w:sz="8" w:color="0000EE"/>
              <w:bottom w:val="single" w:sz="8" w:color="0000EE"/>
            </w:tcBorders>
            <w:gridSpan w:val="24"/>
          </w:tcPr>
          <w:p>
            <w:pPr>
              <w:spacing w:after="0" w:line="141" w:lineRule="exact"/>
              <w:rPr>
                <w:sz w:val="20"/>
                <w:szCs w:val="20"/>
                <w:color w:val="auto"/>
              </w:rPr>
            </w:pPr>
            <w:r>
              <w:rPr>
                <w:rFonts w:ascii="Times New Roman" w:cs="Times New Roman" w:eastAsia="Times New Roman" w:hAnsi="Times New Roman"/>
                <w:sz w:val="13"/>
                <w:szCs w:val="13"/>
                <w:color w:val="0000EE"/>
              </w:rPr>
              <w:t>Certain Relationships and Related Transactions, and Director Independence</w:t>
            </w:r>
          </w:p>
        </w:tc>
        <w:tc>
          <w:tcPr>
            <w:tcW w:w="1360" w:type="dxa"/>
            <w:vAlign w:val="bottom"/>
            <w:tcBorders>
              <w:top w:val="single" w:sz="8" w:color="0000EE"/>
            </w:tcBorders>
            <w:gridSpan w:val="3"/>
          </w:tcPr>
          <w:p>
            <w:pPr>
              <w:spacing w:after="0"/>
              <w:rPr>
                <w:sz w:val="12"/>
                <w:szCs w:val="12"/>
                <w:color w:val="auto"/>
              </w:rPr>
            </w:pPr>
          </w:p>
        </w:tc>
        <w:tc>
          <w:tcPr>
            <w:tcW w:w="1740" w:type="dxa"/>
            <w:vAlign w:val="bottom"/>
            <w:gridSpan w:val="2"/>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72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0000EE"/>
              </w:rPr>
              <w:t>Item 14.</w:t>
            </w:r>
          </w:p>
        </w:tc>
        <w:tc>
          <w:tcPr>
            <w:tcW w:w="7400" w:type="dxa"/>
            <w:vAlign w:val="bottom"/>
            <w:gridSpan w:val="30"/>
          </w:tcPr>
          <w:p>
            <w:pPr>
              <w:ind w:left="220"/>
              <w:spacing w:after="0" w:line="141" w:lineRule="exact"/>
              <w:rPr>
                <w:sz w:val="20"/>
                <w:szCs w:val="20"/>
                <w:color w:val="auto"/>
              </w:rPr>
            </w:pPr>
            <w:r>
              <w:rPr>
                <w:rFonts w:ascii="Times New Roman" w:cs="Times New Roman" w:eastAsia="Times New Roman" w:hAnsi="Times New Roman"/>
                <w:sz w:val="13"/>
                <w:szCs w:val="13"/>
                <w:color w:val="0000EE"/>
              </w:rPr>
              <w:t>Principal Accounting Fees and Services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0000EE"/>
            </w:tcBorders>
            <w:gridSpan w:val="5"/>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0000EE"/>
                <w:w w:val="97"/>
              </w:rPr>
              <w:t>PART IV</w:t>
            </w:r>
          </w:p>
        </w:tc>
        <w:tc>
          <w:tcPr>
            <w:tcW w:w="3320" w:type="dxa"/>
            <w:vAlign w:val="bottom"/>
            <w:gridSpan w:val="7"/>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60" w:type="dxa"/>
            <w:vAlign w:val="bottom"/>
            <w:gridSpan w:val="29"/>
          </w:tcPr>
          <w:p>
            <w:pPr>
              <w:spacing w:after="0" w:line="141" w:lineRule="exact"/>
              <w:rPr>
                <w:sz w:val="20"/>
                <w:szCs w:val="20"/>
                <w:color w:val="auto"/>
              </w:rPr>
            </w:pPr>
            <w:r>
              <w:rPr>
                <w:rFonts w:ascii="Times New Roman" w:cs="Times New Roman" w:eastAsia="Times New Roman" w:hAnsi="Times New Roman"/>
                <w:sz w:val="13"/>
                <w:szCs w:val="13"/>
                <w:color w:val="0000EE"/>
              </w:rPr>
              <w:t>Exhibits, Financial Statement Schedules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41"/>
        </w:trPr>
        <w:tc>
          <w:tcPr>
            <w:tcW w:w="480" w:type="dxa"/>
            <w:vAlign w:val="bottom"/>
            <w:tcBorders>
              <w:top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Item 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Borders>
              <w:top w:val="single" w:sz="8" w:color="0000EE"/>
            </w:tcBorders>
            <w:gridSpan w:val="12"/>
          </w:tcPr>
          <w:p>
            <w:pPr>
              <w:spacing w:after="0" w:line="141" w:lineRule="exact"/>
              <w:rPr>
                <w:sz w:val="20"/>
                <w:szCs w:val="20"/>
                <w:color w:val="auto"/>
              </w:rPr>
            </w:pPr>
            <w:r>
              <w:rPr>
                <w:rFonts w:ascii="Times New Roman" w:cs="Times New Roman" w:eastAsia="Times New Roman" w:hAnsi="Times New Roman"/>
                <w:sz w:val="13"/>
                <w:szCs w:val="13"/>
                <w:color w:val="0000EE"/>
              </w:rPr>
              <w:t>Form 10-K Summary</w:t>
            </w:r>
          </w:p>
        </w:tc>
        <w:tc>
          <w:tcPr>
            <w:tcW w:w="5020" w:type="dxa"/>
            <w:vAlign w:val="bottom"/>
            <w:gridSpan w:val="17"/>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41"/>
        </w:trPr>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0000EE"/>
              <w:bottom w:val="single" w:sz="8" w:color="0000EE"/>
            </w:tcBorders>
            <w:gridSpan w:val="3"/>
          </w:tcPr>
          <w:p>
            <w:pPr>
              <w:spacing w:after="0" w:line="141" w:lineRule="exact"/>
              <w:rPr>
                <w:sz w:val="20"/>
                <w:szCs w:val="20"/>
                <w:color w:val="auto"/>
              </w:rPr>
            </w:pPr>
            <w:r>
              <w:rPr>
                <w:rFonts w:ascii="Times New Roman" w:cs="Times New Roman" w:eastAsia="Times New Roman" w:hAnsi="Times New Roman"/>
                <w:sz w:val="13"/>
                <w:szCs w:val="13"/>
                <w:color w:val="0000EE"/>
                <w:w w:val="98"/>
              </w:rPr>
              <w:t>Signatures</w:t>
            </w:r>
          </w:p>
        </w:tc>
        <w:tc>
          <w:tcPr>
            <w:tcW w:w="560" w:type="dxa"/>
            <w:vAlign w:val="bottom"/>
            <w:tcBorders>
              <w:top w:val="single" w:sz="8" w:color="0000EE"/>
            </w:tcBorders>
            <w:gridSpan w:val="4"/>
          </w:tcPr>
          <w:p>
            <w:pPr>
              <w:spacing w:after="0"/>
              <w:rPr>
                <w:sz w:val="12"/>
                <w:szCs w:val="12"/>
                <w:color w:val="auto"/>
              </w:rPr>
            </w:pPr>
          </w:p>
        </w:tc>
        <w:tc>
          <w:tcPr>
            <w:tcW w:w="6020" w:type="dxa"/>
            <w:vAlign w:val="bottom"/>
            <w:gridSpan w:val="22"/>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584"/>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20"/>
          </w:tcPr>
          <w:p>
            <w:pPr>
              <w:ind w:left="374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3"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Cautionary Note Regarding Forward-Looking Statements</w:t>
      </w:r>
    </w:p>
    <w:p>
      <w:pPr>
        <w:spacing w:after="0" w:line="177"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This report contains statements relating to our future results (including certain projections and business trends) that are considered “forward-looking statements” as defined in the Private Securities Litigation Reform Act of 1995 (the “PSLRA”). Such forward-looking statements, in addition to historical information, which involve risk and uncertainties, are based on the beliefs, assumptions and expectations of our management. Words such as “expects,” “believes,” “should,” “plans,” “anticipates,” “will,” “potential,” “could,” “intend,” “may,” “outlook,” “predict,” “project,” “would,” “estimated,” “assumes,” “likely,” and variations of such similar expressions are intended to identify such forward-looking statements. Examples of forward-looking statements include, but are not limited to, possible or assumed estimates with respect to the financial condition,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 We claim the protection of the safe harbor for forward-looking statements contained in the PSLRA.</w:t>
      </w:r>
    </w:p>
    <w:p>
      <w:pPr>
        <w:spacing w:after="0" w:line="299"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Accordingly, you should not place undue reliance on such statements. These factors include, without limitation, the following:</w:t>
      </w:r>
    </w:p>
    <w:p>
      <w:pPr>
        <w:spacing w:after="0" w:line="133" w:lineRule="exact"/>
        <w:rPr>
          <w:sz w:val="20"/>
          <w:szCs w:val="20"/>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competitive pressure among financial institutions or from non-financial institutions;</w:t>
      </w:r>
    </w:p>
    <w:p>
      <w:pPr>
        <w:spacing w:after="0" w:line="24"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and fluctuation in market interest rates, which may affect demand for our products, interest margins and the fair value of financial instruments;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net interest margin is subject to material short-term fluctuation based upon market rates;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deposit flows or composition, loan demand or real estate values;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quality and composition of our loan or investment portfolios or unanticipated or significant increases in loan losses;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policies or guidelines;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corporate and/or individual income tax laws or policies;</w:t>
      </w:r>
    </w:p>
    <w:p>
      <w:pPr>
        <w:spacing w:after="0" w:line="11" w:lineRule="exact"/>
        <w:rPr>
          <w:rFonts w:ascii="Times New Roman" w:cs="Times New Roman" w:eastAsia="Times New Roman" w:hAnsi="Times New Roman"/>
          <w:sz w:val="13"/>
          <w:szCs w:val="13"/>
          <w:color w:val="auto"/>
        </w:rPr>
      </w:pPr>
    </w:p>
    <w:p>
      <w:pPr>
        <w:ind w:left="540" w:right="5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regulatory or policy changes, including any changes in the monetary policies of the U.S. Treasury and the Board of Governors of the Federal Reserve System;</w:t>
      </w:r>
    </w:p>
    <w:p>
      <w:pPr>
        <w:spacing w:after="0" w:line="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imposition of tariffs and the responses of third parties thereto, which may increase inflationary pressures;</w:t>
      </w:r>
    </w:p>
    <w:p>
      <w:pPr>
        <w:spacing w:after="0" w:line="1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distribution of federal funds or freezing of federal funding or grants, which could have an adverse effect on the ability of consumers and businesses to pay debts or affect the demand for loans and deposits;</w:t>
      </w:r>
    </w:p>
    <w:p>
      <w:pPr>
        <w:spacing w:after="0" w:line="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technological changes;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breaches or failures of the company’s information technology security systems;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new business initiatives or the integration of any acquired entities;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or unanticipated expenses incurred in the consummation of new business initiatives or the integration of any acquired entities;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or other matters before regulatory agencies;</w:t>
      </w:r>
    </w:p>
    <w:p>
      <w:pPr>
        <w:spacing w:after="0" w:line="1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be subject to other risks, as enumerated under Item 1A. Risk Factors in this Annual Report on Form 10-K and in quarterly and other reports filed by us with the Securities and Exchange Commission; and/or</w:t>
      </w:r>
    </w:p>
    <w:p>
      <w:pPr>
        <w:spacing w:after="0" w:line="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unexpected material adverse changes in our financial condition, operations or earnings.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has no obligation to update any forward-looking statements to reflect events or circumstances after the date of this document.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77" w:lineRule="exact"/>
        <w:rPr>
          <w:sz w:val="20"/>
          <w:szCs w:val="20"/>
          <w:color w:val="auto"/>
        </w:rPr>
      </w:pPr>
    </w:p>
    <w:p>
      <w:pPr>
        <w:jc w:val="both"/>
        <w:ind w:left="20" w:right="39"/>
        <w:spacing w:after="0" w:line="270" w:lineRule="auto"/>
        <w:rPr>
          <w:sz w:val="20"/>
          <w:szCs w:val="20"/>
          <w:color w:val="auto"/>
        </w:rPr>
      </w:pPr>
      <w:r>
        <w:rPr>
          <w:rFonts w:ascii="Times New Roman" w:cs="Times New Roman" w:eastAsia="Times New Roman" w:hAnsi="Times New Roman"/>
          <w:sz w:val="13"/>
          <w:szCs w:val="13"/>
          <w:color w:val="auto"/>
        </w:rPr>
        <w:t>Dime Community Bancshares, Inc. (the “Holding Company”) is engaged in commercial banking and financial services through its wholly-owned subsidiary, Dime Community Bank (the “Bank”). The Bank was established in 1910 and is headquartered in Hauppauge, New York. The Holding Company was incorporated under the laws of the State of New York in 1988 to serve as the holding company for the Bank. The Holding Company functions primarily as the holder of all of the Bank’s common stock. Our bank operations also include Dime Abstract LLC (“Dime Abstract”), a wholly-owned subsidiary of the Bank, which is a broker of title insurance services.</w:t>
      </w:r>
    </w:p>
    <w:p>
      <w:pPr>
        <w:spacing w:after="0" w:line="275"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3"/>
          <w:szCs w:val="13"/>
          <w:color w:val="auto"/>
        </w:rPr>
        <w:t>For over a century, we have maintained our focus on building customer relationships in our market area. Our mission is to grow through the provision of exceptional service to our customers, our employees, and the community. We strive to achieve excellence in financial performance and build long-term shareholder value. We engage in providing full service commercial and consumer banking services, including accepting time, savings and demand deposits from the businesses, consumers, and local municipalities in our market area. These deposits, together with funds generated from operations and borrowings, are invested primarily in: (1) commercial real estate (“CRE”) loans; (2) multi-family mortgage loans; (3) residential mortgage loans; (4) secured and unsecured commercial and consumer loans; (5) home equity loans; (6) construction and land loans; (7) Federal Home Loan Bank (“FHLB”), Federal National Mortgage Association (“Fannie Mae”), Government National Mortgage Association (“Ginnie Mae”) and Federal Home Loan Mortgage Corporation (“Freddie Mac”) mortgage-backed securities, collateralized mortgage obligations and other asset backed securities; (8) U.S. Treasury securities; (9) New York State and local municipal obligations; (10) U.S. government-sponsored enterprise (“U.S. GSE”) securities; and (11) corporate bonds. We also offer the Certificate of Deposit Account Registry Service (“CDARS”) and Insured Cash Sweep (“ICS”) programs, providing multi-millions of dollars of Federal Deposit Insurance Corporation (“FDIC”) insurance on deposits to our customers. In addition, we offer merchant credit and debit card processing, automated teller machines, cash and treasury management services, escrow account services, lockbox processing, online banking services, remote deposit capture, safe deposit boxes, and individual retirement accounts. We also offer investment services through Dime Financial Services LLC, which offers a full range of investment products and services through a third-party broker dealer. Through its title insurance subsidiary Dime Abstract, the Bank acts as a broker for title insurance services. Our customer base is comprised principally of small and medium sized businesses, municipal relationships and consumer relationships.</w:t>
      </w:r>
    </w:p>
    <w:p>
      <w:pPr>
        <w:spacing w:after="0" w:line="30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we operated 62 branch locations throughout Long Island, the New York City boroughs of Brooklyn, Queens, Manhattan, Staten Island and the Bronx, and Westchester County.</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Human Capital Resources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Demographics and Culture</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As of December 31, 2024, we employed 887 full-time equivalent employees. Our employees are not represented by a collective bargaining agreement. Our culture in the workplace encourages employees to care about each other, the communities they serve, and the work they do. We believe strong community ties, customer focus, accountability, and development of the communities in which we operate will have a favorable long-term impact on our business performance. Our employees are passionate and empowered to build relationships and provide customized banking solutions to the communities we serve. We believe in hiring well-qualified people from a wide range of backgrounds who align to values like integrity, innovation, and teamwork. As an equal opportunity employer, our decisions to select and promote employees are unbiased as we seek to build a diverse and inclusive team of employees.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Labor Policies and Benefits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We offer our employees a comprehensive benefits package that will support, maintain, and protect their physical, mental, and financial health. We sponsor various wellness programs that promote the health and wellness of our employees.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Training, Development and Retention</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We are committed to retaining employees by being competitive in providing cash and non-cash rewards, benefits, recognition, and professional development opportunities. We offer an 8-week summer internship program through local colleges that provide students with valuable experience in the professional fields they are considering as career paths. It also provides a post-graduation pipeline of future employees. In addition, we maintain equity incentive plans under which we may issue shares of our common stock. Refer to Note 17. “Stock-Based Compensation” of the Notes to the Consolidated Financial Statements included in Item 8 of this Annual Report on Form 10-K for further details of our equity incentive plans. We promote career development and continuing education by offering internal training programs and tuition reimbursement for programs that develop skills related to our business.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Competition and Principal Market Areas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All phases of our business are highly competitive. We face direct competition from a significant number of financial institutions operating in our market area, many with a statewide or regional presence, and in some cases, a national presence. There is also competition for banking business from competitors outside of our market areas. Most of these competitors are significantly larger than us, and therefore have greater financial and marketing resources and lending limits than us. The fixed cost of regulatory compliance remains high for community banks as compared to their larger competitors that are able to achieve economies of scale. We consider our major competition to be local commercial banks as well as other commercial banks with branches in our market area. Other competitors include savings banks, credit unions, mortgage brokers and other financial services firms, such as investment and insurance companies. Increased competition within our market areas may limit growth and profitability. The title insurance subsidiary also faces competition from other title insurance brokers as well as directly from the companies that underwrite title insurance. In New York State, title insurance is obtained on most transfers of real estate and mortgage transactions.</w:t>
      </w:r>
    </w:p>
    <w:p>
      <w:pPr>
        <w:spacing w:after="0" w:line="13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Our principal market area is Greater Long Island, which includes the counties of Kings, Queens, Nassau and Suffolk, and Manhattan. Industries represented across the principal market areas include retail establishments; construction and trades; restaurants and bars; lodging and recreation; professional entities; real estate; health services; passenger transportation; high-tech manufacturing; and agricultural and related businesses. Given its proximity, Long Island’s economy is closely linked with New York City’s and major employers in the area include municipalities, school districts, hospitals, and financial institutions.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7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Holding Company, the Bank and its subsidiaries, report their income on a consolidated basis using the accrual method of accounting and are subject to federal taxation as well as income tax of the State and City of New York, and the State of New Jersey. In general, banks are subject to federal income tax in the same manner as other corporations. However, gains and losses realized by banks from the sale of available-for-sale securities are generally treated as ordinary income, rather than capital gains or losses. The taxation of net income is similar to federal taxable income subject to certain modifications.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Regulation and Supervision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Dime Community Bank</w:t>
      </w:r>
    </w:p>
    <w:p>
      <w:pPr>
        <w:spacing w:after="0" w:line="17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is a New York State-chartered trust company and a member of the Federal Reserve System (a “member bank”). The lending, investment, and other business operations of the Bank are governed by New York and federal laws and regulations. The Bank is subject to extensive regulation by the New York State Department of Financial Services (“NYSDFS”) and, as a member bank, by the Board of Governors of the Federal Reserve System (“FRB”). The Bank’s deposit accounts are insured up to applicable limits by the FDIC under its Deposit Insurance Fund (“DIF”), and the FDIC has certain regulatory authority as deposit insurer. A summary of the primary laws and regulations that govern the Bank’s operations are set forth below.</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Loans and Investments</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powers of a New York commercial bank (which include, for this purpose, trust companies such as the Bank) are established by New York law and applicable federal law. New York commercial banks have authority to originate and purchase any type of loan, including commercial, commercial real estate, residential mortgage, and consumer loans. Aggregate loans by a state commercial bank to any single borrower or group of related borrowers are generally limited to 15% of the Bank’s capital and surplus, plus an additional 10% if secured by specified readily marketable collateral.</w:t>
      </w:r>
    </w:p>
    <w:p>
      <w:pPr>
        <w:spacing w:after="0" w:line="131"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Federal and state law and regulations limit the Bank’s investment authority. Generally, a state member bank is prohibited from investing in corporate equity securities for its own account other than the equity securities of companies through which the bank conducts its business. Under federal and state regulations, a New York state member bank may invest in investment securities for its own account up to a specified limit depending upon the type of security. “Investment Securities” are generally defined as marketable obligations that are investment grade and not predominantly speculative in nature. Applicable regulations classify investment securities into five different types and, depending on its type, a state member bank may have the authority to deal in and underwrite the security. New York state member banks may also purchase certain non-investment securities that can be reclassified and underwritten as loans.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Lending Standards</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federal banking agencies adopted uniform regulations prescribing standards for extensions of credit that are secured by liens on interests in real estate or made for the purpose of financing the construction of a building or other improvements to real estate. Under these regulations, all insured depository institutions, like the Bank, adopted and maintain written policies that establish appropriate limits and standards for extensions of credit that are secured by liens or interests in real estate or are made for the purpose of financing permanent improvements to real estate. These policies must establish loan portfolio diversification standards, prudent underwriting standards (including loan-to-value limits) that are clear and measurable, loan administration procedures, and documentation, approval and reporting requirements. The real estate lending policies must reflect consideration of the Interagency Guidelines for Real Estate Lending Policies that have been adopted by the federal bank regulators.</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Federal Deposit Insurance</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is a member of the DIF, which is administered by the FDIC. Our deposit accounts are insured by the FDIC. The deposit insurance available on all deposit accounts (for each depositor) is $250,000 per depositor for each account ownership category.</w:t>
      </w:r>
    </w:p>
    <w:p>
      <w:pPr>
        <w:spacing w:after="0" w:line="114"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FDIC assesses insured depository institutions to maintain the DIF. Under the FDIC’s risk-based assessment system, institutions deemed less risky pay lower assessments. Assessments for institutions with $10 billion or more of assets are primarily based on a scorecard approach by the FDIC, including factors such as examination ratings, financial measures, and modeling measuring the institution’s ability to withstand asset-related and funding-related stress and potential loss to the DIF in the event of the institution’s failure. The assessment range (inclusive of possible adjustments specified by the regulations) for institutions with total assets of more than $10 billion is 2.5 to 42 basis points, effective January 1, 2023. In 2023, the FDIC approved a final rule to implement a special assessment to recover the loss to the DIF associated with the closures of Silicon Valley Bank and Signature Bank, which the Bank continues to pay.</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Insurance of deposits may be terminated by the FDIC upon a finding that an institution has engaged in unsafe or unsound practices, is in an unsafe or unsound condition to continue operations or has violated any applicable law, regulation, order, rule or condition imposed by the FDIC. The Company does not know of any practice, condition or violation that might lead to termination of deposit insurance.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Capitalization</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Federal regulations require FDIC insured depository institutions, including state member banks, to meet several minimum capital standards: a common equity tier 1 capital to risk-based assets ratio of 4.5%, a tier 1 capital to risk-based assets ratio of 6.0%, a total capital to risk-based assets ratio of 8.0%, and a tier 1 capital to total assets leverage ratio of 4.0%. The existing capital requirements were effective January 1, 2015 and are the result of a final rule implementing regulatory</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amendments based on recommendations of the Basel Committee on Banking Supervision and certain requirements of the Dodd-Frank Wall Street Reform and Consumer Protection Act of 2010, as amended (the “Dodd-Frank Act”). 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mandatory convertible securities, and subordinated debt. Also included in tier 2 capital is the allowance for credit losses limited to a maximum of 1.25% of risk-weighted assets and, for institutions that have exercised an opt-out election regarding the treatment of accumulated other comprehensive income (“AOCI”), up to 45% of net unrealized gains on available-for-sale equity securities with readily determinable fair market values. Institutions that have not exercised the AOCI opt-out have AOCI incorporated into common equity tier 1 capital (including unrealized gains and losses on available-for-sale-securities). The Bank has exercised this opt-out election. Calculation of all types of regulatory capital is subject to deductions and adjustments specified in the regulations.</w:t>
      </w:r>
    </w:p>
    <w:p>
      <w:pPr>
        <w:spacing w:after="0" w:line="303"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determining the amount of risk-weighted assets for purposes of calculating risk-based capital ratios, assets, including certain off-balance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one-to-four 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Safety and Soundness Standards</w:t>
      </w:r>
    </w:p>
    <w:p>
      <w:pPr>
        <w:spacing w:after="0" w:line="17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Each federal banking agency, including the FRB, has adopted guidelines establishing general standards relating to internal controls, information and internal audit systems, loan documentation, credit underwriting, interest rate exposure, asset growth, asset quality, earnings and compensation, fees, and benefits. In general, the guidelines require, among other things,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3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 2016, the federal regulatory agencies approved a proposed joint rulemaking to implement Section 956 of the Dodd-Frank Act, which prohibits incentive-based compensation that encourages inappropriate risk taking. In May 2024, several federal banking agencies reproposed the incentive compensation regulation, but the FRB did not endorse the 2024 proposal. In addition, the NYSDFS issued guidance applicable to incentive compensation in October 2016.</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Prompt Corrective Action</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Federal law requires, among other things, that federal bank regulatory authorities take “prompt corrective action” with respect to institutions that do not meet minimum capital requirements. For these purposes, the statute establishes five capital tiers: well capitalized, adequately capitalized, undercapitalized, significantly undercapitalized, and critically undercapitalized.</w:t>
      </w:r>
    </w:p>
    <w:p>
      <w:pPr>
        <w:spacing w:after="0" w:line="12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FRB may order member banks which have insufficient capital to take corrective actions. For example, a bank which is categorized as “undercapitalized” would be subject to other growth limitations, would be required to submit a capital restoration plan, and a holding company that controls such a bank would be required to guarantee that the bank complies with the capital restoration plan. A “significantly undercapitalized” bank would be subject to additional restrictions.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Member banks deemed by the FRB to be “critically undercapitalized” would be subject to the appointment of a receiver or conservator.</w:t>
      </w:r>
    </w:p>
    <w:p>
      <w:pPr>
        <w:spacing w:after="0" w:line="173"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Under the prompt corrective action requirements, insured depository institutions are required to meet the following in order to qualify as “well capitalized”: (1) a common equity tier 1 risk-based capital ratio of 6.5%; (2) a tier 1 risk-based capital ratio of 8.0%; (3) a total risk-based capital ratio of 10.0%; and (4) a tier 1 leverage ratio of 5.0%.</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Dividends</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Under federal law and applicable regulations, a New York state member bank may generally declare a dividend, without prior regulatory approval, in an amount equal to its year-to-date retained net income plus the prior two years’ retained net income that is still available for dividend. Dividends exceeding those amounts require application to and approval by the NYSDFS and FRB. In addition, a member bank may be limited in paying cash dividends if it does not maintain the capital conservation buffer described previously under “Capitalization.”</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Liquidity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Pursuant to federal regulations, the Bank is required to maintain sufficient liquidity to ensure its safe and sound operation.</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Branching</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 xml:space="preserve">Subject to certain limitations, with approval of the FRB, New York state-chartered banks and trust companies can open their initial branches in other states by establishing a </w:t>
      </w:r>
      <w:r>
        <w:rPr>
          <w:rFonts w:ascii="Times New Roman" w:cs="Times New Roman" w:eastAsia="Times New Roman" w:hAnsi="Times New Roman"/>
          <w:sz w:val="13"/>
          <w:szCs w:val="13"/>
          <w:i w:val="1"/>
          <w:iCs w:val="1"/>
          <w:color w:val="auto"/>
        </w:rPr>
        <w:t>de novo</w:t>
      </w:r>
      <w:r>
        <w:rPr>
          <w:rFonts w:ascii="Times New Roman" w:cs="Times New Roman" w:eastAsia="Times New Roman" w:hAnsi="Times New Roman"/>
          <w:sz w:val="13"/>
          <w:szCs w:val="13"/>
          <w:color w:val="auto"/>
        </w:rPr>
        <w:t xml:space="preserve"> branch at any location at which a bank chartered by that state could also establish a branch. Federal law also permits an interstate merger transaction involving the acquisition of a branch without the acquisition of the bank only if the law of the state in which the branch is located permits out-of-state banks to acquire a branch of a bank in such state without acquiring the bank.</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Acquisitions</w:t>
      </w:r>
    </w:p>
    <w:p>
      <w:pPr>
        <w:spacing w:after="0" w:line="17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Under the federal Bank Merger Act, prior approval of the FDIC is required for the Bank to merge with or purchase the assets or assume the deposits of another insured depository institution. In reviewing applications seeking approval of merger and acquisition transactions, the FDIC will consider, among other factors, the competitive effect and public benefits of the transactions, the capital position of the combined organization, the risks to the stability of the U.S. banking or financial system, the applicant’s performance record under the CRA (see “Community Reinvestment”) and its compliance with fair housing and other consumer protection laws, and the effectiveness of the subject organizations in combating money laundering activities.</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Privacy and Security Protection</w:t>
      </w:r>
    </w:p>
    <w:p>
      <w:pPr>
        <w:spacing w:after="0" w:line="17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federal banking agencies have adopted regulations for consumer privacy protection that require financial institutions to adopt procedures to protect customers and their “non-public personal information.” The regulations require the Bank to disclose its privacy policy, including identifying with whom it shares “non-public personal information,” to customers at the time of establishing the customer relationship, and annually thereafter if there are changes to its policy. In addition, the Bank is required to provide its customers the ability to “opt-out” of: (1) the sharing of their personal information with unaffiliated third parties if the sharing of such information does not satisfy any of the permitted exceptions; and (2) the receipt of marketing solicitations from Bank affiliates.</w:t>
      </w:r>
    </w:p>
    <w:p>
      <w:pPr>
        <w:spacing w:after="0" w:line="133"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is additionally subject to regulatory guidelines establishing standards for safeguarding customer information. The guidelines describe the federal banking agencies’ expectations for the creation, implementation and maintenance of an information security program, including administrative, technical and physical safeguards appropriate for the size and complexity of the institution and the nature and scope of its activities. The standards set forth in the guidelines are intended to ensure the security and confidentiality of customer records and information, and protect against anticipated threats or hazards to the security or integrity of such records and unauthorized access to or use of such records or information that could result in substantial customer harm or inconvenience.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Federal law additionally permits each state to enact legislation that is more protective of consumers’ personal information. There are periodically privacy bills considered by the New York legislature. Management of the Company cannot predict the impact, if any, of these bills if enacted.</w:t>
      </w:r>
    </w:p>
    <w:p>
      <w:pPr>
        <w:spacing w:after="0" w:line="114"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Cybersecurity more broadly has become a focus of federal and state banking agencies, including during the regulators’ examinations. In March 2017, the NYSDFS issued regulations requiring financial institutions regulated by the NYSDFS, including the Bank, to, among other things, (i) establish and maintain a cyber security program designed to ensure the confidentiality, integrity and availability of their information systems; (ii) implement and maintain a written cyber security policy setting forth policies and procedures for the protection of their information systems and nonpublic information; and (iii) designate a Chief Information Security Officer. In November 2023, NYSDFS amended these regulations to include heightened governance requirements and an expansion of the breadth and depth of required policies and procedures, among other things.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Transactions with Affiliates and Insiders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Sections 23A and 23B of the Federal Reserve Act govern transactions between a member bank and its affiliates, which includes the Company. The FRB has adopted Regulation W, which comprehensively implements and interprets Sections 23A and 23B, and codifies prior FRB interpretations under those sections.</w:t>
      </w:r>
    </w:p>
    <w:p>
      <w:pPr>
        <w:spacing w:after="0" w:line="114"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An affiliate of a bank includes, among other things, any company or entity that controls, is controlled by or is under common control with the bank. A subsidiary of a bank that is not also a depository institution or a “financial subsidiary” under federal law is generally not treated as an affiliate of the bank for the purposes of Sections 23A and 23B and Regulation W; however, the FRB has the discretion to treat subsidiaries of a bank as affiliates on a case-by-case basis. Section 23A and Regulation W limit the extent to which a bank or its subsidiaries may engage in “covered transactions” with any one affiliate to an amount equal to 10% of such bank’s capital stock and surplus, and limit all such transactions with all affiliates to an amount equal to 20% of such capital stock and surplus. Section 23A and Regulation W also require that all “covered transactions” be on terms that are consistent with safe and sound banking practices. The term “covered transaction” includes the making of loans, purchase of assets, issuance of guarantees and other similar types of transactions. Further, most loans by a bank to any of its affiliates must be secured by collateral in amounts ranging from 100 to 130 percent of the loan amounts. In addition, under Section 23B and Regulation W, bank transactions with affiliates, including “covered transactions,” sales of assets, and the furnishing of services, must be on terms that are substantially the same, or at least as favorable, to the bank as those prevailing at the time for comparable transactions with or involving a non-affiliate.</w:t>
      </w:r>
    </w:p>
    <w:p>
      <w:pPr>
        <w:spacing w:after="0" w:line="136"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A bank’s loans to its affiliates’ executive officers, directors, any owner of more than 10% of its stock (each, an insider) and entities controlled by such person (an insider’s related interest) are subject to the conditions and limitations imposed by Section 22(h) of the Federal Reserve Act and the FRB’s Regulation O implemented thereunder. Under these restrictions, the aggregate amount of the loans to any insider and the insider’s related interests may not exceed the loans-to-one-borrower limit applicable to national banks. All loans by a bank to all insiders and insiders’ related interests in the aggregate may not exceed the bank’s unimpaired capital and unimpaired surplus. With certain exceptions, loans to an executive officer, other than loans for the education of the officer’s children and certain loans secured by the officer’s residence, may not exceed the greater of $25,000 or 2.5% of the bank’s unimpaired capital and unimpaired surplus, and in no event can be more than $100,000. Regulation O also requires that any proposed loan to an insider or a related interest of that insider be approved in advance by a majority of the board of directors of the bank, with any interested director not participating in the voting, if such loan, when aggregated with any existing loans to that insider and the insider’s related interests, would exceed either $500,000 or the greater of $25,000 or 5% of the bank’s unimpaired capital and surplus. Generally, such loans must be made on substantially the same terms as, and follow credit underwriting procedures that are no less stringent than, those that are prevailing at the time for comparable transactions with other persons and must not present more than a normal risk of repayment or present other unfavorable features. An exception is made for extensions of credit made pursuant to a benefit or compensation plan of a bank that is widely available to employees of the bank and that does not give any preference to insiders of the bank over other employees of the bank.</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Examinations and Assessments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is required to file periodic reports with and is subject to periodic examination by the NYSDFS and the FRB. Applicable laws and regulations generally require periodic on-site examinations and annual audits by independent public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accountants for all insured institutions. The Bank is required to pay an annual assessment to the NYSDFS to fund its supervision.</w:t>
      </w:r>
    </w:p>
    <w:p>
      <w:pPr>
        <w:spacing w:after="0" w:line="173"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Federal law provides that institutions with more than $10 billion in total assets, such as the Bank, are examined by the Consumer Financial Protection Bureau (“CFPB”) as to compliance with certain federal consumer protection and fair lending laws and regulations.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Community Reinvestment Act</w:t>
      </w:r>
    </w:p>
    <w:p>
      <w:pPr>
        <w:spacing w:after="0" w:line="17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Under the federal Community Reinvestment Act (“CRA”), the Bank has a continuing and affirmative obligation consistent with its safe and sound operation to help meet the credit needs of its entire community, including low and moderate-income neighborhoods. The CRA does not establish specific lending requirements or programs for financial institutions nor does it limit an institution’s discretion to develop the types of products and services that it believes are best suited to its particular community, consistent with the CRA. The CRA requires the FRB, in connection with its examination of the Bank, to assess its record of meeting the credit needs of its community and to take that record into account in its evaluation of certain applications by the Bank. For example, the regulations specify that a bank’s CRA performance will be considered in its expansion (e.g., branching or mergers) proposals and may be the basis for approving, denying or conditioning the approval of an application. As of the date of its most recent CRA examination, on July 15, 2024, the Bank was rated “Outstanding” by the Federal Reserve Bank of New York.</w:t>
      </w:r>
    </w:p>
    <w:p>
      <w:pPr>
        <w:spacing w:after="0" w:line="13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On October 24, 2023, the FDIC, the FRB, and the Office of the Comptroller of the Currency issued a final rule to strengthen and modernize the CRA regulations. Under the final rule, banks with assets of at least $2 billion as of December 31 in both of the prior two calendar years will be a “large bank.” The agencies will evaluate large banks under three performance tests: Lending Test, Investment Test, and Service Test. The applicability date for the majority of the provisions set by the CRA regulations is January 1, 2026, and additional requirements are applicable under the regulations on January 1, 2027. On March 29, 2024, a federal court in the Northern District of Texas issued a preliminary injunction of the new CRA regulations, enjoining the federal banking agencies from enforcing the regulations against the plaintiff bank industry trade groups, and extending the regulations’ implementation dates day-for-day for each day the injunction is in place.</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New York law imposes a similar obligation on the Bank to serve the credit needs of its community. New York law contains its own community invested-related provisions, which are substantially similar to federal law.</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The Bank Secrecy Act and USA PATRIOT Act</w:t>
      </w:r>
    </w:p>
    <w:p>
      <w:pPr>
        <w:spacing w:after="0" w:line="17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The Bank Secrecy Act (“BSA”) and the Uniting and Strengthening America by Providing Appropriate Tools Required to Intercept and Obstruct Terrorism Act of 2001 (“USA PATRIOT Act”) require the Bank to implement a compliance program to detect and prevent money laundering, terrorist financing, and crime. Together, the BSA and USA PATRIOT Act require the Bank to implement internal controls, conduct customer due diligence, maintain records, and file reports. The USA PATRIOT Act also required the federal banking agencies to take into consideration the effectiveness of controls designed to combat money laundering activities in determining whether to approve a merger or other acquisition application. Accordingly, if the Bank engages in a merger or other acquisition, its controls designed to combat money laundering would be considered as part of the application process. The Bank has established policies, procedures and systems designed to comply with the BSA, USA PATRIOT Act, and regulations implemented thereunder.</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Dime Community Bancshares, Inc.</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Holding Company, as a bank holding company controlling the Bank, is subject to the Bank Holding Company Act of 1956, as amended (“BHCA”), and the rules and regulations of the FRB under the BHCA applicable to bank holding companies. We are required to file reports with, and otherwise comply with the rules and regulations of the FRB.</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FRB previously adopted consolidated capital adequacy guidelines for bank holding companies structured similarly, but not identically, to those applicable to the Bank. The Dodd-Frank Act directed the FRB to issue consolidated capital requirements for depository institution holding companies that are no less stringent, both quantitatively and in terms of components of capital, than those applicable to institutions themselves. The FRB subsequently issued regulations amending its regulatory capital requirements to implement the Dodd-Frank Act as to bank holding company capital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standards. Consolidated regulatory capital requirements identical to those applicable to the subsidiary banks applied to bank holding companies as of January 1, 2015. As is the case with institutions themselves, the capital conservation buffer was phased-in between 2016 and 2019. The Company met all capital adequacy requirements under the FRB’s capital rules on December 31, 2024.</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policy of the FRB is that a bank holding company must serve as a source of strength to its subsidiary banks by providing capital, managerial and other support in times of distress. The Dodd-Frank Act codified the source of strength policy.</w:t>
      </w:r>
    </w:p>
    <w:p>
      <w:pPr>
        <w:spacing w:after="0" w:line="114"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Under the prompt corrective action provisions of federal law, a bank holding company parent of an undercapitalized subsidiary bank is required to guarantee, within specified limits, the capital restoration plan that is required of an undercapitalized bank. If an undercapitalized bank fails to file an acceptable capital restoration plan or fails to implement an accepted plan, the FRB may prohibit the bank holding company parent of the undercapitalized bank from paying dividends or making any other capital distribution.</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As a bank holding company, we are required to obtain the prior approval of the FRB to acquire more than 5% of a class of voting securities of any additional bank or bank holding company or to acquire all, or substantially all, the assets of any additional bank or bank holding company. In addition, bank holding companies may generally only engage in activities that are closely related to banking as determined by the FRB. Bank holding companies that meet certain criteria may opt to become a financial holding company and thereby engage in a broader array of financial activities. The Company has elected not to become a financial holding company.</w:t>
      </w:r>
    </w:p>
    <w:p>
      <w:pPr>
        <w:spacing w:after="0" w:line="131"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FRB policy is that a bank holding company should pay cash dividends only to the extent that the company’s net income is sufficient to fund the dividends and the prospective rate of earnings retention that is consistent with the company’s capital needs, asset quality and overall financial condition. In addition, FRB guidance sets forth the supervisory expectation that bank holding companies will inform and consult with FRB staff in advance of issuing a dividend that exceeds earnings for the quarter and should inform the FRB and should eliminate, defer or significantly reduce dividends if (i) net income available to stockholders for the past four quarters, net of dividends previously paid during that period, is not sufficient to fully fund the dividends, (ii) prospective rate of earnings retention is not consistent with the bank holding company’s capital needs and overall current and prospective financial condition, or (iii) the bank holding company will not meet, or is in danger of not meeting, its minimum regulatory capital adequacy ratios. Moreover, the guidance indicates that a bank holding company should notify the FRB in advance of declaring or paying a dividend that exceeds earnings for the period (e.g., quarter) for which the dividend is being paid or that could result in a material adverse change to the organization’s capital structure. FRB guidance also provides for consultation and nonobjection for material increases in the amount of a bank holding company’s common stock dividend.</w:t>
      </w:r>
    </w:p>
    <w:p>
      <w:pPr>
        <w:spacing w:after="0" w:line="299"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Current FRB regulations provide that a bank holding company that is not well capitalized or well managed, as such terms are defined in the regulations, or that is subject to any unresolved supervisory issues, is required to give the FRB prior written notice of any repurchase or redemption of its outstanding equity securities if the gross consideration for repurchase or redemption, when combined with the net consideration paid for all such repurchases or redemptions during the preceding 12 months, will be equal to 10% or more of the company’s consolidated net worth. The FRB may disapprove such a repurchase or redemption if it determines that the proposal would constitute an unsafe and unsound practice or violate a law or regulation. FRB guidance generally provides for bank holding company consultation with FRB staff prior to engaging in a repurchase or redemption of a bank holding company’s stock, even if a formal written notice is not required. The guidance provides that the purpose of such consultation is to allow the FRB to review the proposed repurchases or redemption from a supervisory perspective and possibly object.</w:t>
      </w:r>
    </w:p>
    <w:p>
      <w:pPr>
        <w:spacing w:after="0" w:line="300"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NYSDFS and FRB have extensive enforcement authority over the institutions and holding companies that they regulate to prohibit or correct activities that violate law, regulation or written agreements with the agencies or which are deemed to be unsafe or unsound banking practices. Enforcement actions may include: the appointment of a conservator or receiver for an institution; the issuance of a cease and desist order; the termination of deposit insurance; the imposition of civil money penalties on the institution, its directors, officers, employees and institution-affiliated parties; the issuance of directives to increase capital; the issuance of formal and informal agreements; the removal of or restrictions on directors, officers, employees and institution-affiliated parties; and the enforcement of any such mechanisms through restraining orders or other court actions. Any change in applicable New York or federal laws and regulations could have a material adverse impact on us and our operations and stockholders.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We file certain reports with the Securities and Exchange Commission (“SEC”) under the federal securities laws. Our operations are also subject to extensive regulation by other federal, state and local governmental authorities and the Company is subject to various laws and judicial and administrative decisions imposing requirements and restrictions on part or all of its operations. We believe that we are in substantial compliance, in all material respects, with applicable federal, state and local laws, rules and regulations. Because our business is highly regulated, the laws, rules and regulations applicable to it are subject to regular modification and change. There can be no assurance that laws, rules and regulations currently proposed, or any other laws, rules or regulations, will not be adopted in the future, which could make compliance more difficult or expensive or otherwise adversely affect our business, financial condition or prospects.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Other Information</w:t>
      </w:r>
    </w:p>
    <w:p>
      <w:pPr>
        <w:spacing w:after="0" w:line="175"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 xml:space="preserve">Through a link on the Investor Relations section of our website of </w:t>
      </w:r>
      <w:r>
        <w:rPr>
          <w:rFonts w:ascii="Times New Roman" w:cs="Times New Roman" w:eastAsia="Times New Roman" w:hAnsi="Times New Roman"/>
          <w:sz w:val="13"/>
          <w:szCs w:val="13"/>
          <w:i w:val="1"/>
          <w:iCs w:val="1"/>
          <w:color w:val="auto"/>
        </w:rPr>
        <w:t>www.dime.com</w:t>
      </w:r>
      <w:r>
        <w:rPr>
          <w:rFonts w:ascii="Times New Roman" w:cs="Times New Roman" w:eastAsia="Times New Roman" w:hAnsi="Times New Roman"/>
          <w:sz w:val="13"/>
          <w:szCs w:val="13"/>
          <w:color w:val="auto"/>
        </w:rPr>
        <w:t xml:space="preserve">, copies of our Annual Reports on Form 10-K, Quarterly Reports on Form 10-Q and Current Reports on Form 8-K, and amendments to those reports filed or furnished pursuant to Section 13(a) for 15(d) of the Exchange Act, are made available, free of charge, as soon as reasonably practicable after electronically filing such material with, or furnishing it to, the SEC. Copies of such reports and other information also are available at no charge to any person who requests them or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Such requests may be directed to Dime Community Bancshares, Inc., Investor Relations, 898 Veterans Memorial Highway, Suite 560, Hauppauge, NY 11788, (631) 537-1000. Information on our website is not incorporated by reference and is not a part of this annual report on Form 10-K.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Item 1A. Risk Factors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Loan Portfolio</w:t>
      </w:r>
    </w:p>
    <w:p>
      <w:pPr>
        <w:spacing w:after="0" w:line="173" w:lineRule="exact"/>
        <w:rPr>
          <w:sz w:val="20"/>
          <w:szCs w:val="20"/>
          <w:color w:val="auto"/>
        </w:rPr>
      </w:pPr>
    </w:p>
    <w:p>
      <w:pPr>
        <w:jc w:val="both"/>
        <w:ind w:left="20" w:right="39"/>
        <w:spacing w:after="0" w:line="281" w:lineRule="auto"/>
        <w:rPr>
          <w:sz w:val="20"/>
          <w:szCs w:val="20"/>
          <w:color w:val="auto"/>
        </w:rPr>
      </w:pPr>
      <w:r>
        <w:rPr>
          <w:rFonts w:ascii="Times New Roman" w:cs="Times New Roman" w:eastAsia="Times New Roman" w:hAnsi="Times New Roman"/>
          <w:sz w:val="13"/>
          <w:szCs w:val="13"/>
          <w:b w:val="1"/>
          <w:bCs w:val="1"/>
          <w:color w:val="auto"/>
        </w:rPr>
        <w:t>The concentration of our loan portfolio in loans secured by commercial, multi-family and residential real estate properties located in Greater Long Island and Manhattan could materially adversely affect our financial condition and results of operations if general economic conditions or real estate values in this area decline.</w:t>
      </w:r>
    </w:p>
    <w:p>
      <w:pPr>
        <w:spacing w:after="0" w:line="124"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Unlike larger banks that are more geographically diversified, our loan portfolio consists primarily of real estate loans secured by commercial, multi-family and residential real estate properties located in Greater Long Island and Manhattan. The local economic conditions in Greater Long Island and Manhattan have a significant impact on the volume of loan originations and the quality of loans, the ability of borrowers to repay these loans, and the value of collateral securing these loans. A considerable decline in the general economic conditions caused by inflation, recession, unemployment or other factors beyond our control would impact these local economic conditions and could negatively affect our financial condition and results of operations. Additionally, decreases in tenant occupancy may also have a negative effect on the ability of borrowers to make timely repayments of their loans, which would have an adverse impact on our earnings.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If our regulators impose limitations on our commercial real estate lending activities, earnings could be adversely affected.</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2006, the federal bank regulatory agencies (collectively, the “Agencies”) issued joint guidance entitled “Concentrations in Commercial Real Estate Lending, Sound Risk Management Practices” (the “CRE Guidance”). Although the CRE Guidance did not establish specific lending limits, it provides that a bank’s commercial real estate lending exposure may receive increased supervisory scrutiny where total non-owner occupied CRE loans, including loans secured by apartment buildings, investor CRE and construction and land loans, represent 300% or more of an institution’s total risk-based capital and the outstanding balance of the CRE loan portfolio has increased by 50% or more during the preceding 36 months. The Consolidated Company’s non-owner occupied CRE level equaled 447% of total risk-based capital at December 31, 2024.</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If our regulators were to impose restrictions on the amount of CRE loans we can hold in our portfolio, or require higher capital ratios as a result of the level of CRE loans held, our earnings would be adversely affected.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The performance of our multi-family real estate loans could be adversely impacted by regulation.</w:t>
      </w:r>
    </w:p>
    <w:p>
      <w:pPr>
        <w:spacing w:after="0" w:line="177"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Multi-family real estate loans generally involve a greater risk than residential real estate loans because of legislation and government regulations involving rent control and rent stabilization, which are outside the control of the borrower or the Bank, and could impair the value of the security for the loan or the future cash flow of such properties. For example, on June 14, 2019, the State of New York enacted legislation increasing the restrictions on rent increases in a rent-regulated apartment building, including, among other provisions, (i) repealing the vacancy bonus and longevity bonus, which allowed a property owner to raise rents as much as 20% each time a rental unit became vacant, (ii) eliminating high rent vacancy deregulation and high-income deregulation, which allowed a rental unit to be removed from rent stabilization once it crossed a statutory high-rent threshold and became vacant, or the tenant’s income exceeded the statutory amount in the preceding two years, and</w:t>
      </w:r>
    </w:p>
    <w:p>
      <w:pPr>
        <w:spacing w:after="0" w:line="1" w:lineRule="exact"/>
        <w:rPr>
          <w:sz w:val="20"/>
          <w:szCs w:val="20"/>
          <w:color w:val="auto"/>
        </w:rPr>
      </w:pPr>
    </w:p>
    <w:p>
      <w:pPr>
        <w:jc w:val="both"/>
        <w:ind w:left="20" w:right="39" w:firstLine="9"/>
        <w:spacing w:after="0" w:line="262" w:lineRule="auto"/>
        <w:tabs>
          <w:tab w:leader="none" w:pos="277"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eliminating an exception that allowed a property owner who offered preferential rents to tenants to raise the rent to the full legal rent upon renewal. The legislation still permits a property owner to charge up to the full legal rent once the tenant vacates. As a result of this legislation as well as previously existing laws and regulations, it is possible that rental income might not rise sufficiently over time to satisfy increases in the loan rate at repricing or increases in overhead expenses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utilities, taxes, maintenance, etc.). For example, the New York City Rent Guidelines Board established the maximum rent increase on certain apartments at 2.75% for a one-year lease and 5.25% for a two-year lease, beginning on or after October 1, 2024 and through September 30, 2025, and while the overall inflation rate increased at a greater rate. In addition, overhead (including maintenance) expenses often increase significantly during inflationary periods. Finally, if the cash flow from a collateral property is reduced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if leases are not obtained or renewed), the borrower’s ability to repay the loan and the value of the security for the loan may be impaired.</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If we experience greater credit losses than anticipated, earnings may be adversely impacted.</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As a lender, we are exposed to the risk that customers may not repay their loans according to the original terms, and the collateral securing the payment of those loans may be insufficient to pay any remaining loan balance. Additionally, at December 31, 2024, our portfolio of business loans, totaled $2.73 billion, or 25.1% of our total loan portfolio. We plan to continue to emphasize the origination of these types of loans, which generally expose us to a greater risk of nonpayment and loss than residential real estate loans because repayment of such loans often depends on the successful operations and income stream of the borrowers. Additionally, such loans typically involve larger loan balances to single borrowers or groups of related borrowers compared to consumer loans or residential real estate loans. Hence, we may experience significant credit losses, which could have a material adverse effect on our operating results.</w:t>
      </w:r>
    </w:p>
    <w:p>
      <w:pPr>
        <w:spacing w:after="0" w:line="135"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Since the first quarter of 2021, we have been required to determine periodic estimates of lifetime expected credit losses on loans and recognize the expected credit losses as allowances for credit losses. This method of loan loss accounting represents a change from the previous method of providing allowances for loan losses that are probable, and greatly increased the types of data we need to collect and review to determine the appropriate level of the allowance for credit losses. We make various assumptions and judgments about the collectability of our loan portfolio, including the creditworthiness of borrowers and the value of the real estate and other assets serving as collateral for the repayment of loans. In determining the amount of the allowance for credit losses, we rely on loan quality reviews, our past loss experience and that of our peer group, and the accuracy of macro-economic forecasts over a reasonable and supportable forecast period, among other factors. If our assumptions prove to be incorrect, the allowance for credit losses may not be sufficient to cover expected losses in the loan portfolio, resulting in additions to the allowance for credit losses. Material additions to the allowance for credit losses through charges to earnings would materially decrease our net income.</w:t>
      </w:r>
    </w:p>
    <w:p>
      <w:pPr>
        <w:spacing w:after="0" w:line="13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Additionally, bank regulators periodically review our allowance for credit losses and may require us to increase our provision for credit losses or loan charge-offs. Any increase in our allowance for credit losses or loan charge-offs as required by these regulatory authorities could have a material adverse effect on our results of operations and/or financial condition.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We are subject to the CRA and fair lending laws, and failure to comply with these laws could lead to material penalties.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CRA, the Equal Credit Opportunity Act, the Fair Housing Act and other fair lending laws and regulations impose nondiscriminatory lending requirements on financial institutions. With respect to the Bank, the NYSDFS, FRB, CFPB, the United States Department of Justice and other federal and state agencies are responsible for enforcing these laws and regulations. A successful regulatory challenge to an institution’s performance under the CRA or fair lending laws and regulations could result in a wide variety of sanctions, including the required payment of damages and civil money penalties, injunctive relief, imposition of restrictions on mergers and acquisitions activity and restrictions on expansion. Private parties may also have the ability to challenge an institution’s performance under fair lending laws in private class action litigation. Such actions could have a material adverse effect on our business, financial condition and results of operations.</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The Company is subject to environmental liability risk associated with lending activities.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A significant portion of the Company’s loan portfolio is secured by real property. During the ordinary course of business, the Company may foreclose on and take title to properties securing certain loans. In doing so, there is a risk that hazardous or toxic substances could be found on these properties. If hazardous or toxic substances are found, the Company may be liable for remediation costs, as well as for personal injury and property damage. Environmental laws may require the Company to incur substantial expenses and may materially reduce the affected property’s value or limit the Company’s ability to use or sell the affected property. In addition, future laws or more stringent interpretations or enforcement policies with respect to existing laws may increase the Company’s exposure to environmental liability. Environmental reviews of real property before initiating foreclosure may not be sufficient to detect all potential environmental hazards. The remediation costs and any other financial liabilities associated with an environmental hazard could have a material adverse effect on the Company’s business, financial condition and results of operations.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Interest Rates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Changes in interest rates could affect our profitability.</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Our ability to earn a profit, like most financial institutions, depends primarily on net interest income, which is the difference between the interest income that we earn on our interest-earning assets, such as loans and investments, and the interest expense that we pay on our interest-bearing liabilities, such as deposits and borrowings. Our profitability depends on our ability to manage our assets and liabilities during periods of changing market interest rates.</w:t>
      </w:r>
    </w:p>
    <w:p>
      <w:pPr>
        <w:spacing w:after="0" w:line="12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2022 and 2023, in response to accelerated inflation, the Federal Reserve implemented monetary tightening policies, resulting in significantly increased interest rates. In a period of rising interest rates, the interest income earned on our assets may not increase as rapidly as the interest paid on our liabilities, demand for loan products may decline, and borrower defaults on loan payments may increase.</w:t>
      </w:r>
    </w:p>
    <w:p>
      <w:pPr>
        <w:spacing w:after="0" w:line="12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 sustained decrease in market interest rates could also adversely affect our earnings. When interest rates decline, borrowers tend to refinance higher-rate, fixed-rate loans at lower rates. Under those circumstances, we may not be able to reinvest those prepayments in assets earning interest rates as high as the rates on those prepaid loans or in investment securities.</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Changes in interest rates also affect the fair value of the securities portfolio. Generally, the fair value of securities moves inversely with changes in interest rates. As of December 31, 2024, the carrying value of the securities portfolio totaled $1.32 billion.</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Management is unable to predict fluctuations of market interest rates, which are affected by many factors, including inflation, recession, unemployment, monetary policy, domestic and international disorder and instability in domestic and foreign financial markets, and investor and consumer demand.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Regulation</w:t>
      </w:r>
    </w:p>
    <w:p>
      <w:pPr>
        <w:spacing w:after="0" w:line="173" w:lineRule="exact"/>
        <w:rPr>
          <w:sz w:val="20"/>
          <w:szCs w:val="20"/>
          <w:color w:val="auto"/>
        </w:rPr>
      </w:pPr>
    </w:p>
    <w:p>
      <w:pPr>
        <w:jc w:val="both"/>
        <w:ind w:left="20" w:right="39"/>
        <w:spacing w:after="0" w:line="304" w:lineRule="auto"/>
        <w:rPr>
          <w:sz w:val="20"/>
          <w:szCs w:val="20"/>
          <w:color w:val="auto"/>
        </w:rPr>
      </w:pPr>
      <w:r>
        <w:rPr>
          <w:rFonts w:ascii="Times New Roman" w:cs="Times New Roman" w:eastAsia="Times New Roman" w:hAnsi="Times New Roman"/>
          <w:sz w:val="13"/>
          <w:szCs w:val="13"/>
          <w:b w:val="1"/>
          <w:bCs w:val="1"/>
          <w:color w:val="auto"/>
        </w:rPr>
        <w:t>We operate in a highly regulated environment, Federal and state regulators periodically examine our business, and we may be required to remediate adverse examination findings.</w:t>
      </w:r>
    </w:p>
    <w:p>
      <w:pPr>
        <w:spacing w:after="0" w:line="109"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FRB and the NYSDFS periodically examine our business, including our compliance with laws and regulations. If, as a result of an examination, a federal banking agency were to determine that our financial condition, capital resources, asset quality, earnings prospects, management, liquidity or other aspects of any of our operations had become unsatisfactory, or that we were in violation of any law or regulation, we may take a number of different remedial actions as we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monetary penalties against our officers or directors, to remove officers and directors and, if it is concluded that such conditions cannot be corrected or there is an imminent risk of loss to depositors, to terminate our deposit insurance and place it into receivership or conservatorship. If we become subject to any regulatory actions, it could have a material adverse effect on our business, results of operations, financial condition and growth prospects.</w:t>
      </w:r>
    </w:p>
    <w:p>
      <w:pPr>
        <w:spacing w:after="0" w:line="136"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Additionally, the CFPB has the authority to issue consumer finance regulations and is authorized, individually or jointly with bank regulatory agencies, to conduct investigations to determine whether any person is, or has, engaged in conduct that violates new and existing consumer financial laws or regulations. Banks with assets in excess of $10 billion are subject to requirements imposed by the Dodd-Frank Act and its implemented regulations, including the examination authority of the CFPB to assess our compliance with federal consumer financial laws, imposition of higher FDIC premiums, reduced debit card interchange fees, and enhanced risk management frameworks, all of which increase operating costs and reduce earnings. In addition, in accordance with a memorandum of understanding entered into between the CFPB and U.S.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Department of Justice, the two agencies have agreed to coordinate efforts related to enforcing the fair lending laws, which includes information sharing and conducting joint investigations, and have done so on a number of occasions.</w:t>
      </w:r>
    </w:p>
    <w:p>
      <w:pPr>
        <w:spacing w:after="0" w:line="110" w:lineRule="exact"/>
        <w:rPr>
          <w:sz w:val="20"/>
          <w:szCs w:val="20"/>
          <w:color w:val="auto"/>
        </w:rPr>
      </w:pPr>
    </w:p>
    <w:p>
      <w:pPr>
        <w:jc w:val="both"/>
        <w:ind w:left="20" w:right="39"/>
        <w:spacing w:after="0" w:line="304" w:lineRule="auto"/>
        <w:rPr>
          <w:sz w:val="20"/>
          <w:szCs w:val="20"/>
          <w:color w:val="auto"/>
        </w:rPr>
      </w:pPr>
      <w:r>
        <w:rPr>
          <w:rFonts w:ascii="Times New Roman" w:cs="Times New Roman" w:eastAsia="Times New Roman" w:hAnsi="Times New Roman"/>
          <w:sz w:val="13"/>
          <w:szCs w:val="13"/>
          <w:b w:val="1"/>
          <w:bCs w:val="1"/>
          <w:color w:val="auto"/>
        </w:rPr>
        <w:t>We face a risk of noncompliance and enforcement action with the federal Bank Secrecy Act (the “BSA”) and other anti-money laundering and counter terrorist financing statutes and regulations.</w:t>
      </w:r>
    </w:p>
    <w:p>
      <w:pPr>
        <w:spacing w:after="0" w:line="109"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The BSA, the USA PATRIOT Act and other laws and regulations require financial institutions, among others, to institute and maintain an effective anti-money laundering compliance program and to file reports such as suspicious activity reports and currency transaction reports. Our products and services, including our debit card issuing business, are subject to an increasingly strict set of legal and regulatory requirements intended to protect consumers and to help detect and prevent money laundering, terrorist financing and other illicit activities. We are required to comply with these and other anti-money laundering requirements. The federal banking agencies and the U.S. Treasury Department’s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We are also subject to increased scrutiny of compliance with the regulations administered and enforced by the U.S. Treasury Department’s Office of Foreign Assets Control. If we violate these laws and regulations, or our policies, procedures and systems are deemed deficient, we would be subject to liability, including fines and regulatory actions, which may include restrictions on our ability to pay dividends and the ability to obtain regulatory approvals to proceed with certain aspects of our business plan, including acquisitions.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Failure to maintain and implement adequate programs to combat money laundering and terrorist financing could also have serious reputational consequences for us.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Any of these results could have a material adverse effect on our business, financial condition, results of operations and growth prospects.</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Risks Related to our Debt Securities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The subordinated debentures that we issued have rights that are senior to those of our common shareholders.</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In 2015, the Company issued $40.0 million of 5.75% Fixed-to-Floating Rate Subordinated Debentures due 2030. In 2022, the Company issued $160.0 million of 5.00% Fixed-to-Floating Rate Subordinated Debentures due 2032. In 2024, the Company issued $74.8 million of 9.00% Fixed-to-Floating Rate Subordinated Debentures due 2034. Because these subordinated debentures rank senior to our common stock, if we fail to make timely principal and interest payments on the subordinated debentures, we may not pay any dividends on our common stock. Further, if we declare bankruptcy, dissolve or liquidate, we must satisfy all of our subordinated debenture obligations before we may pay any distributions on our common stock.</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Strategic Risks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Expansion of our branch network may adversely affect our financial results.</w:t>
      </w:r>
    </w:p>
    <w:p>
      <w:pPr>
        <w:spacing w:after="0" w:line="177" w:lineRule="exact"/>
        <w:rPr>
          <w:sz w:val="20"/>
          <w:szCs w:val="20"/>
          <w:color w:val="auto"/>
        </w:rPr>
      </w:pPr>
    </w:p>
    <w:p>
      <w:pPr>
        <w:jc w:val="both"/>
        <w:ind w:left="20" w:right="39"/>
        <w:spacing w:after="0" w:line="270" w:lineRule="auto"/>
        <w:rPr>
          <w:sz w:val="20"/>
          <w:szCs w:val="20"/>
          <w:color w:val="auto"/>
        </w:rPr>
      </w:pPr>
      <w:r>
        <w:rPr>
          <w:rFonts w:ascii="Times New Roman" w:cs="Times New Roman" w:eastAsia="Times New Roman" w:hAnsi="Times New Roman"/>
          <w:sz w:val="13"/>
          <w:szCs w:val="13"/>
          <w:color w:val="auto"/>
        </w:rPr>
        <w:t>The Bank has in the past and may in the future establish new branch offices. We cannot be certain that the opening of new branches will be accretive to earnings or that it will be accretive to earnings within a reasonable period of time. Numerous factors contribute to the performance of a new branch, such as suitable location, qualified personnel, and an effective marketing strategy. Additionally, it takes time for a new branch to gather sufficient loans and deposits to generate income sufficient to cover its operating expenses. Difficulties we experience in opening new branches may have a material adverse effect on our financial condition and results of operations.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Mergers and acquisitions involve numerous risks and uncertainties.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has in the past and may in the future pursue mergers and acquisitions opportunities. Mergers and acquisitions involve a number of risks and challenges, including the expenses involved; potential diversion of management’s attention from other strategic matters; integration of branches and operations acquired; outflow of customers from the acquired branches; retention of personnel from acquired companies or branches; competing effectively in geographic areas not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previously served; managing growth resulting from the transaction; and dilution in the acquirer's book and tangible book value per share.</w:t>
      </w:r>
    </w:p>
    <w:p>
      <w:pPr>
        <w:spacing w:after="0" w:line="169" w:lineRule="exact"/>
        <w:rPr>
          <w:sz w:val="20"/>
          <w:szCs w:val="20"/>
          <w:color w:val="auto"/>
        </w:rPr>
      </w:pPr>
    </w:p>
    <w:p>
      <w:pPr>
        <w:jc w:val="both"/>
        <w:ind w:left="20" w:right="39"/>
        <w:spacing w:after="0" w:line="304" w:lineRule="auto"/>
        <w:rPr>
          <w:sz w:val="20"/>
          <w:szCs w:val="20"/>
          <w:color w:val="auto"/>
        </w:rPr>
      </w:pPr>
      <w:r>
        <w:rPr>
          <w:rFonts w:ascii="Times New Roman" w:cs="Times New Roman" w:eastAsia="Times New Roman" w:hAnsi="Times New Roman"/>
          <w:sz w:val="13"/>
          <w:szCs w:val="13"/>
          <w:b w:val="1"/>
          <w:bCs w:val="1"/>
          <w:color w:val="auto"/>
        </w:rPr>
        <w:t>Our growth or future losses may require us to raise additional capital in the future, but that capital may not be available when it is needed or the cost of that capital may be very high.</w:t>
      </w:r>
    </w:p>
    <w:p>
      <w:pPr>
        <w:spacing w:after="0" w:line="109"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We are required by federal and state regulatory authorities to maintain adequate levels of capital to support our operations. While we anticipate that our capital resources will satisfy our capital requirements for the foreseeable future, we may at some point need to raise additional capital to support our operations or continued growth, both internally and through acquisitions. Any capital we obtain may result in the dilution of the interests of existing holders of our common stock, or otherwise adversely affect your investment.</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 If we cannot raise additional capital when needed, our ability to further expand our operations through internal growth and acquisitions could be materially impaired and our financial condition and liquidity could be materially and adversely affected.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Operational Risk Factors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 lack of liquidity could adversely affect the Company’s financial condition and results of operations.</w:t>
      </w:r>
    </w:p>
    <w:p>
      <w:pPr>
        <w:spacing w:after="0" w:line="177"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3"/>
          <w:szCs w:val="13"/>
          <w:color w:val="auto"/>
        </w:rPr>
        <w:t>Liquidity is essential to our business. The Company relies on its ability to generate deposits and effectively manage the repayment of its liabilities to ensure that there is adequate liquidity to fund operations. An inability to raise funds through deposits, borrowings, the sale and maturities of loans and securities and other sources could have a substantial negative effect on liquidity. The Company’s most important source of funds is its deposits. Deposit balances can decrease when customers perceive alternative investments as providing a better risk adjusted return, which are strongly influenced by such external factors as the direction of interest rates, local and national economic conditions and the availability and attractiveness of alternative investments. Further, the demand for deposits may be reduced due to a variety of factors such as negative trends in the banking sector, the level of and/or composition of our uninsured deposits, demographic patterns, changes in customer preferences, reductions in consumers’ disposable income, the monetary policy of the Federal Reserve or regulatory actions that decrease customer access to particular products. If customers move money out of bank deposits and into other investments such as money market funds, the Company would lose a relatively low-cost source of funds, which would increase its funding costs and reduce net interest income. Any changes made to the rates offered on deposits to remain competitive with other financial institutions may also adversely affect profitability and liquidity. Other primary sources of funds consist of cash flows from operations, maturities and sales of investment securities and/or loans, brokered deposits, borrowings from the FHLB and/or FRB discount window, and unsecured borrowings. The Company also may borrow funds from third-party lenders, such as other financial institutions. The Company’s access to funding sources in amounts adequate to finance or capitalize its activities, or on terms that are acceptable, could be impaired by factors that affect the Company directly or the financial services industry or economy in general, such as disruptions in the financial markets or negative views and expectations about the prospects for the financial services industry, a decrease in the level of the Company’s business activity as a result of a downturn in markets or by one or more adverse regulatory actions against the Company or the financial sector in general. Any decline in available funding could adversely impact the Company’s ability to originate loans, invest in securities, meet expenses, or to fulfill obligations such as meeting deposit withdrawal demands, any of which could have a material adverse impact on its liquidity, business, financial condition and results of operations.</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conditions in the financial markets, the economic environment and governmental policies.</w:t>
      </w:r>
    </w:p>
    <w:p>
      <w:pPr>
        <w:spacing w:after="0" w:line="17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 favorable business environment is generally characterized by, among other factors, economic growth, efficient capital markets, low inflation, high business and investor confidence, and strong business earnings. Unfavorable or uncertain economic and market conditions can be caused by declines in economic growth, declines in housing and real estate valuations, business activity or investor or business confidence; limitations on the availability or increases in the cost of credit and capital; increases in inflation; changes in market interest rates; tariffs; geopolitical conflicts; natural disasters; or a combination of these or other factors.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Company's performance could be negatively affected to the extent there is deterioration in business and economic conditions, including persistent inflation, an inverted yield curve, rising prices, unemployment rates, supply chain issues, or labor shortages, which have direct or indirect material adverse impacts on us, our customers, and our counterparties. Recessionary conditions may significantly affect the markets in which we do business, the financial condition of our borrowers, the value of our loans and investments, and our ongoing operations, costs and profitability. Declines in real estate values and sales volumes and increased unemployment levels may result in higher than expected loan delinquencies, increases in our levels of nonperforming and classified assets and a decline in demand for our products and services. Such events may cause us to incur losses and may adversely affect our capital, liquidity, and financial condition.</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Governmental policies, including, but not limited to, changes in government spending, the freezing of government funding or grants, or changes to the government workforce could have an adverse affect on consumers’ or businesses’ ability to pay their debts and/or affect the demand for loans and deposits.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Strong competition within our market area may limit our growth and profitability.</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Our primary market area is located in Greater Long Island and Manhattan. Competition in the banking and financial services industry remains intense. Our profitability depends on the continued ability to successfully compete. We compete with commercial banks, savings banks, credit unions, insurance companies, and brokerage and investment banking firms. Many of our competitors have substantially greater resources and lending limits than us and may offer certain services that we do not provide. In addition, competitors may offer deposits at higher rates and loans with lower fixed rates, more attractive terms and less stringent credit structures than we have been willing to offer.</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future success depends on the success and growth of Dime Community Bank.</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Our primary business activity for the foreseeable future will be to act as the holding company of the Bank. Therefore, our future profitability will depend on the success and growth of this subsidiary. The continued and successful implementation of our growth strategy will require, among other things that we increase our market share by attracting new customers that currently bank at other financial institutions in our market area. In addition, our ability to successfully grow will depend on several factors, including favorable market conditions, the competitive responses from other financial institutions in our market area, and our ability to maintain good asset quality. While we believe we have the management resources, market opportunities and internal systems in place to obtain and successfully manage future growth, growth opportunities may not be available, and we may not be successful in continuing our growth strategy. In addition, continued growth requires that we incur additional expenses, including salaries, data processing and occupancy expense related to new branches and related support staff. Many of these increased expenses are considered fixed expenses. Unless we can successfully continue our growth, our results of operations could be negatively affected by these increased costs.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The loss of key personnel could impair our future success.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Our future success depends in part on the continued service of our executive officers, other key management, and staff, as well as our ability to continue to attract, motivate, and retain additional highly qualified employees. The loss of services of one or more of our key personnel or our inability to timely recruit replacements for such personnel, or to otherwise attract, motivate, or retain qualified personnel could have an adverse effect on our business, operating results and financial condition.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fraud and other financial crimes.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Our loans to businesses and individuals and our deposit relationships and related transactions are subject to exposure to the risk of loss due to fraud and other financial crimes. While we have policies and procedures designed to prevent such losses, losses may still occur. In the past, we have experienced losses due to fraud.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Risks associated with system failures, interruptions, or breaches of security could negatively affect our operations and earnings.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Information technology systems are critical to our business. We collect, process and store sensitive customer data by utilizing computer systems and telecommunications networks operated by us and third-party service providers. We have established policies and procedures to prevent or limit the impact of system failures, interruptions, and security breaches, but such events may still occur or may not be adequately addressed if they do occur. Although we take numerous protective measures and otherwise endeavor to protect and maintain the privacy and security of confidential data, these systems may be vulnerable to unauthorized access, computer viruses, other malicious code, cyberattacks, including distributed denial of service attacks, hacking, social engineering and phishing attacks, cyber-theft and other events that could have a security impact. Cyber threats are rapidly evolving, and we may not be able to anticipate or prevent all such attacks. If one or more of such events were to occur, this potentially could jeopardize confidential and other information processed and stored in, and transmitted through, our systems or otherwise cause interruptions or malfunctions in our operations or our customers' operations.</w:t>
      </w:r>
    </w:p>
    <w:p>
      <w:pPr>
        <w:spacing w:after="0" w:line="13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 addition, we maintain interfaces with certain third-party service providers. If these third-party service providers encounter difficulties, or if we have difficulty communicating with them, our ability to adequately process and account for transactions could be affected, and our business operations could be adversely affected. Threats to information security also exist in the processing of customer information through various other vendors and their personnel.</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occurrence of any system failures, interruption, or breach of security could damage our reputation and result in a loss of customers and business, subject us to additional regulatory scrutiny, and expose us to litigation and possible financial liability. We may be required to expend significant additional resources to modify our protective measures or to investigate and remediate vulnerabilities or other exposures, and we may be subject to litigation and financial losses that are not fully covered by our insurance. Any of these events could have a material adverse effect on our financial condition and results of operations.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Severe weather, acts of terrorism and other external events could impact our ability to conduct business.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Weather-related events have adversely impacted our market area in recent years, especially areas located near coastal waters and flood prone areas. Such events that may cause significant flooding and other storm-related damage may become more common events in the future. Financial institutions have been, and continue to be, targets of terrorist threats aimed at compromising operating and communication systems and the metropolitan New York area remains a central target for potential acts of terrorism. Such events could cause significant damage, impact the stability of our facilities and result in additional expenses, impair the ability of borrowers to repay their loans, reduce the value of collateral securing repayment of loans, and result in the loss of revenue. While we have established and regularly test disaster recovery procedures, the occurrence of any such event could have a material adverse effect on our business, operations and financial condition.</w:t>
      </w:r>
    </w:p>
    <w:p>
      <w:pPr>
        <w:spacing w:after="0" w:line="13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Additionally, global markets may be adversely affected by natural disasters, the emergence of widespread health emergencies or pandemics like COVID-19, cyberattacks or campaigns, military conflict, terrorism or other geopolitical events. Global market fluctuations may affect our business liquidity. Also, any sudden or prolonged market downturn in the U.S. or abroad, as a result of the above factors or otherwise could result in a decline in revenue and adversely affect our results of operations and financial condition, including capital and liquidity levels.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Damage to the Company’s reputation could adversely impact our business.</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Company's reputation is important to our success. Our ability to attract and retain customers, investors, employees and advisors may depend upon external perceptions of the Company. Damage to the Company's reputation could cause significant harm to our business and prospects and may arise from numerous sources, including litigation or regulatory actions, compliance failures, customer services failures, or unethical behavior or misconduct of employees, advisors and counterparties. Adverse developments with respect to the financial services industry may also, by association, negatively impact the Company's reputation or result in greater regulatory or legislative scrutiny of or litigation against the Company.</w:t>
      </w:r>
    </w:p>
    <w:p>
      <w:pPr>
        <w:spacing w:after="0" w:line="13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Furthermore, shareholders and other stakeholders have begun to consider how corporations are addressing environmental, social and governance (“ESG”) issues. Governments, investors, customers and the general public are increasingly focused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on ESG practices and disclosures, and views about ESG are diverse and rapidly changing. These shifts in investing priorities may result in adverse effects on the trading price of the Company’s common stock if the Company, or our relationships with certain customers, vendors or suppliers became the subject of negative publicity.</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Accounting-Related Risks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Changes in our accounting policies or in accounting standards could materially affect how we report our financial results.</w:t>
      </w:r>
    </w:p>
    <w:p>
      <w:pPr>
        <w:spacing w:after="0" w:line="177" w:lineRule="exact"/>
        <w:rPr>
          <w:sz w:val="20"/>
          <w:szCs w:val="20"/>
          <w:color w:val="auto"/>
        </w:rPr>
      </w:pPr>
    </w:p>
    <w:p>
      <w:pPr>
        <w:jc w:val="both"/>
        <w:ind w:left="20" w:right="39"/>
        <w:spacing w:after="0" w:line="270" w:lineRule="auto"/>
        <w:rPr>
          <w:sz w:val="20"/>
          <w:szCs w:val="20"/>
          <w:color w:val="auto"/>
        </w:rPr>
      </w:pPr>
      <w:r>
        <w:rPr>
          <w:rFonts w:ascii="Times New Roman" w:cs="Times New Roman" w:eastAsia="Times New Roman" w:hAnsi="Times New Roman"/>
          <w:sz w:val="13"/>
          <w:szCs w:val="13"/>
          <w:color w:val="auto"/>
        </w:rPr>
        <w:t>Our accounting policies are fundamental to understanding our financial results and condition. Some of these policies require the use of estimates and assumptions that may affect the value of our assets or liabilities and financial results. Some of our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If such estimates or assumptions underlying our financial statements are incorrect, we may experience material losses.</w:t>
      </w:r>
    </w:p>
    <w:p>
      <w:pPr>
        <w:spacing w:after="0" w:line="295"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From time to time, the FASB and the SEC change the financial accounting and reporting standards or the interpretation of those standards that govern the preparation of our external financial statements. These changes are beyond our control, can be hard to predict and could materially impact how we report our results of operations and financial condition. We could be required to apply a new or revised standard retroactively, resulting in our restating prior period financial statements in material amounts.</w:t>
      </w:r>
    </w:p>
    <w:p>
      <w:pPr>
        <w:spacing w:after="0" w:line="288" w:lineRule="exact"/>
        <w:rPr>
          <w:sz w:val="20"/>
          <w:szCs w:val="20"/>
          <w:color w:val="auto"/>
        </w:rPr>
      </w:pPr>
    </w:p>
    <w:p>
      <w:pPr>
        <w:ind w:left="20" w:right="339"/>
        <w:spacing w:after="0" w:line="304" w:lineRule="auto"/>
        <w:rPr>
          <w:sz w:val="20"/>
          <w:szCs w:val="20"/>
          <w:color w:val="auto"/>
        </w:rPr>
      </w:pPr>
      <w:r>
        <w:rPr>
          <w:rFonts w:ascii="Times New Roman" w:cs="Times New Roman" w:eastAsia="Times New Roman" w:hAnsi="Times New Roman"/>
          <w:sz w:val="13"/>
          <w:szCs w:val="13"/>
          <w:b w:val="1"/>
          <w:bCs w:val="1"/>
          <w:color w:val="auto"/>
        </w:rPr>
        <w:t>If we determine our goodwill or other intangible assets to be impaired, the Company’s financial condition and results of operations would be negatively affected.</w:t>
      </w:r>
    </w:p>
    <w:p>
      <w:pPr>
        <w:spacing w:after="0" w:line="109"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When the Company completes a business combination, a portion of the purchase price of the acquisition is allocated to goodwill and other identifiable intangible assets. The amount of the purchase price which is allocated to goodwill and other intangible assets is determined by the excess of the purchase price over the net identifiable assets acquired. At least annually (or more frequently if indicators arise), the Company evaluates goodwill for impairment. If the Company determines goodwill or other intangible assets are impaired, the Company will be required to write down these assets. Any write-down would have a negative effect on the consolidated financial statements.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1C. Cybersecurity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28" w:lineRule="exact"/>
        <w:rPr>
          <w:sz w:val="20"/>
          <w:szCs w:val="20"/>
          <w:color w:val="auto"/>
        </w:rPr>
      </w:pPr>
    </w:p>
    <w:p>
      <w:pPr>
        <w:ind w:left="540" w:right="39" w:hanging="249"/>
        <w:spacing w:after="0" w:line="258" w:lineRule="auto"/>
        <w:tabs>
          <w:tab w:leader="none" w:pos="5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 maintains comprehensive information technology and cybersecurity programs which encompass policies, procedures, assessments, monitoring, response plans, and testing to ensure technical, administrative, and physical controls are effective.</w:t>
      </w:r>
    </w:p>
    <w:p>
      <w:pPr>
        <w:spacing w:after="0" w:line="1" w:lineRule="exact"/>
        <w:rPr>
          <w:rFonts w:ascii="Times New Roman" w:cs="Times New Roman" w:eastAsia="Times New Roman" w:hAnsi="Times New Roman"/>
          <w:sz w:val="13"/>
          <w:szCs w:val="13"/>
          <w:color w:val="auto"/>
        </w:rPr>
      </w:pPr>
    </w:p>
    <w:p>
      <w:pPr>
        <w:ind w:left="540" w:right="59" w:hanging="249"/>
        <w:spacing w:after="0" w:line="277" w:lineRule="auto"/>
        <w:tabs>
          <w:tab w:leader="none" w:pos="5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Bank’s Cybersecurity Incident Response and Business Continuity Programs are inclusive of cyber resiliency, business continuity and disaster recovery strategies to help mitigate the impact of a cybersecurity incident across all business lines.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Management Role and Board Oversight</w:t>
      </w:r>
      <w:r>
        <w:rPr>
          <w:rFonts w:ascii="Times New Roman" w:cs="Times New Roman" w:eastAsia="Times New Roman" w:hAnsi="Times New Roman"/>
          <w:sz w:val="13"/>
          <w:szCs w:val="13"/>
          <w:b w:val="1"/>
          <w:bCs w:val="1"/>
          <w:u w:val="single" w:color="auto"/>
          <w:color w:val="auto"/>
        </w:rPr>
        <w:t>.</w:t>
      </w:r>
    </w:p>
    <w:p>
      <w:pPr>
        <w:spacing w:after="0" w:line="96" w:lineRule="exact"/>
        <w:rPr>
          <w:sz w:val="20"/>
          <w:szCs w:val="20"/>
          <w:color w:val="auto"/>
        </w:rPr>
      </w:pPr>
    </w:p>
    <w:p>
      <w:pPr>
        <w:jc w:val="both"/>
        <w:ind w:left="540" w:right="39" w:hanging="249"/>
        <w:spacing w:after="0" w:line="266" w:lineRule="auto"/>
        <w:tabs>
          <w:tab w:leader="none" w:pos="5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cybersecurity program is overseen by the Chief Information Security Officer (“CISO”) reporting to the Chief Risk Officer (“CRO”); the Enterprise Risk Management Committee, which consists of the CEO, CFO, and CTO among others; and the Enterprise Risk Committee of the Board of Directors, which consists of three independent directors. Our Board of Directors includes members who have expertise in cybersecurity, data privacy law, fraud and risk management. Cybersecurity risks are primarily assessed, monitored, and remediated by the CISO, who has extensive experience in the Information Technology and cybersecurity fields and maintains advanced cybersecurity centric certifications. The CISO’s extensive knowledge and experience in the cybersecurity field are critical to executing our cybersecurity program. Our CISO oversees proactive initiatives, remediation plans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540" w:right="39"/>
        <w:spacing w:after="0" w:line="265" w:lineRule="auto"/>
        <w:rPr>
          <w:sz w:val="20"/>
          <w:szCs w:val="20"/>
          <w:color w:val="auto"/>
        </w:rPr>
      </w:pPr>
      <w:r>
        <w:rPr>
          <w:rFonts w:ascii="Times New Roman" w:cs="Times New Roman" w:eastAsia="Times New Roman" w:hAnsi="Times New Roman"/>
          <w:sz w:val="13"/>
          <w:szCs w:val="13"/>
          <w:color w:val="auto"/>
        </w:rPr>
        <w:t>of known risks, compliance with regulations and standards, Disaster Recovery, Business Continuity, and Incident Response efforts. Additionally, the Bank’s Risk Management function is led by the CRO, who has extensive experience in risk management and audit. The cybersecurity program includes a cross-sectional team of internal and external Information Security professionals, all of which are provided with relevant training and are required to maintain industry accredited certifications. Our Incident Response Team is chaired by our CISO and is comprised of executive management and designated managers throughout the organization. The purpose of the Incident Response Plan is to manage Information Security, and related incidents, efficiently and effectively to minimize loss and destruction, mitigate weaknesses, restore services, and notify customers, as required by state law, comply with regulatory requirements, and any third-party contractual obligations.</w:t>
      </w:r>
    </w:p>
    <w:p>
      <w:pPr>
        <w:spacing w:after="0" w:line="135" w:lineRule="exact"/>
        <w:rPr>
          <w:sz w:val="20"/>
          <w:szCs w:val="20"/>
          <w:color w:val="auto"/>
        </w:rPr>
      </w:pPr>
    </w:p>
    <w:p>
      <w:pPr>
        <w:jc w:val="both"/>
        <w:ind w:left="540" w:right="39" w:hanging="249"/>
        <w:spacing w:after="0" w:line="278" w:lineRule="auto"/>
        <w:tabs>
          <w:tab w:leader="none" w:pos="540" w:val="left"/>
        </w:tabs>
        <w:numPr>
          <w:ilvl w:val="0"/>
          <w:numId w:val="7"/>
        </w:numPr>
        <w:rPr>
          <w:rFonts w:ascii="Times New Roman" w:cs="Times New Roman" w:eastAsia="Times New Roman" w:hAnsi="Times New Roman"/>
          <w:sz w:val="13"/>
          <w:szCs w:val="13"/>
          <w:color w:val="auto"/>
          <w:strike w:val="1"/>
        </w:rPr>
      </w:pPr>
      <w:r>
        <w:rPr>
          <w:rFonts w:ascii="Times New Roman" w:cs="Times New Roman" w:eastAsia="Times New Roman" w:hAnsi="Times New Roman"/>
          <w:sz w:val="13"/>
          <w:szCs w:val="13"/>
          <w:color w:val="auto"/>
        </w:rPr>
        <w:t>The CISO and CRO play a pivotal role in informing the Board of all cybersecurity risks. These positions provide comprehensive updates to the Enterprise Risk Committee of the Board, at least quarterly. The briefings combine a range of updates, including the cybersecurity program, emerging risks, status of operational changes, status of regulatory compliance, and risk reporting.</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Managing Material Risks &amp; Integrated Overall Risk Management</w:t>
      </w:r>
    </w:p>
    <w:p>
      <w:pPr>
        <w:spacing w:after="0" w:line="96" w:lineRule="exact"/>
        <w:rPr>
          <w:sz w:val="20"/>
          <w:szCs w:val="20"/>
          <w:color w:val="auto"/>
        </w:rPr>
      </w:pPr>
    </w:p>
    <w:p>
      <w:pPr>
        <w:jc w:val="both"/>
        <w:ind w:left="540" w:right="39" w:hanging="249"/>
        <w:spacing w:after="0" w:line="278" w:lineRule="auto"/>
        <w:tabs>
          <w:tab w:leader="none" w:pos="5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 maintains documented processes, procedures, and controls for assessing, identifying, and managing material risks from cybersecurity threats. Cybersecurity threats are identified utilizing risk assessments, detection tools, information gathering and performing internal, external, and third-party contracted security assessments.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Cybersecurity Threats</w:t>
      </w:r>
    </w:p>
    <w:p>
      <w:pPr>
        <w:spacing w:after="0" w:line="96" w:lineRule="exact"/>
        <w:rPr>
          <w:sz w:val="20"/>
          <w:szCs w:val="20"/>
          <w:color w:val="auto"/>
        </w:rPr>
      </w:pPr>
    </w:p>
    <w:p>
      <w:pPr>
        <w:jc w:val="both"/>
        <w:ind w:left="540" w:right="39" w:hanging="249"/>
        <w:spacing w:after="0" w:line="271" w:lineRule="auto"/>
        <w:tabs>
          <w:tab w:leader="none" w:pos="5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assess and manage cybersecurity threats from material risks, the Bank maintains an Incident Response Team comprised of members from the major business areas in the Bank to ensure appropriate subject matter experts are represented. All cybersecurity events include a determination of whether the incident has materially affected or is reasonably likely to materially affect the Bank’s business strategy, results of operations, or financial condition by following implemented processes.</w:t>
      </w:r>
    </w:p>
    <w:p>
      <w:pPr>
        <w:spacing w:after="0" w:line="13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 has not identified any cybersecurity threats that have materially affected operations or financial position.</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Oversee Third-Party Risk</w:t>
      </w:r>
    </w:p>
    <w:p>
      <w:pPr>
        <w:spacing w:after="0" w:line="96" w:lineRule="exact"/>
        <w:rPr>
          <w:sz w:val="20"/>
          <w:szCs w:val="20"/>
          <w:color w:val="auto"/>
        </w:rPr>
      </w:pPr>
    </w:p>
    <w:p>
      <w:pPr>
        <w:jc w:val="both"/>
        <w:ind w:left="540" w:right="39" w:hanging="249"/>
        <w:spacing w:after="0" w:line="291" w:lineRule="auto"/>
        <w:tabs>
          <w:tab w:leader="none" w:pos="540" w:val="left"/>
        </w:tabs>
        <w:numPr>
          <w:ilvl w:val="0"/>
          <w:numId w:val="10"/>
        </w:numPr>
        <w:rPr>
          <w:rFonts w:ascii="Times New Roman" w:cs="Times New Roman" w:eastAsia="Times New Roman" w:hAnsi="Times New Roman"/>
          <w:sz w:val="13"/>
          <w:szCs w:val="13"/>
          <w:color w:val="auto"/>
          <w:strike w:val="1"/>
        </w:rPr>
      </w:pPr>
      <w:r>
        <w:rPr>
          <w:rFonts w:ascii="Times New Roman" w:cs="Times New Roman" w:eastAsia="Times New Roman" w:hAnsi="Times New Roman"/>
          <w:sz w:val="13"/>
          <w:szCs w:val="13"/>
          <w:color w:val="auto"/>
        </w:rPr>
        <w:t>The Bank has processes to oversee and identify material risks from reported cybersecurity threats from any third-party service providers or vendors. The Bank’s Third-Party Risk Management Program requires an initial due diligence, on-going monitoring, and annual recertification of third-party cybersecurity controls.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Cybersecurity Risks</w:t>
      </w:r>
    </w:p>
    <w:p>
      <w:pPr>
        <w:spacing w:after="0" w:line="96" w:lineRule="exact"/>
        <w:rPr>
          <w:sz w:val="20"/>
          <w:szCs w:val="20"/>
          <w:color w:val="auto"/>
        </w:rPr>
      </w:pPr>
    </w:p>
    <w:p>
      <w:pPr>
        <w:ind w:left="540" w:right="39" w:hanging="249"/>
        <w:spacing w:after="0" w:line="297" w:lineRule="auto"/>
        <w:tabs>
          <w:tab w:leader="none" w:pos="540" w:val="left"/>
        </w:tabs>
        <w:numPr>
          <w:ilvl w:val="0"/>
          <w:numId w:val="11"/>
        </w:numPr>
        <w:rPr>
          <w:rFonts w:ascii="Times New Roman" w:cs="Times New Roman" w:eastAsia="Times New Roman" w:hAnsi="Times New Roman"/>
          <w:sz w:val="13"/>
          <w:szCs w:val="13"/>
          <w:color w:val="auto"/>
          <w:strike w:val="1"/>
        </w:rPr>
      </w:pPr>
      <w:r>
        <w:rPr>
          <w:rFonts w:ascii="Times New Roman" w:cs="Times New Roman" w:eastAsia="Times New Roman" w:hAnsi="Times New Roman"/>
          <w:sz w:val="13"/>
          <w:szCs w:val="13"/>
          <w:color w:val="auto"/>
        </w:rPr>
        <w:t>The Bank considers Cybersecurity Risks as part of our strategic planning process. Management and the Board of Directors acknowledge that technology systems, managed both by the Bank and third-party service providers, are critical to business operations and therefore require appropriate risk management.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Engagement With Third-Parties on Risk Management</w:t>
      </w:r>
    </w:p>
    <w:p>
      <w:pPr>
        <w:spacing w:after="0" w:line="96" w:lineRule="exact"/>
        <w:rPr>
          <w:sz w:val="20"/>
          <w:szCs w:val="20"/>
          <w:color w:val="auto"/>
        </w:rPr>
      </w:pPr>
    </w:p>
    <w:p>
      <w:pPr>
        <w:jc w:val="both"/>
        <w:ind w:left="540" w:right="39" w:hanging="249"/>
        <w:spacing w:after="0" w:line="271" w:lineRule="auto"/>
        <w:tabs>
          <w:tab w:leader="none" w:pos="5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Cybersecurity is part of the Bank’s overall risk management program, which is supported through the use of consultants, auditors and other third-parties who assist with reviewing and validating the effectiveness of cybersecurity controls. Internal Audit actively participates and engages with those managing the cybersecurity program to validate the effectiveness of implemented safeguards. External audit results are reviewed and reported on in our annual filing. Additionally, the Bank is a regulated entity and undergoes regulatory reviews to ensure it remains in compliance with all appropriate standards.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Company’s corporate headquarters is located at 898 Veterans Memorial Highway in Hauppauge, New York. The Bank’s main office is located at 2200 Montauk Highway in Bridgehampton, New York.</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we operated 62 branch locations throughout Greater Long Island, the New York City boroughs of Brooklyn, Queens, Manhattan, Staten Island and the Bronx, and Westchester County, of which 51 were leased and 11 were owned.</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additional information on our premises and equipment, see Note 6. “Premises and Fixed Assets, net and Premises Held for Sale” in the Notes to the Consolidated Financial Statements.</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17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In the ordinary course of business, the Holding Company and the Bank are routinely named as a defendant in or party to various pending or threatened legal actions or proceedings. Certain of these matters may seek substantial monetary damages against the Holding Company or the Bank. In the opinion of management, as of December 31, 2024, neither the Holding Company nor the Bank were involved in any actions or proceedings that were likely to have a material adverse impact on the Company’s consolidated financial condition and results of operations.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Our common stock trades on the NASDAQ® Stock Market under the symbol “DCOM”. Prior to the Merger, our common shares were traded under the symbol “BDGE”. At February 13, 2025, we had approximately 1,075 shareholders of record, not including the number of persons or entities holding stock in nominee or the street name through various banks and brokers.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DCOM Performance Graph</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Pursuant to the regulations of the SEC, the graph below compares our performance with that of the total return for the NASDAQ® Composite Index and the S&amp;P SmallCap 600 Banks Index from December 31, 2019 through December 31, 2024. The graph assumes the reinvestment of dividends in additional shares of the same class of equity securities as those listed below. The following performance graph reflects the performance of BDGE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87630</wp:posOffset>
            </wp:positionV>
            <wp:extent cx="4140200" cy="269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4020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Index</w:t>
            </w: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80" w:type="dxa"/>
            <w:vAlign w:val="bottom"/>
            <w:gridSpan w:val="2"/>
            <w:vMerge w:val="continue"/>
          </w:tcPr>
          <w:p>
            <w:pPr>
              <w:spacing w:after="0"/>
              <w:rPr>
                <w:sz w:val="8"/>
                <w:szCs w:val="8"/>
                <w:color w:val="auto"/>
              </w:rPr>
            </w:pPr>
          </w:p>
        </w:tc>
        <w:tc>
          <w:tcPr>
            <w:tcW w:w="600" w:type="dxa"/>
            <w:vAlign w:val="bottom"/>
          </w:tcPr>
          <w:p>
            <w:pPr>
              <w:jc w:val="right"/>
              <w:ind w:right="146"/>
              <w:spacing w:after="0" w:line="101" w:lineRule="exact"/>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Pr>
          <w:p>
            <w:pPr>
              <w:spacing w:after="0"/>
              <w:rPr>
                <w:sz w:val="8"/>
                <w:szCs w:val="8"/>
                <w:color w:val="auto"/>
              </w:rPr>
            </w:pPr>
          </w:p>
        </w:tc>
        <w:tc>
          <w:tcPr>
            <w:tcW w:w="620" w:type="dxa"/>
            <w:vAlign w:val="bottom"/>
          </w:tcPr>
          <w:p>
            <w:pPr>
              <w:jc w:val="right"/>
              <w:ind w:right="146"/>
              <w:spacing w:after="0" w:line="101" w:lineRule="exact"/>
              <w:rPr>
                <w:sz w:val="20"/>
                <w:szCs w:val="20"/>
                <w:color w:val="auto"/>
              </w:rPr>
            </w:pPr>
            <w:r>
              <w:rPr>
                <w:rFonts w:ascii="Times New Roman" w:cs="Times New Roman" w:eastAsia="Times New Roman" w:hAnsi="Times New Roman"/>
                <w:sz w:val="11"/>
                <w:szCs w:val="11"/>
                <w:b w:val="1"/>
                <w:bCs w:val="1"/>
                <w:color w:val="auto"/>
              </w:rPr>
              <w:t>2020</w:t>
            </w:r>
          </w:p>
        </w:tc>
        <w:tc>
          <w:tcPr>
            <w:tcW w:w="140" w:type="dxa"/>
            <w:vAlign w:val="bottom"/>
          </w:tcPr>
          <w:p>
            <w:pPr>
              <w:spacing w:after="0"/>
              <w:rPr>
                <w:sz w:val="8"/>
                <w:szCs w:val="8"/>
                <w:color w:val="auto"/>
              </w:rPr>
            </w:pPr>
          </w:p>
        </w:tc>
        <w:tc>
          <w:tcPr>
            <w:tcW w:w="620" w:type="dxa"/>
            <w:vAlign w:val="bottom"/>
          </w:tcPr>
          <w:p>
            <w:pPr>
              <w:jc w:val="right"/>
              <w:ind w:right="146"/>
              <w:spacing w:after="0" w:line="101" w:lineRule="exact"/>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Pr>
          <w:p>
            <w:pPr>
              <w:spacing w:after="0"/>
              <w:rPr>
                <w:sz w:val="8"/>
                <w:szCs w:val="8"/>
                <w:color w:val="auto"/>
              </w:rPr>
            </w:pPr>
          </w:p>
        </w:tc>
        <w:tc>
          <w:tcPr>
            <w:tcW w:w="620" w:type="dxa"/>
            <w:vAlign w:val="bottom"/>
          </w:tcPr>
          <w:p>
            <w:pPr>
              <w:jc w:val="right"/>
              <w:ind w:right="146"/>
              <w:spacing w:after="0" w:line="101"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640" w:type="dxa"/>
            <w:vAlign w:val="bottom"/>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8"/>
                <w:szCs w:val="8"/>
                <w:color w:val="auto"/>
              </w:rPr>
            </w:pPr>
          </w:p>
        </w:tc>
        <w:tc>
          <w:tcPr>
            <w:tcW w:w="640" w:type="dxa"/>
            <w:vAlign w:val="bottom"/>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01"/>
        </w:trPr>
        <w:tc>
          <w:tcPr>
            <w:tcW w:w="432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Dime Community Bancshares, Inc.</w:t>
            </w: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100.00</w:t>
            </w: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75.51</w:t>
            </w: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112.73</w:t>
            </w: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105.06</w:t>
            </w: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92.97</w:t>
            </w: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110.65</w:t>
            </w:r>
          </w:p>
        </w:tc>
        <w:tc>
          <w:tcPr>
            <w:tcW w:w="0" w:type="dxa"/>
            <w:vAlign w:val="bottom"/>
          </w:tcPr>
          <w:p>
            <w:pPr>
              <w:spacing w:after="0"/>
              <w:rPr>
                <w:sz w:val="1"/>
                <w:szCs w:val="1"/>
                <w:color w:val="auto"/>
              </w:rPr>
            </w:pPr>
          </w:p>
        </w:tc>
      </w:tr>
      <w:tr>
        <w:trPr>
          <w:trHeight w:val="111"/>
        </w:trPr>
        <w:tc>
          <w:tcPr>
            <w:tcW w:w="44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S&amp;P SmallCap 600 Banks Index</w:t>
            </w: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w:t>
            </w:r>
          </w:p>
        </w:tc>
        <w:tc>
          <w:tcPr>
            <w:tcW w:w="1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89.23</w:t>
            </w:r>
          </w:p>
        </w:tc>
        <w:tc>
          <w:tcPr>
            <w:tcW w:w="14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119.79</w:t>
            </w:r>
          </w:p>
        </w:tc>
        <w:tc>
          <w:tcPr>
            <w:tcW w:w="1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107.95</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107.99</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123.79</w:t>
            </w:r>
          </w:p>
        </w:tc>
        <w:tc>
          <w:tcPr>
            <w:tcW w:w="0" w:type="dxa"/>
            <w:vAlign w:val="bottom"/>
          </w:tcPr>
          <w:p>
            <w:pPr>
              <w:spacing w:after="0"/>
              <w:rPr>
                <w:sz w:val="1"/>
                <w:szCs w:val="1"/>
                <w:color w:val="auto"/>
              </w:rPr>
            </w:pPr>
          </w:p>
        </w:tc>
      </w:tr>
      <w:tr>
        <w:trPr>
          <w:trHeight w:val="111"/>
        </w:trPr>
        <w:tc>
          <w:tcPr>
            <w:tcW w:w="44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NASDAQ Composite Index</w:t>
            </w: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144.92</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177.06</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119.45</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172.77</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223.87</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p>
      <w:pPr>
        <w:spacing w:after="0" w:line="177"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December 31, 2024, there were 1,566,947 shares remaining to be purchased in the program. There were no repurchases of common stock during the year ended December 31, 2024.</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w:t>
      </w:r>
    </w:p>
    <w:p>
      <w:pPr>
        <w:spacing w:after="0" w:line="9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In this Annual Report on Form 10-K, unless otherwise mentioned, the terms the “Company”, “we”, “us” and “our” refer to Dime Community Bancshares, Inc. and our wholly-owned subsidiary, Dime Community Bank (the “Bank”). We use the term “Holding Company” to refer solely to Dime Community Bancshares, Inc. and not to our consolidated subsidiary.</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7"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Dime Community Bancshares, Inc., a New York corporation, is a bank holding company formed in 1988. On a parent-only basis, the Holding Company has minimal operations, other than as owner of Dime Community Bank. The Holding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and other assets.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Critical accounting estimates are those estimates made in accordance with Generally Accepted Accounting Principles that involve a significant level of estimation uncertainty and have had or are reasonably likely to have a material impact on the financial condition or the results of the operations of the Registrant. Note 1 Summary of Significant Accounting Policies (page 53), to the Company’s Audited Consolidated Financial Statement for the year ended December 31, 2024 contains a summary of significant accounting policies. These critical accounting estimates involve a significant degree of complexity and require management to make difficult and subjective judgments which often necessitate assumptions or estimates about highly uncertain matters. Policies with respect to the methodologies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Management has reviewed the following critical accounting estimates and related disclosures with its Audit Committee.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Allowance for Credit Losses on Loans Held for Investment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Methods and Assumptions Underlying the Estimate</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On January 1, 2021, we adopted the Current Expected Credit Losses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31"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3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1" w:lineRule="exact"/>
        <w:rPr>
          <w:sz w:val="20"/>
          <w:szCs w:val="20"/>
          <w:color w:val="auto"/>
        </w:rPr>
      </w:pPr>
    </w:p>
    <w:p>
      <w:pPr>
        <w:jc w:val="both"/>
        <w:ind w:left="20" w:right="39" w:firstLine="9"/>
        <w:spacing w:after="0" w:line="263" w:lineRule="auto"/>
        <w:tabs>
          <w:tab w:leader="none" w:pos="21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36"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 At June 30, 2024, if the four-quarter national unemployment rate forecast had increased 100 basis points our quantitative ACL reserve would have increased 11.8%. The sensitivity analysis does not represent a change to our expectations of the economic environment but provides a hypothetical result to assess the sensitivity of the ACL to a change in a key quantitative input. Additionally, the sensitivity analysis described above does not incorporate changes to management’s judgment of qualitative loss factors.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Uncertainties Regarding the Estimate</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1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Impact on Financial Condition and Results of Operations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If our assumptions prove to be incorrect, the allowance for credit losses may not be sufficient to cover expected losses in the loan portfolio, resulting in additions to the allowance. Future additions or reductions to the allowance may be necessary</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based on changes in economic, market or other conditions. Changes in estimates could result in a material change in the allowance through charges to earnings and would materially decrease our net income.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We may experience significant credit losses if borrowers experience financial difficulties, which could have a material adverse effect on our operating results.</w:t>
      </w:r>
    </w:p>
    <w:p>
      <w:pPr>
        <w:spacing w:after="0" w:line="17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Comparison of Operating Results For The Years Ended December 31, 2024, 2023 and 2022</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Net income was $29.1 million in 2024, compared to $96.1 million in 2023, and $152.6 million in 2022. During 2024, non-interest income decreased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$40.2 million, provision for credit losses increased by $33.3 million and non-interest expense increased by $13.4 million, partially offset by an increase in net interest income of $1.5 million and a decrease in income tax expense of $18.4 million. During 2023, net interest income decreased by $63.3 million, non-interest expense increased by $12.4 million and non-interest income decreased by $2.0 million, partially offset by a decrease of $18.6 million in income tax expense and a decrease of $2.6 million in provision for credit losses. During 2022, net interest income increased by $22.3 million, provision for credit losses decreased by $839 thousand, and non-interest expense decreased by $44.6 million, partially offset by a non-interest income decrease of $3.9 million and an income tax expense increase of $15.2 million.</w:t>
      </w:r>
    </w:p>
    <w:p>
      <w:pPr>
        <w:spacing w:after="0" w:line="298"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discussion of net interest income for the years ended December 31, 2024, 2023, and 2022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Loan fees included in interest income were $1.0 million in 2024, $1.5 million in 2023, and $3.1 million in 2022. The decrease in loan fees in 2024 was primarily due to a decline in loan prepayment fees. There are no out-of-period adjustments included in the rate/volume analysis in the following table.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Average Balance Sheets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3"/>
          </w:tcPr>
          <w:p>
            <w:pPr>
              <w:ind w:left="140"/>
              <w:spacing w:after="0" w:line="91" w:lineRule="exact"/>
              <w:rPr>
                <w:sz w:val="20"/>
                <w:szCs w:val="20"/>
                <w:color w:val="auto"/>
              </w:rPr>
            </w:pPr>
            <w:r>
              <w:rPr>
                <w:rFonts w:ascii="Times New Roman" w:cs="Times New Roman" w:eastAsia="Times New Roman" w:hAnsi="Times New Roman"/>
                <w:sz w:val="9"/>
                <w:szCs w:val="9"/>
                <w:b w:val="1"/>
                <w:bCs w:val="1"/>
                <w:color w:val="auto"/>
              </w:rPr>
              <w:t>2024</w:t>
            </w: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3"/>
          </w:tcPr>
          <w:p>
            <w:pPr>
              <w:ind w:left="100"/>
              <w:spacing w:after="0" w:line="91" w:lineRule="exact"/>
              <w:rPr>
                <w:sz w:val="20"/>
                <w:szCs w:val="20"/>
                <w:color w:val="auto"/>
              </w:rPr>
            </w:pPr>
            <w:r>
              <w:rPr>
                <w:rFonts w:ascii="Times New Roman" w:cs="Times New Roman" w:eastAsia="Times New Roman" w:hAnsi="Times New Roman"/>
                <w:sz w:val="9"/>
                <w:szCs w:val="9"/>
                <w:b w:val="1"/>
                <w:bCs w:val="1"/>
                <w:color w:val="auto"/>
              </w:rPr>
              <w:t>2023</w:t>
            </w: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33"/>
              <w:spacing w:after="0" w:line="91" w:lineRule="exact"/>
              <w:rPr>
                <w:sz w:val="20"/>
                <w:szCs w:val="20"/>
                <w:color w:val="auto"/>
              </w:rPr>
            </w:pPr>
            <w:r>
              <w:rPr>
                <w:rFonts w:ascii="Times New Roman" w:cs="Times New Roman" w:eastAsia="Times New Roman" w:hAnsi="Times New Roman"/>
                <w:sz w:val="9"/>
                <w:szCs w:val="9"/>
                <w:b w:val="1"/>
                <w:bCs w:val="1"/>
                <w:color w:val="auto"/>
              </w:rPr>
              <w:t>2022</w:t>
            </w: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jc w:val="center"/>
              <w:spacing w:after="0" w:line="96" w:lineRule="exact"/>
              <w:rPr>
                <w:sz w:val="20"/>
                <w:szCs w:val="20"/>
                <w:color w:val="auto"/>
              </w:rPr>
            </w:pPr>
            <w:r>
              <w:rPr>
                <w:rFonts w:ascii="Times New Roman" w:cs="Times New Roman" w:eastAsia="Times New Roman" w:hAnsi="Times New Roman"/>
                <w:sz w:val="9"/>
                <w:szCs w:val="9"/>
                <w:b w:val="1"/>
                <w:bCs w:val="1"/>
                <w:color w:val="auto"/>
              </w:rPr>
              <w:t>Average</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jc w:val="center"/>
              <w:spacing w:after="0" w:line="96"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spacing w:after="0" w:line="96"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Yield/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Yield/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Yield/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2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Cost</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Cost</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1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Cost</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Assets:</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720" w:type="dxa"/>
            <w:vAlign w:val="bottom"/>
            <w:gridSpan w:val="5"/>
            <w:shd w:val="clear" w:color="auto" w:fill="CCEEFF"/>
          </w:tcPr>
          <w:p>
            <w:pPr>
              <w:jc w:val="right"/>
              <w:ind w:right="293"/>
              <w:spacing w:after="0" w:line="81" w:lineRule="exact"/>
              <w:rPr>
                <w:sz w:val="20"/>
                <w:szCs w:val="20"/>
                <w:color w:val="auto"/>
              </w:rPr>
            </w:pPr>
            <w:r>
              <w:rPr>
                <w:rFonts w:ascii="Times New Roman" w:cs="Times New Roman" w:eastAsia="Times New Roman" w:hAnsi="Times New Roman"/>
                <w:sz w:val="9"/>
                <w:szCs w:val="9"/>
                <w:color w:val="auto"/>
              </w:rPr>
              <w:t>(Dollars in thousands)</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Interest-earning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1"/>
                <w:szCs w:val="11"/>
                <w:color w:val="auto"/>
                <w:vertAlign w:val="superscript"/>
              </w:rPr>
              <w:t>(1) (3) (6)</w:t>
            </w:r>
          </w:p>
        </w:tc>
        <w:tc>
          <w:tcPr>
            <w:tcW w:w="220" w:type="dxa"/>
            <w:vAlign w:val="bottom"/>
            <w:gridSpan w:val="2"/>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2,500,904</w:t>
            </w:r>
          </w:p>
        </w:tc>
        <w:tc>
          <w:tcPr>
            <w:tcW w:w="200" w:type="dxa"/>
            <w:vAlign w:val="bottom"/>
            <w:gridSpan w:val="2"/>
            <w:shd w:val="clear" w:color="auto" w:fill="CCEEFF"/>
          </w:tcPr>
          <w:p>
            <w:pPr>
              <w:ind w:left="12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175,604</w:t>
            </w:r>
          </w:p>
        </w:tc>
        <w:tc>
          <w:tcPr>
            <w:tcW w:w="620" w:type="dxa"/>
            <w:vAlign w:val="bottom"/>
            <w:gridSpan w:val="3"/>
            <w:shd w:val="clear" w:color="auto" w:fill="CCEEFF"/>
          </w:tcPr>
          <w:p>
            <w:pPr>
              <w:jc w:val="right"/>
              <w:ind w:right="40"/>
              <w:spacing w:after="0" w:line="101" w:lineRule="exact"/>
              <w:rPr>
                <w:sz w:val="20"/>
                <w:szCs w:val="20"/>
                <w:color w:val="auto"/>
              </w:rPr>
            </w:pPr>
            <w:r>
              <w:rPr>
                <w:rFonts w:ascii="Times New Roman" w:cs="Times New Roman" w:eastAsia="Times New Roman" w:hAnsi="Times New Roman"/>
                <w:sz w:val="9"/>
                <w:szCs w:val="9"/>
                <w:b w:val="1"/>
                <w:bCs w:val="1"/>
                <w:color w:val="auto"/>
              </w:rPr>
              <w:t>7.02 %</w:t>
            </w:r>
          </w:p>
        </w:tc>
        <w:tc>
          <w:tcPr>
            <w:tcW w:w="18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2,246,442</w:t>
            </w:r>
          </w:p>
        </w:tc>
        <w:tc>
          <w:tcPr>
            <w:tcW w:w="200" w:type="dxa"/>
            <w:vAlign w:val="bottom"/>
            <w:gridSpan w:val="2"/>
            <w:shd w:val="clear" w:color="auto" w:fill="CCEEFF"/>
          </w:tcPr>
          <w:p>
            <w:pPr>
              <w:ind w:left="120"/>
              <w:spacing w:after="0" w:line="10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147,530</w:t>
            </w:r>
          </w:p>
        </w:tc>
        <w:tc>
          <w:tcPr>
            <w:tcW w:w="600" w:type="dxa"/>
            <w:vAlign w:val="bottom"/>
            <w:gridSpan w:val="3"/>
            <w:shd w:val="clear" w:color="auto" w:fill="CCEEFF"/>
          </w:tcPr>
          <w:p>
            <w:pPr>
              <w:jc w:val="right"/>
              <w:ind w:right="60"/>
              <w:spacing w:after="0" w:line="101" w:lineRule="exact"/>
              <w:rPr>
                <w:sz w:val="20"/>
                <w:szCs w:val="20"/>
                <w:color w:val="auto"/>
              </w:rPr>
            </w:pPr>
            <w:r>
              <w:rPr>
                <w:rFonts w:ascii="Times New Roman" w:cs="Times New Roman" w:eastAsia="Times New Roman" w:hAnsi="Times New Roman"/>
                <w:sz w:val="9"/>
                <w:szCs w:val="9"/>
                <w:color w:val="auto"/>
              </w:rPr>
              <w:t>6.57 %</w:t>
            </w:r>
          </w:p>
        </w:tc>
        <w:tc>
          <w:tcPr>
            <w:tcW w:w="16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2,006,287</w:t>
            </w:r>
          </w:p>
        </w:tc>
        <w:tc>
          <w:tcPr>
            <w:tcW w:w="1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99,296</w:t>
            </w:r>
          </w:p>
        </w:tc>
        <w:tc>
          <w:tcPr>
            <w:tcW w:w="820" w:type="dxa"/>
            <w:vAlign w:val="bottom"/>
            <w:gridSpan w:val="4"/>
            <w:shd w:val="clear" w:color="auto" w:fill="CCEEFF"/>
          </w:tcPr>
          <w:p>
            <w:pPr>
              <w:jc w:val="right"/>
              <w:ind w:right="100"/>
              <w:spacing w:after="0" w:line="101" w:lineRule="exact"/>
              <w:rPr>
                <w:sz w:val="20"/>
                <w:szCs w:val="20"/>
                <w:color w:val="auto"/>
              </w:rPr>
            </w:pPr>
            <w:r>
              <w:rPr>
                <w:rFonts w:ascii="Times New Roman" w:cs="Times New Roman" w:eastAsia="Times New Roman" w:hAnsi="Times New Roman"/>
                <w:sz w:val="9"/>
                <w:szCs w:val="9"/>
                <w:color w:val="auto"/>
              </w:rPr>
              <w:t>4.95 %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One-to-four family residential, including condo and coop </w:t>
            </w:r>
            <w:r>
              <w:rPr>
                <w:rFonts w:ascii="Times New Roman" w:cs="Times New Roman" w:eastAsia="Times New Roman" w:hAnsi="Times New Roman"/>
                <w:sz w:val="11"/>
                <w:szCs w:val="11"/>
                <w:color w:val="auto"/>
                <w:vertAlign w:val="superscript"/>
              </w:rPr>
              <w:t>(3) (6)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910,096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41,823</w:t>
            </w:r>
          </w:p>
        </w:tc>
        <w:tc>
          <w:tcPr>
            <w:tcW w:w="4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4.60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847,706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35,148</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4.15</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703,055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24,705</w:t>
            </w:r>
          </w:p>
        </w:tc>
        <w:tc>
          <w:tcPr>
            <w:tcW w:w="6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3.51</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Multifamily residential and residential mixed-use </w:t>
            </w:r>
            <w:r>
              <w:rPr>
                <w:rFonts w:ascii="Times New Roman" w:cs="Times New Roman" w:eastAsia="Times New Roman" w:hAnsi="Times New Roman"/>
                <w:sz w:val="11"/>
                <w:szCs w:val="11"/>
                <w:color w:val="auto"/>
                <w:vertAlign w:val="superscript"/>
              </w:rPr>
              <w:t>(3) (6)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3,927,197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181,736</w:t>
            </w:r>
          </w:p>
        </w:tc>
        <w:tc>
          <w:tcPr>
            <w:tcW w:w="4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4.63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4,096,025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180,286</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4.40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3,675,595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139,562</w:t>
            </w: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3.80</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Non-owner-occupied commercial real estate </w:t>
            </w:r>
            <w:r>
              <w:rPr>
                <w:rFonts w:ascii="Times New Roman" w:cs="Times New Roman" w:eastAsia="Times New Roman" w:hAnsi="Times New Roman"/>
                <w:sz w:val="11"/>
                <w:szCs w:val="11"/>
                <w:color w:val="auto"/>
                <w:vertAlign w:val="superscript"/>
              </w:rPr>
              <w:t>(3) (6)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3,323,299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177,173</w:t>
            </w:r>
          </w:p>
        </w:tc>
        <w:tc>
          <w:tcPr>
            <w:tcW w:w="4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5.33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3,353,805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171,475</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5.11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3,071,837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125,659</w:t>
            </w:r>
          </w:p>
        </w:tc>
        <w:tc>
          <w:tcPr>
            <w:tcW w:w="6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4.09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vertAlign w:val="subscript"/>
              </w:rPr>
              <w:t>ADC</w:t>
            </w:r>
            <w:r>
              <w:rPr>
                <w:rFonts w:ascii="Times New Roman" w:cs="Times New Roman" w:eastAsia="Times New Roman" w:hAnsi="Times New Roman"/>
                <w:sz w:val="6"/>
                <w:szCs w:val="6"/>
                <w:color w:val="auto"/>
              </w:rPr>
              <w:t xml:space="preserve"> (3)</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155,279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13,936</w:t>
            </w:r>
          </w:p>
        </w:tc>
        <w:tc>
          <w:tcPr>
            <w:tcW w:w="4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8.97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214,106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19,656</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9.18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279,620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16,752</w:t>
            </w: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5.99</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Other loans </w:t>
            </w:r>
            <w:r>
              <w:rPr>
                <w:rFonts w:ascii="Times New Roman" w:cs="Times New Roman" w:eastAsia="Times New Roman" w:hAnsi="Times New Roman"/>
                <w:sz w:val="11"/>
                <w:szCs w:val="11"/>
                <w:color w:val="auto"/>
                <w:vertAlign w:val="superscript"/>
              </w:rPr>
              <w:t>(3)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5,046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220</w:t>
            </w:r>
          </w:p>
        </w:tc>
        <w:tc>
          <w:tcPr>
            <w:tcW w:w="4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4.36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6,514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393</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6.03</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11,493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627</w:t>
            </w:r>
          </w:p>
        </w:tc>
        <w:tc>
          <w:tcPr>
            <w:tcW w:w="6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5.46</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Securities</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1,515,962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33,563</w:t>
            </w:r>
          </w:p>
        </w:tc>
        <w:tc>
          <w:tcPr>
            <w:tcW w:w="4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2.21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1,640,066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32,179</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1.96</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1,687,835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29,224</w:t>
            </w: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1.73</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tcBorders>
              <w:bottom w:val="single" w:sz="8" w:color="CCEEFF"/>
            </w:tcBorders>
            <w:gridSpan w:val="2"/>
          </w:tcPr>
          <w:p>
            <w:pPr>
              <w:ind w:left="60"/>
              <w:spacing w:after="0" w:line="101" w:lineRule="exact"/>
              <w:rPr>
                <w:sz w:val="20"/>
                <w:szCs w:val="20"/>
                <w:color w:val="auto"/>
              </w:rPr>
            </w:pPr>
            <w:r>
              <w:rPr>
                <w:rFonts w:ascii="Times New Roman" w:cs="Times New Roman" w:eastAsia="Times New Roman" w:hAnsi="Times New Roman"/>
                <w:sz w:val="9"/>
                <w:szCs w:val="9"/>
                <w:color w:val="auto"/>
              </w:rPr>
              <w:t>Other short-term investments</w:t>
            </w: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499,633</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26,094</w:t>
            </w:r>
          </w:p>
        </w:tc>
        <w:tc>
          <w:tcPr>
            <w:tcW w:w="48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5.22</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442,574</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22,693</w:t>
            </w:r>
          </w:p>
        </w:tc>
        <w:tc>
          <w:tcPr>
            <w:tcW w:w="460" w:type="dxa"/>
            <w:vAlign w:val="bottom"/>
            <w:tcBorders>
              <w:bottom w:val="single" w:sz="8" w:color="CCEEFF"/>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5.13</w:t>
            </w: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248,779</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3,400</w:t>
            </w:r>
          </w:p>
        </w:tc>
        <w:tc>
          <w:tcPr>
            <w:tcW w:w="62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1.37</w:t>
            </w: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interest-earning assets</w:t>
            </w: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12,837,416</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650,149</w:t>
            </w:r>
          </w:p>
        </w:tc>
        <w:tc>
          <w:tcPr>
            <w:tcW w:w="620" w:type="dxa"/>
            <w:vAlign w:val="bottom"/>
            <w:gridSpan w:val="3"/>
            <w:shd w:val="clear" w:color="auto" w:fill="CCEEFF"/>
          </w:tcPr>
          <w:p>
            <w:pPr>
              <w:jc w:val="right"/>
              <w:ind w:right="40"/>
              <w:spacing w:after="0" w:line="91" w:lineRule="exact"/>
              <w:rPr>
                <w:sz w:val="20"/>
                <w:szCs w:val="20"/>
                <w:color w:val="auto"/>
              </w:rPr>
            </w:pPr>
            <w:r>
              <w:rPr>
                <w:rFonts w:ascii="Times New Roman" w:cs="Times New Roman" w:eastAsia="Times New Roman" w:hAnsi="Times New Roman"/>
                <w:sz w:val="9"/>
                <w:szCs w:val="9"/>
                <w:b w:val="1"/>
                <w:bCs w:val="1"/>
                <w:color w:val="auto"/>
              </w:rPr>
              <w:t>5.06 %</w:t>
            </w:r>
          </w:p>
        </w:tc>
        <w:tc>
          <w:tcPr>
            <w:tcW w:w="6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12,847,238</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609,360</w:t>
            </w:r>
          </w:p>
        </w:tc>
        <w:tc>
          <w:tcPr>
            <w:tcW w:w="600" w:type="dxa"/>
            <w:vAlign w:val="bottom"/>
            <w:gridSpan w:val="3"/>
            <w:shd w:val="clear" w:color="auto" w:fill="CCEEFF"/>
          </w:tcPr>
          <w:p>
            <w:pPr>
              <w:jc w:val="right"/>
              <w:ind w:right="60"/>
              <w:spacing w:after="0" w:line="91" w:lineRule="exact"/>
              <w:rPr>
                <w:sz w:val="20"/>
                <w:szCs w:val="20"/>
                <w:color w:val="auto"/>
              </w:rPr>
            </w:pPr>
            <w:r>
              <w:rPr>
                <w:rFonts w:ascii="Times New Roman" w:cs="Times New Roman" w:eastAsia="Times New Roman" w:hAnsi="Times New Roman"/>
                <w:sz w:val="9"/>
                <w:szCs w:val="9"/>
                <w:color w:val="auto"/>
              </w:rPr>
              <w:t>4.74 %</w:t>
            </w: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11,684,501</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439,225</w:t>
            </w:r>
          </w:p>
        </w:tc>
        <w:tc>
          <w:tcPr>
            <w:tcW w:w="820" w:type="dxa"/>
            <w:vAlign w:val="bottom"/>
            <w:gridSpan w:val="4"/>
            <w:shd w:val="clear" w:color="auto" w:fill="CCEEFF"/>
          </w:tcPr>
          <w:p>
            <w:pPr>
              <w:jc w:val="right"/>
              <w:ind w:right="100"/>
              <w:spacing w:after="0" w:line="91" w:lineRule="exact"/>
              <w:rPr>
                <w:sz w:val="20"/>
                <w:szCs w:val="20"/>
                <w:color w:val="auto"/>
              </w:rPr>
            </w:pPr>
            <w:r>
              <w:rPr>
                <w:rFonts w:ascii="Times New Roman" w:cs="Times New Roman" w:eastAsia="Times New Roman" w:hAnsi="Times New Roman"/>
                <w:sz w:val="9"/>
                <w:szCs w:val="9"/>
                <w:color w:val="auto"/>
              </w:rPr>
              <w:t>3.76 %</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tcBorders>
              <w:bottom w:val="single" w:sz="8" w:color="CCEEFF"/>
            </w:tcBorders>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Non-interest earning assets</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781,373</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777,977</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782,261</w:t>
            </w: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tcBorders>
              <w:bottom w:val="single" w:sz="8" w:color="CCEEFF"/>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Total assets</w:t>
            </w: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13,618,789</w:t>
            </w: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13,625,215</w:t>
            </w:r>
          </w:p>
        </w:tc>
        <w:tc>
          <w:tcPr>
            <w:tcW w:w="1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12,466,762</w:t>
            </w: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vMerge w:val="restart"/>
          </w:tcPr>
          <w:p>
            <w:pPr>
              <w:spacing w:after="0"/>
              <w:rPr>
                <w:sz w:val="6"/>
                <w:szCs w:val="6"/>
                <w:color w:val="auto"/>
              </w:rPr>
            </w:pPr>
          </w:p>
        </w:tc>
        <w:tc>
          <w:tcPr>
            <w:tcW w:w="2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Liabilities and Stockholders' Equity:</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9"/>
                <w:szCs w:val="9"/>
                <w:color w:val="auto"/>
              </w:rPr>
              <w:t>Interest-bearing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Interest-bearing checking </w:t>
            </w:r>
            <w:r>
              <w:rPr>
                <w:rFonts w:ascii="Times New Roman" w:cs="Times New Roman" w:eastAsia="Times New Roman" w:hAnsi="Times New Roman"/>
                <w:sz w:val="11"/>
                <w:szCs w:val="11"/>
                <w:color w:val="auto"/>
                <w:vertAlign w:val="superscript"/>
              </w:rPr>
              <w:t>(2)</w:t>
            </w:r>
          </w:p>
        </w:tc>
        <w:tc>
          <w:tcPr>
            <w:tcW w:w="220" w:type="dxa"/>
            <w:vAlign w:val="bottom"/>
            <w:gridSpan w:val="2"/>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731,709</w:t>
            </w:r>
          </w:p>
        </w:tc>
        <w:tc>
          <w:tcPr>
            <w:tcW w:w="200" w:type="dxa"/>
            <w:vAlign w:val="bottom"/>
            <w:gridSpan w:val="2"/>
            <w:shd w:val="clear" w:color="auto" w:fill="CCEEFF"/>
          </w:tcPr>
          <w:p>
            <w:pPr>
              <w:ind w:left="12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12,472</w:t>
            </w:r>
          </w:p>
        </w:tc>
        <w:tc>
          <w:tcPr>
            <w:tcW w:w="620" w:type="dxa"/>
            <w:vAlign w:val="bottom"/>
            <w:gridSpan w:val="3"/>
            <w:shd w:val="clear" w:color="auto" w:fill="CCEEFF"/>
          </w:tcPr>
          <w:p>
            <w:pPr>
              <w:jc w:val="right"/>
              <w:ind w:right="40"/>
              <w:spacing w:after="0" w:line="101" w:lineRule="exact"/>
              <w:rPr>
                <w:sz w:val="20"/>
                <w:szCs w:val="20"/>
                <w:color w:val="auto"/>
              </w:rPr>
            </w:pPr>
            <w:r>
              <w:rPr>
                <w:rFonts w:ascii="Times New Roman" w:cs="Times New Roman" w:eastAsia="Times New Roman" w:hAnsi="Times New Roman"/>
                <w:sz w:val="9"/>
                <w:szCs w:val="9"/>
                <w:b w:val="1"/>
                <w:bCs w:val="1"/>
                <w:color w:val="auto"/>
              </w:rPr>
              <w:t>1.70 %</w:t>
            </w:r>
          </w:p>
        </w:tc>
        <w:tc>
          <w:tcPr>
            <w:tcW w:w="18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775,904</w:t>
            </w:r>
          </w:p>
        </w:tc>
        <w:tc>
          <w:tcPr>
            <w:tcW w:w="200" w:type="dxa"/>
            <w:vAlign w:val="bottom"/>
            <w:gridSpan w:val="2"/>
            <w:shd w:val="clear" w:color="auto" w:fill="CCEEFF"/>
          </w:tcPr>
          <w:p>
            <w:pPr>
              <w:ind w:left="120"/>
              <w:spacing w:after="0" w:line="10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8,562</w:t>
            </w:r>
          </w:p>
        </w:tc>
        <w:tc>
          <w:tcPr>
            <w:tcW w:w="600" w:type="dxa"/>
            <w:vAlign w:val="bottom"/>
            <w:gridSpan w:val="3"/>
            <w:shd w:val="clear" w:color="auto" w:fill="CCEEFF"/>
          </w:tcPr>
          <w:p>
            <w:pPr>
              <w:jc w:val="right"/>
              <w:ind w:right="60"/>
              <w:spacing w:after="0" w:line="101" w:lineRule="exact"/>
              <w:rPr>
                <w:sz w:val="20"/>
                <w:szCs w:val="20"/>
                <w:color w:val="auto"/>
              </w:rPr>
            </w:pPr>
            <w:r>
              <w:rPr>
                <w:rFonts w:ascii="Times New Roman" w:cs="Times New Roman" w:eastAsia="Times New Roman" w:hAnsi="Times New Roman"/>
                <w:sz w:val="9"/>
                <w:szCs w:val="9"/>
                <w:color w:val="auto"/>
              </w:rPr>
              <w:t>1.10 %</w:t>
            </w:r>
          </w:p>
        </w:tc>
        <w:tc>
          <w:tcPr>
            <w:tcW w:w="16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851,931</w:t>
            </w:r>
          </w:p>
        </w:tc>
        <w:tc>
          <w:tcPr>
            <w:tcW w:w="1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3,115</w:t>
            </w:r>
          </w:p>
        </w:tc>
        <w:tc>
          <w:tcPr>
            <w:tcW w:w="820" w:type="dxa"/>
            <w:vAlign w:val="bottom"/>
            <w:gridSpan w:val="4"/>
            <w:shd w:val="clear" w:color="auto" w:fill="CCEEFF"/>
          </w:tcPr>
          <w:p>
            <w:pPr>
              <w:jc w:val="right"/>
              <w:ind w:right="100"/>
              <w:spacing w:after="0" w:line="101" w:lineRule="exact"/>
              <w:rPr>
                <w:sz w:val="20"/>
                <w:szCs w:val="20"/>
                <w:color w:val="auto"/>
              </w:rPr>
            </w:pPr>
            <w:r>
              <w:rPr>
                <w:rFonts w:ascii="Times New Roman" w:cs="Times New Roman" w:eastAsia="Times New Roman" w:hAnsi="Times New Roman"/>
                <w:sz w:val="9"/>
                <w:szCs w:val="9"/>
                <w:color w:val="auto"/>
              </w:rPr>
              <w:t>0.37 %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9"/>
                <w:szCs w:val="9"/>
                <w:color w:val="auto"/>
              </w:rPr>
              <w:t>Money market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3,650,266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134,367</w:t>
            </w:r>
          </w:p>
        </w:tc>
        <w:tc>
          <w:tcPr>
            <w:tcW w:w="4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3.68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2,882,859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83,950</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2,971,312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10,879</w:t>
            </w:r>
          </w:p>
        </w:tc>
        <w:tc>
          <w:tcPr>
            <w:tcW w:w="6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0.37</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Savings </w:t>
            </w:r>
            <w:r>
              <w:rPr>
                <w:rFonts w:ascii="Times New Roman" w:cs="Times New Roman" w:eastAsia="Times New Roman" w:hAnsi="Times New Roman"/>
                <w:sz w:val="11"/>
                <w:szCs w:val="11"/>
                <w:color w:val="auto"/>
                <w:vertAlign w:val="superscript"/>
              </w:rPr>
              <w:t>(2)</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2,177,372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80,239</w:t>
            </w:r>
          </w:p>
        </w:tc>
        <w:tc>
          <w:tcPr>
            <w:tcW w:w="4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3.69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2,311,275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73,270</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3.17</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1,815,198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15,906</w:t>
            </w: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0.88</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tcBorders>
              <w:bottom w:val="single" w:sz="8" w:color="CCEEFF"/>
            </w:tcBorders>
            <w:gridSpan w:val="2"/>
          </w:tcPr>
          <w:p>
            <w:pPr>
              <w:ind w:left="60"/>
              <w:spacing w:after="0" w:line="101" w:lineRule="exact"/>
              <w:rPr>
                <w:sz w:val="20"/>
                <w:szCs w:val="20"/>
                <w:color w:val="auto"/>
              </w:rPr>
            </w:pPr>
            <w:r>
              <w:rPr>
                <w:rFonts w:ascii="Times New Roman" w:cs="Times New Roman" w:eastAsia="Times New Roman" w:hAnsi="Times New Roman"/>
                <w:sz w:val="9"/>
                <w:szCs w:val="9"/>
                <w:color w:val="auto"/>
              </w:rPr>
              <w:t>CDs</w:t>
            </w: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1,351,408</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57,667</w:t>
            </w:r>
          </w:p>
        </w:tc>
        <w:tc>
          <w:tcPr>
            <w:tcW w:w="48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4.27</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1,444,554</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53,263</w:t>
            </w:r>
          </w:p>
        </w:tc>
        <w:tc>
          <w:tcPr>
            <w:tcW w:w="460" w:type="dxa"/>
            <w:vAlign w:val="bottom"/>
            <w:tcBorders>
              <w:bottom w:val="single" w:sz="8" w:color="CCEEFF"/>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3.69</w:t>
            </w: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926,837</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8,533</w:t>
            </w:r>
          </w:p>
        </w:tc>
        <w:tc>
          <w:tcPr>
            <w:tcW w:w="62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0.92</w:t>
            </w: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interest-bearing deposits</w:t>
            </w: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7,910,755</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284,745</w:t>
            </w:r>
          </w:p>
        </w:tc>
        <w:tc>
          <w:tcPr>
            <w:tcW w:w="48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3.60</w:t>
            </w: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7,414,592</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219,045</w:t>
            </w: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2.95</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6,565,278</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38,433</w:t>
            </w:r>
          </w:p>
        </w:tc>
        <w:tc>
          <w:tcPr>
            <w:tcW w:w="62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0.59</w:t>
            </w: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tcPr>
          <w:p>
            <w:pPr>
              <w:ind w:left="100"/>
              <w:spacing w:after="0" w:line="91" w:lineRule="exact"/>
              <w:rPr>
                <w:sz w:val="20"/>
                <w:szCs w:val="20"/>
                <w:color w:val="auto"/>
              </w:rPr>
            </w:pPr>
            <w:r>
              <w:rPr>
                <w:rFonts w:ascii="Times New Roman" w:cs="Times New Roman" w:eastAsia="Times New Roman" w:hAnsi="Times New Roman"/>
                <w:sz w:val="9"/>
                <w:szCs w:val="9"/>
                <w:color w:val="auto"/>
              </w:rPr>
              <w:t>FHLBNY advances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699,940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27,268</w:t>
            </w:r>
          </w:p>
        </w:tc>
        <w:tc>
          <w:tcPr>
            <w:tcW w:w="48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3.90</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1,251,871</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56,140</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4.48</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252,838</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7,062</w:t>
            </w:r>
          </w:p>
        </w:tc>
        <w:tc>
          <w:tcPr>
            <w:tcW w:w="6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9"/>
                <w:szCs w:val="9"/>
                <w:color w:val="auto"/>
              </w:rPr>
              <w:t>2.79</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100"/>
              <w:spacing w:after="0" w:line="101" w:lineRule="exact"/>
              <w:rPr>
                <w:sz w:val="20"/>
                <w:szCs w:val="20"/>
                <w:color w:val="auto"/>
              </w:rPr>
            </w:pPr>
            <w:r>
              <w:rPr>
                <w:rFonts w:ascii="Times New Roman" w:cs="Times New Roman" w:eastAsia="Times New Roman" w:hAnsi="Times New Roman"/>
                <w:sz w:val="9"/>
                <w:szCs w:val="9"/>
                <w:color w:val="auto"/>
              </w:rPr>
              <w:t>Subordinated debt, net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236,738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13,765</w:t>
            </w:r>
          </w:p>
        </w:tc>
        <w:tc>
          <w:tcPr>
            <w:tcW w:w="4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5.81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200,243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10,212</w:t>
            </w: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5.10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217,753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10,616</w:t>
            </w: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4.88</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tcBorders>
              <w:bottom w:val="single" w:sz="8" w:color="CCEEFF"/>
            </w:tcBorders>
            <w:gridSpan w:val="2"/>
          </w:tcPr>
          <w:p>
            <w:pPr>
              <w:ind w:left="100"/>
              <w:spacing w:after="0" w:line="101" w:lineRule="exact"/>
              <w:rPr>
                <w:sz w:val="20"/>
                <w:szCs w:val="20"/>
                <w:color w:val="auto"/>
              </w:rPr>
            </w:pPr>
            <w:r>
              <w:rPr>
                <w:rFonts w:ascii="Times New Roman" w:cs="Times New Roman" w:eastAsia="Times New Roman" w:hAnsi="Times New Roman"/>
                <w:sz w:val="9"/>
                <w:szCs w:val="9"/>
                <w:color w:val="auto"/>
              </w:rPr>
              <w:t>Other short-term borrowings</w:t>
            </w: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189</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w:t>
            </w:r>
          </w:p>
        </w:tc>
        <w:tc>
          <w:tcPr>
            <w:tcW w:w="48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1.59</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3,150</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120</w:t>
            </w:r>
          </w:p>
        </w:tc>
        <w:tc>
          <w:tcPr>
            <w:tcW w:w="460" w:type="dxa"/>
            <w:vAlign w:val="bottom"/>
            <w:tcBorders>
              <w:bottom w:val="single" w:sz="8" w:color="CCEEFF"/>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3.81</w:t>
            </w: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56,030</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1,439</w:t>
            </w:r>
          </w:p>
        </w:tc>
        <w:tc>
          <w:tcPr>
            <w:tcW w:w="62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2.57</w:t>
            </w: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borrowings</w:t>
            </w: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936,867</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41,036</w:t>
            </w:r>
          </w:p>
        </w:tc>
        <w:tc>
          <w:tcPr>
            <w:tcW w:w="48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4.38</w:t>
            </w: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1,455,264</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66,472</w:t>
            </w: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4.57</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526,621</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19,117</w:t>
            </w:r>
          </w:p>
        </w:tc>
        <w:tc>
          <w:tcPr>
            <w:tcW w:w="62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3.63</w:t>
            </w: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tcBorders>
              <w:bottom w:val="single" w:sz="8" w:color="CCEEFF"/>
            </w:tcBorders>
            <w:gridSpan w:val="2"/>
          </w:tcPr>
          <w:p>
            <w:pPr>
              <w:ind w:left="60"/>
              <w:spacing w:after="0" w:line="91" w:lineRule="exact"/>
              <w:rPr>
                <w:sz w:val="20"/>
                <w:szCs w:val="20"/>
                <w:color w:val="auto"/>
              </w:rPr>
            </w:pPr>
            <w:r>
              <w:rPr>
                <w:rFonts w:ascii="Times New Roman" w:cs="Times New Roman" w:eastAsia="Times New Roman" w:hAnsi="Times New Roman"/>
                <w:sz w:val="9"/>
                <w:szCs w:val="9"/>
                <w:color w:val="auto"/>
              </w:rPr>
              <w:t>Derivative cash collateral</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116,567</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6,314</w:t>
            </w:r>
          </w:p>
        </w:tc>
        <w:tc>
          <w:tcPr>
            <w:tcW w:w="480" w:type="dxa"/>
            <w:vAlign w:val="bottom"/>
            <w:tcBorders>
              <w:bottom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5.42</w:t>
            </w:r>
          </w:p>
        </w:tc>
        <w:tc>
          <w:tcPr>
            <w:tcW w:w="1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143,735</w:t>
            </w: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7,272</w:t>
            </w:r>
          </w:p>
        </w:tc>
        <w:tc>
          <w:tcPr>
            <w:tcW w:w="460" w:type="dxa"/>
            <w:vAlign w:val="bottom"/>
            <w:tcBorders>
              <w:bottom w:val="single" w:sz="8" w:color="CCEEFF"/>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5.06</w:t>
            </w: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97,225</w:t>
            </w: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1,812</w:t>
            </w:r>
          </w:p>
        </w:tc>
        <w:tc>
          <w:tcPr>
            <w:tcW w:w="620" w:type="dxa"/>
            <w:vAlign w:val="bottom"/>
            <w:tcBorders>
              <w:bottom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9"/>
                <w:szCs w:val="9"/>
                <w:color w:val="auto"/>
              </w:rPr>
              <w:t>1.86</w:t>
            </w:r>
          </w:p>
        </w:tc>
        <w:tc>
          <w:tcPr>
            <w:tcW w:w="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interest-bearing liabilities</w:t>
            </w: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8,964,189</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332,095</w:t>
            </w:r>
          </w:p>
        </w:tc>
        <w:tc>
          <w:tcPr>
            <w:tcW w:w="620" w:type="dxa"/>
            <w:vAlign w:val="bottom"/>
            <w:gridSpan w:val="3"/>
            <w:shd w:val="clear" w:color="auto" w:fill="CCEEFF"/>
          </w:tcPr>
          <w:p>
            <w:pPr>
              <w:jc w:val="right"/>
              <w:ind w:right="40"/>
              <w:spacing w:after="0" w:line="91" w:lineRule="exact"/>
              <w:rPr>
                <w:sz w:val="20"/>
                <w:szCs w:val="20"/>
                <w:color w:val="auto"/>
              </w:rPr>
            </w:pPr>
            <w:r>
              <w:rPr>
                <w:rFonts w:ascii="Times New Roman" w:cs="Times New Roman" w:eastAsia="Times New Roman" w:hAnsi="Times New Roman"/>
                <w:sz w:val="9"/>
                <w:szCs w:val="9"/>
                <w:b w:val="1"/>
                <w:bCs w:val="1"/>
                <w:color w:val="auto"/>
              </w:rPr>
              <w:t>3.70 %</w:t>
            </w:r>
          </w:p>
        </w:tc>
        <w:tc>
          <w:tcPr>
            <w:tcW w:w="6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9,013,591</w:t>
            </w:r>
          </w:p>
        </w:tc>
        <w:tc>
          <w:tcPr>
            <w:tcW w:w="1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292,789</w:t>
            </w: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3.25</w:t>
            </w:r>
          </w:p>
        </w:tc>
        <w:tc>
          <w:tcPr>
            <w:tcW w:w="140" w:type="dxa"/>
            <w:vAlign w:val="bottom"/>
            <w:gridSpan w:val="2"/>
            <w:shd w:val="clear" w:color="auto" w:fill="CCEEFF"/>
          </w:tcPr>
          <w:p>
            <w:pPr>
              <w:jc w:val="right"/>
              <w:ind w:right="60"/>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7,189,124</w:t>
            </w:r>
          </w:p>
        </w:tc>
        <w:tc>
          <w:tcPr>
            <w:tcW w:w="1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59,362</w:t>
            </w:r>
          </w:p>
        </w:tc>
        <w:tc>
          <w:tcPr>
            <w:tcW w:w="62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0.83</w:t>
            </w:r>
          </w:p>
        </w:tc>
        <w:tc>
          <w:tcPr>
            <w:tcW w:w="200" w:type="dxa"/>
            <w:vAlign w:val="bottom"/>
            <w:gridSpan w:val="2"/>
            <w:shd w:val="clear" w:color="auto" w:fill="CCEEFF"/>
          </w:tcPr>
          <w:p>
            <w:pPr>
              <w:jc w:val="right"/>
              <w:ind w:right="100"/>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7"/>
                <w:szCs w:val="7"/>
                <w:color w:val="auto"/>
              </w:rPr>
              <w:t xml:space="preserve">Non-interest-bearing checking </w:t>
            </w:r>
            <w:r>
              <w:rPr>
                <w:rFonts w:ascii="Times New Roman" w:cs="Times New Roman" w:eastAsia="Times New Roman" w:hAnsi="Times New Roman"/>
                <w:sz w:val="10"/>
                <w:szCs w:val="10"/>
                <w:color w:val="auto"/>
                <w:vertAlign w:val="superscript"/>
              </w:rPr>
              <w:t>(2)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3,140,423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3,126,575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3,890,642</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Other non-interest-bearing liabilities</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230,910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270,033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218,194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2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Total liabilities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12,335,522</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12,410,199</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11,297,960</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ind w:left="160"/>
              <w:spacing w:after="0" w:line="101" w:lineRule="exact"/>
              <w:rPr>
                <w:sz w:val="20"/>
                <w:szCs w:val="20"/>
                <w:color w:val="auto"/>
              </w:rPr>
            </w:pPr>
            <w:r>
              <w:rPr>
                <w:rFonts w:ascii="Times New Roman" w:cs="Times New Roman" w:eastAsia="Times New Roman" w:hAnsi="Times New Roman"/>
                <w:sz w:val="9"/>
                <w:szCs w:val="9"/>
                <w:color w:val="auto"/>
              </w:rPr>
              <w:t>Stockholders' equity</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1,283,267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1,215,016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1,168,802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540" w:type="dxa"/>
            <w:vAlign w:val="bottom"/>
            <w:gridSpan w:val="3"/>
          </w:tcPr>
          <w:p>
            <w:pPr>
              <w:spacing w:after="0" w:line="91" w:lineRule="exact"/>
              <w:rPr>
                <w:sz w:val="20"/>
                <w:szCs w:val="20"/>
                <w:color w:val="auto"/>
              </w:rPr>
            </w:pPr>
            <w:r>
              <w:rPr>
                <w:rFonts w:ascii="Times New Roman" w:cs="Times New Roman" w:eastAsia="Times New Roman" w:hAnsi="Times New Roman"/>
                <w:sz w:val="9"/>
                <w:szCs w:val="9"/>
                <w:color w:val="auto"/>
              </w:rPr>
              <w:t>Total liabilities and stockholders' equity</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13,618,789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13,625,215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12,466,762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Borders>
              <w:top w:val="single" w:sz="8" w:color="CCEEFF"/>
            </w:tcBorders>
            <w:gridSpan w:val="2"/>
            <w:shd w:val="clear" w:color="auto" w:fill="CCEEFF"/>
          </w:tcPr>
          <w:p>
            <w:pPr>
              <w:spacing w:after="0" w:line="61" w:lineRule="exact"/>
              <w:rPr>
                <w:sz w:val="20"/>
                <w:szCs w:val="20"/>
                <w:color w:val="auto"/>
              </w:rPr>
            </w:pPr>
            <w:r>
              <w:rPr>
                <w:rFonts w:ascii="Times New Roman" w:cs="Times New Roman" w:eastAsia="Times New Roman" w:hAnsi="Times New Roman"/>
                <w:sz w:val="7"/>
                <w:szCs w:val="7"/>
                <w:color w:val="auto"/>
              </w:rPr>
              <w:t>Net interest income</w:t>
            </w: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gridSpan w:val="2"/>
            <w:shd w:val="clear" w:color="auto" w:fill="CCEEFF"/>
          </w:tcPr>
          <w:p>
            <w:pPr>
              <w:ind w:left="120"/>
              <w:spacing w:after="0" w:line="61"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Borders>
              <w:top w:val="single" w:sz="8" w:color="CCEEFF"/>
            </w:tcBorders>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b w:val="1"/>
                <w:bCs w:val="1"/>
                <w:color w:val="auto"/>
              </w:rPr>
              <w:t>318,054</w:t>
            </w: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gridSpan w:val="2"/>
            <w:shd w:val="clear" w:color="auto" w:fill="CCEEFF"/>
          </w:tcPr>
          <w:p>
            <w:pPr>
              <w:ind w:left="120"/>
              <w:spacing w:after="0" w:line="61"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Borders>
              <w:top w:val="single" w:sz="8" w:color="CCEEFF"/>
            </w:tcBorders>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316,571</w:t>
            </w: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gridSpan w:val="2"/>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Borders>
              <w:top w:val="single" w:sz="8" w:color="CCEEFF"/>
            </w:tcBorders>
            <w:shd w:val="clear" w:color="auto" w:fill="CCEEFF"/>
          </w:tcPr>
          <w:p>
            <w:pPr>
              <w:jc w:val="right"/>
              <w:spacing w:after="0" w:line="61" w:lineRule="exact"/>
              <w:rPr>
                <w:sz w:val="20"/>
                <w:szCs w:val="20"/>
                <w:color w:val="auto"/>
              </w:rPr>
            </w:pPr>
            <w:r>
              <w:rPr>
                <w:rFonts w:ascii="Times New Roman" w:cs="Times New Roman" w:eastAsia="Times New Roman" w:hAnsi="Times New Roman"/>
                <w:sz w:val="7"/>
                <w:szCs w:val="7"/>
                <w:color w:val="auto"/>
              </w:rPr>
              <w:t>379,863</w:t>
            </w: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bottom w:val="single" w:sz="8" w:color="CCEEFF"/>
            </w:tcBorders>
            <w:gridSpan w:val="2"/>
            <w:vMerge w:val="restart"/>
          </w:tcPr>
          <w:p>
            <w:pPr>
              <w:spacing w:after="0" w:line="111" w:lineRule="exact"/>
              <w:rPr>
                <w:sz w:val="20"/>
                <w:szCs w:val="20"/>
                <w:color w:val="auto"/>
              </w:rPr>
            </w:pPr>
            <w:r>
              <w:rPr>
                <w:rFonts w:ascii="Times New Roman" w:cs="Times New Roman" w:eastAsia="Times New Roman" w:hAnsi="Times New Roman"/>
                <w:sz w:val="8"/>
                <w:szCs w:val="8"/>
                <w:color w:val="auto"/>
              </w:rPr>
              <w:t xml:space="preserve">Net interest rate spread </w:t>
            </w:r>
            <w:r>
              <w:rPr>
                <w:rFonts w:ascii="Times New Roman" w:cs="Times New Roman" w:eastAsia="Times New Roman" w:hAnsi="Times New Roman"/>
                <w:sz w:val="12"/>
                <w:szCs w:val="12"/>
                <w:color w:val="auto"/>
                <w:vertAlign w:val="superscript"/>
              </w:rPr>
              <w:t>(4)</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1.36 %</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Times New Roman" w:cs="Times New Roman" w:eastAsia="Times New Roman" w:hAnsi="Times New Roman"/>
                <w:sz w:val="9"/>
                <w:szCs w:val="9"/>
                <w:color w:val="auto"/>
              </w:rPr>
              <w:t>1.49 %</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4"/>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2.93 %</w:t>
            </w: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Net interest-earning assets</w:t>
            </w:r>
          </w:p>
        </w:tc>
        <w:tc>
          <w:tcPr>
            <w:tcW w:w="220" w:type="dxa"/>
            <w:vAlign w:val="bottom"/>
            <w:gridSpan w:val="2"/>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3,873,227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3,833,647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4,495,377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bottom w:val="single" w:sz="8" w:color="CCEEFF"/>
            </w:tcBorders>
            <w:gridSpan w:val="2"/>
            <w:vMerge w:val="restart"/>
          </w:tcPr>
          <w:p>
            <w:pPr>
              <w:spacing w:after="0" w:line="111" w:lineRule="exact"/>
              <w:rPr>
                <w:sz w:val="20"/>
                <w:szCs w:val="20"/>
                <w:color w:val="auto"/>
              </w:rPr>
            </w:pPr>
            <w:r>
              <w:rPr>
                <w:rFonts w:ascii="Times New Roman" w:cs="Times New Roman" w:eastAsia="Times New Roman" w:hAnsi="Times New Roman"/>
                <w:sz w:val="8"/>
                <w:szCs w:val="8"/>
                <w:color w:val="auto"/>
              </w:rPr>
              <w:t xml:space="preserve">Net interest margin </w:t>
            </w:r>
            <w:r>
              <w:rPr>
                <w:rFonts w:ascii="Times New Roman" w:cs="Times New Roman" w:eastAsia="Times New Roman" w:hAnsi="Times New Roman"/>
                <w:sz w:val="12"/>
                <w:szCs w:val="12"/>
                <w:color w:val="auto"/>
                <w:vertAlign w:val="superscript"/>
              </w:rPr>
              <w:t>(5)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2.48 %</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Times New Roman" w:cs="Times New Roman" w:eastAsia="Times New Roman" w:hAnsi="Times New Roman"/>
                <w:sz w:val="9"/>
                <w:szCs w:val="9"/>
                <w:color w:val="auto"/>
              </w:rPr>
              <w:t>2.46 %</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4"/>
            <w:vMerge w:val="restart"/>
          </w:tcPr>
          <w:p>
            <w:pPr>
              <w:jc w:val="right"/>
              <w:ind w:right="100"/>
              <w:spacing w:after="0"/>
              <w:rPr>
                <w:sz w:val="20"/>
                <w:szCs w:val="20"/>
                <w:color w:val="auto"/>
              </w:rPr>
            </w:pPr>
            <w:r>
              <w:rPr>
                <w:rFonts w:ascii="Times New Roman" w:cs="Times New Roman" w:eastAsia="Times New Roman" w:hAnsi="Times New Roman"/>
                <w:sz w:val="9"/>
                <w:szCs w:val="9"/>
                <w:color w:val="auto"/>
              </w:rPr>
              <w:t>3.25 %</w:t>
            </w: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Ratio of interest-earning assets to interest-bearing liabilities</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40"/>
              <w:spacing w:after="0" w:line="101" w:lineRule="exact"/>
              <w:rPr>
                <w:sz w:val="20"/>
                <w:szCs w:val="20"/>
                <w:color w:val="auto"/>
              </w:rPr>
            </w:pPr>
            <w:r>
              <w:rPr>
                <w:rFonts w:ascii="Times New Roman" w:cs="Times New Roman" w:eastAsia="Times New Roman" w:hAnsi="Times New Roman"/>
                <w:sz w:val="9"/>
                <w:szCs w:val="9"/>
                <w:b w:val="1"/>
                <w:bCs w:val="1"/>
                <w:color w:val="auto"/>
              </w:rPr>
              <w:t>143.21 %</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142.53</w:t>
            </w:r>
          </w:p>
        </w:tc>
        <w:tc>
          <w:tcPr>
            <w:tcW w:w="140" w:type="dxa"/>
            <w:vAlign w:val="bottom"/>
            <w:gridSpan w:val="2"/>
            <w:shd w:val="clear" w:color="auto" w:fill="CCEEFF"/>
          </w:tcPr>
          <w:p>
            <w:pPr>
              <w:jc w:val="right"/>
              <w:ind w:right="60"/>
              <w:spacing w:after="0" w:line="101" w:lineRule="exact"/>
              <w:rPr>
                <w:sz w:val="20"/>
                <w:szCs w:val="20"/>
                <w:color w:val="auto"/>
              </w:rPr>
            </w:pPr>
            <w:r>
              <w:rPr>
                <w:rFonts w:ascii="Times New Roman" w:cs="Times New Roman" w:eastAsia="Times New Roman" w:hAnsi="Times New Roman"/>
                <w:sz w:val="9"/>
                <w:szCs w:val="9"/>
                <w:color w:val="auto"/>
                <w:w w:val="79"/>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162.53</w:t>
            </w:r>
          </w:p>
        </w:tc>
        <w:tc>
          <w:tcPr>
            <w:tcW w:w="200" w:type="dxa"/>
            <w:vAlign w:val="bottom"/>
            <w:gridSpan w:val="2"/>
            <w:shd w:val="clear" w:color="auto" w:fill="CCEEFF"/>
          </w:tcPr>
          <w:p>
            <w:pPr>
              <w:jc w:val="right"/>
              <w:ind w:right="100"/>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20" w:type="dxa"/>
            <w:vAlign w:val="bottom"/>
            <w:gridSpan w:val="2"/>
          </w:tcPr>
          <w:p>
            <w:pPr>
              <w:spacing w:after="0" w:line="101" w:lineRule="exact"/>
              <w:rPr>
                <w:sz w:val="20"/>
                <w:szCs w:val="20"/>
                <w:color w:val="auto"/>
              </w:rPr>
            </w:pPr>
            <w:r>
              <w:rPr>
                <w:rFonts w:ascii="Times New Roman" w:cs="Times New Roman" w:eastAsia="Times New Roman" w:hAnsi="Times New Roman"/>
                <w:sz w:val="8"/>
                <w:szCs w:val="8"/>
                <w:color w:val="auto"/>
              </w:rPr>
              <w:t xml:space="preserve">Deposits (including non-interest-bearing checking accounts) </w:t>
            </w:r>
            <w:r>
              <w:rPr>
                <w:rFonts w:ascii="Times New Roman" w:cs="Times New Roman" w:eastAsia="Times New Roman" w:hAnsi="Times New Roman"/>
                <w:sz w:val="11"/>
                <w:szCs w:val="11"/>
                <w:color w:val="auto"/>
                <w:vertAlign w:val="superscript"/>
              </w:rPr>
              <w:t>(2)</w:t>
            </w:r>
          </w:p>
        </w:tc>
        <w:tc>
          <w:tcPr>
            <w:tcW w:w="220" w:type="dxa"/>
            <w:vAlign w:val="bottom"/>
            <w:gridSpan w:val="2"/>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11,051,178</w:t>
            </w:r>
          </w:p>
        </w:tc>
        <w:tc>
          <w:tcPr>
            <w:tcW w:w="200" w:type="dxa"/>
            <w:vAlign w:val="bottom"/>
            <w:gridSpan w:val="2"/>
          </w:tcPr>
          <w:p>
            <w:pPr>
              <w:ind w:left="12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284,745</w:t>
            </w:r>
          </w:p>
        </w:tc>
        <w:tc>
          <w:tcPr>
            <w:tcW w:w="620" w:type="dxa"/>
            <w:vAlign w:val="bottom"/>
            <w:gridSpan w:val="3"/>
          </w:tcPr>
          <w:p>
            <w:pPr>
              <w:jc w:val="right"/>
              <w:ind w:right="40"/>
              <w:spacing w:after="0" w:line="101" w:lineRule="exact"/>
              <w:rPr>
                <w:sz w:val="20"/>
                <w:szCs w:val="20"/>
                <w:color w:val="auto"/>
              </w:rPr>
            </w:pPr>
            <w:r>
              <w:rPr>
                <w:rFonts w:ascii="Times New Roman" w:cs="Times New Roman" w:eastAsia="Times New Roman" w:hAnsi="Times New Roman"/>
                <w:sz w:val="9"/>
                <w:szCs w:val="9"/>
                <w:b w:val="1"/>
                <w:bCs w:val="1"/>
                <w:color w:val="auto"/>
              </w:rPr>
              <w:t>2.58 %</w:t>
            </w:r>
          </w:p>
        </w:tc>
        <w:tc>
          <w:tcPr>
            <w:tcW w:w="18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10,541,167</w:t>
            </w:r>
          </w:p>
        </w:tc>
        <w:tc>
          <w:tcPr>
            <w:tcW w:w="200" w:type="dxa"/>
            <w:vAlign w:val="bottom"/>
            <w:gridSpan w:val="2"/>
          </w:tcPr>
          <w:p>
            <w:pPr>
              <w:ind w:left="120"/>
              <w:spacing w:after="0" w:line="10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219,045</w:t>
            </w:r>
          </w:p>
        </w:tc>
        <w:tc>
          <w:tcPr>
            <w:tcW w:w="600" w:type="dxa"/>
            <w:vAlign w:val="bottom"/>
            <w:gridSpan w:val="3"/>
          </w:tcPr>
          <w:p>
            <w:pPr>
              <w:jc w:val="right"/>
              <w:ind w:right="60"/>
              <w:spacing w:after="0" w:line="101" w:lineRule="exact"/>
              <w:rPr>
                <w:sz w:val="20"/>
                <w:szCs w:val="20"/>
                <w:color w:val="auto"/>
              </w:rPr>
            </w:pPr>
            <w:r>
              <w:rPr>
                <w:rFonts w:ascii="Times New Roman" w:cs="Times New Roman" w:eastAsia="Times New Roman" w:hAnsi="Times New Roman"/>
                <w:sz w:val="9"/>
                <w:szCs w:val="9"/>
                <w:color w:val="auto"/>
              </w:rPr>
              <w:t>2.08 %</w:t>
            </w:r>
          </w:p>
        </w:tc>
        <w:tc>
          <w:tcPr>
            <w:tcW w:w="16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10,455,920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38,433</w:t>
            </w:r>
          </w:p>
        </w:tc>
        <w:tc>
          <w:tcPr>
            <w:tcW w:w="820" w:type="dxa"/>
            <w:vAlign w:val="bottom"/>
            <w:gridSpan w:val="4"/>
          </w:tcPr>
          <w:p>
            <w:pPr>
              <w:jc w:val="right"/>
              <w:ind w:right="100"/>
              <w:spacing w:after="0" w:line="101" w:lineRule="exact"/>
              <w:rPr>
                <w:sz w:val="20"/>
                <w:szCs w:val="20"/>
                <w:color w:val="auto"/>
              </w:rPr>
            </w:pPr>
            <w:r>
              <w:rPr>
                <w:rFonts w:ascii="Times New Roman" w:cs="Times New Roman" w:eastAsia="Times New Roman" w:hAnsi="Times New Roman"/>
                <w:sz w:val="9"/>
                <w:szCs w:val="9"/>
                <w:color w:val="auto"/>
              </w:rPr>
              <w:t>0.37 %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Business loans include commercial and industrial loans (“C&amp;I”), owner-occupied commercial real estate loans and SBA Paycheck Protection Program (“PPP”) loans.</w:t>
      </w:r>
    </w:p>
    <w:p>
      <w:pPr>
        <w:spacing w:after="0" w:line="8"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mortgage escrow deposits.</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Amounts are net of deferred origination costs/(fees) and allowance for credit losses, and include loans held for sale.</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Net interest rate spread represents the difference between the yield on average interest-earning assets and the cost of average interest-bearing liabilities.</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Net interest margin represents net interest income divided by average interest-earning assets.</w:t>
      </w:r>
    </w:p>
    <w:p>
      <w:pPr>
        <w:spacing w:after="0" w:line="7" w:lineRule="exact"/>
        <w:rPr>
          <w:rFonts w:ascii="Times New Roman" w:cs="Times New Roman" w:eastAsia="Times New Roman" w:hAnsi="Times New Roman"/>
          <w:sz w:val="16"/>
          <w:szCs w:val="16"/>
          <w:color w:val="auto"/>
          <w:vertAlign w:val="superscript"/>
        </w:rPr>
      </w:pPr>
    </w:p>
    <w:p>
      <w:pPr>
        <w:ind w:left="280" w:right="59" w:hanging="251"/>
        <w:spacing w:after="0" w:line="195" w:lineRule="auto"/>
        <w:tabs>
          <w:tab w:leader="none" w:pos="2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At December 31, 2024 and 2023, the loan portfolio included a fair value hedge basis point adjustment to the carrying amount of hedged one-to-four family residential mortgage loans, multifamily residential mortgage loans and CRE loans</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Rate/Volume Analysis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Years Ended December 31,</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r>
        <w:trPr>
          <w:trHeight w:val="82"/>
        </w:trPr>
        <w:tc>
          <w:tcPr>
            <w:tcW w:w="2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gridSpan w:val="4"/>
          </w:tcPr>
          <w:p>
            <w:pPr>
              <w:jc w:val="center"/>
              <w:ind w:left="32"/>
              <w:spacing w:after="0" w:line="82" w:lineRule="exact"/>
              <w:rPr>
                <w:sz w:val="20"/>
                <w:szCs w:val="20"/>
                <w:color w:val="auto"/>
              </w:rPr>
            </w:pPr>
            <w:r>
              <w:rPr>
                <w:rFonts w:ascii="Times New Roman" w:cs="Times New Roman" w:eastAsia="Times New Roman" w:hAnsi="Times New Roman"/>
                <w:sz w:val="9"/>
                <w:szCs w:val="9"/>
                <w:b w:val="1"/>
                <w:bCs w:val="1"/>
                <w:color w:val="auto"/>
              </w:rPr>
              <w:t>2024 over 2023</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3"/>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2023 over 2022</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130"/>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7"/>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6"/>
              </w:rPr>
              <w:t>Increase/(Decrease) Due to</w:t>
            </w: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7"/>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6"/>
              </w:rPr>
              <w:t>Increase/(Decrease) Due to</w:t>
            </w:r>
          </w:p>
        </w:tc>
        <w:tc>
          <w:tcPr>
            <w:tcW w:w="480" w:type="dxa"/>
            <w:vAlign w:val="bottom"/>
            <w:tcBorders>
              <w:bottom w:val="single" w:sz="8" w:color="auto"/>
            </w:tcBorders>
          </w:tcPr>
          <w:p>
            <w:pPr>
              <w:spacing w:after="0"/>
              <w:rPr>
                <w:sz w:val="11"/>
                <w:szCs w:val="11"/>
                <w:color w:val="auto"/>
              </w:rPr>
            </w:pPr>
          </w:p>
        </w:tc>
      </w:tr>
      <w:tr>
        <w:trPr>
          <w:trHeight w:val="101"/>
        </w:trPr>
        <w:tc>
          <w:tcPr>
            <w:tcW w:w="2240" w:type="dxa"/>
            <w:vAlign w:val="bottom"/>
            <w:tcBorders>
              <w:bottom w:val="single" w:sz="8" w:color="CCEEFF"/>
            </w:tcBorders>
          </w:tcPr>
          <w:p>
            <w:pPr>
              <w:spacing w:after="0"/>
              <w:rPr>
                <w:sz w:val="8"/>
                <w:szCs w:val="8"/>
                <w:color w:val="auto"/>
              </w:rPr>
            </w:pPr>
          </w:p>
        </w:tc>
        <w:tc>
          <w:tcPr>
            <w:tcW w:w="12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86"/>
              <w:spacing w:after="0" w:line="101" w:lineRule="exact"/>
              <w:rPr>
                <w:sz w:val="20"/>
                <w:szCs w:val="20"/>
                <w:color w:val="auto"/>
              </w:rPr>
            </w:pPr>
            <w:r>
              <w:rPr>
                <w:rFonts w:ascii="Times New Roman" w:cs="Times New Roman" w:eastAsia="Times New Roman" w:hAnsi="Times New Roman"/>
                <w:sz w:val="11"/>
                <w:szCs w:val="11"/>
                <w:b w:val="1"/>
                <w:bCs w:val="1"/>
                <w:color w:val="auto"/>
                <w:w w:val="98"/>
              </w:rPr>
              <w:t>Volume</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center"/>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99"/>
              </w:rPr>
              <w:t>Rate</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7"/>
              <w:spacing w:after="0" w:line="10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98"/>
              </w:rPr>
              <w:t>Volume</w:t>
            </w:r>
          </w:p>
        </w:tc>
        <w:tc>
          <w:tcPr>
            <w:tcW w:w="1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rPr>
              <w:t>Rate</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6"/>
              <w:spacing w:after="0" w:line="101"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91"/>
        </w:trPr>
        <w:tc>
          <w:tcPr>
            <w:tcW w:w="34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Interest-earning assets:</w:t>
            </w: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gridSpan w:val="4"/>
            <w:shd w:val="clear" w:color="auto" w:fill="CCEEFF"/>
          </w:tcPr>
          <w:p>
            <w:pPr>
              <w:jc w:val="right"/>
              <w:ind w:right="326"/>
              <w:spacing w:after="0" w:line="91" w:lineRule="exact"/>
              <w:rPr>
                <w:sz w:val="20"/>
                <w:szCs w:val="20"/>
                <w:color w:val="auto"/>
              </w:rPr>
            </w:pPr>
            <w:r>
              <w:rPr>
                <w:rFonts w:ascii="Times New Roman" w:cs="Times New Roman" w:eastAsia="Times New Roman" w:hAnsi="Times New Roman"/>
                <w:sz w:val="10"/>
                <w:szCs w:val="10"/>
                <w:color w:val="auto"/>
              </w:rPr>
              <w:t>(In thousands)</w:t>
            </w: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r>
      <w:tr>
        <w:trPr>
          <w:trHeight w:val="111"/>
        </w:trPr>
        <w:tc>
          <w:tcPr>
            <w:tcW w:w="344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2"/>
                <w:szCs w:val="12"/>
                <w:color w:val="auto"/>
                <w:vertAlign w:val="superscript"/>
              </w:rPr>
              <w:t>(1) (2)</w:t>
            </w:r>
          </w:p>
        </w:tc>
        <w:tc>
          <w:tcPr>
            <w:tcW w:w="92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17,341</w:t>
            </w:r>
          </w:p>
        </w:tc>
        <w:tc>
          <w:tcPr>
            <w:tcW w:w="280" w:type="dxa"/>
            <w:vAlign w:val="bottom"/>
            <w:gridSpan w:val="2"/>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10,733</w:t>
            </w:r>
          </w:p>
        </w:tc>
        <w:tc>
          <w:tcPr>
            <w:tcW w:w="100" w:type="dxa"/>
            <w:vAlign w:val="bottom"/>
          </w:tcPr>
          <w:p>
            <w:pPr>
              <w:spacing w:after="0"/>
              <w:rPr>
                <w:sz w:val="9"/>
                <w:szCs w:val="9"/>
                <w:color w:val="auto"/>
              </w:rPr>
            </w:pPr>
          </w:p>
        </w:tc>
        <w:tc>
          <w:tcPr>
            <w:tcW w:w="220" w:type="dxa"/>
            <w:vAlign w:val="bottom"/>
            <w:gridSpan w:val="2"/>
          </w:tcPr>
          <w:p>
            <w:pPr>
              <w:jc w:val="right"/>
              <w:ind w:right="93"/>
              <w:spacing w:after="0" w:line="111"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28,074</w:t>
            </w:r>
          </w:p>
        </w:tc>
        <w:tc>
          <w:tcPr>
            <w:tcW w:w="360" w:type="dxa"/>
            <w:vAlign w:val="bottom"/>
            <w:gridSpan w:val="2"/>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13,860</w:t>
            </w:r>
          </w:p>
        </w:tc>
        <w:tc>
          <w:tcPr>
            <w:tcW w:w="300" w:type="dxa"/>
            <w:vAlign w:val="bottom"/>
            <w:gridSpan w:val="2"/>
          </w:tcPr>
          <w:p>
            <w:pPr>
              <w:jc w:val="right"/>
              <w:ind w:right="65"/>
              <w:spacing w:after="0" w:line="111"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34,374</w:t>
            </w:r>
          </w:p>
        </w:tc>
        <w:tc>
          <w:tcPr>
            <w:tcW w:w="100" w:type="dxa"/>
            <w:vAlign w:val="bottom"/>
          </w:tcPr>
          <w:p>
            <w:pPr>
              <w:spacing w:after="0"/>
              <w:rPr>
                <w:sz w:val="9"/>
                <w:szCs w:val="9"/>
                <w:color w:val="auto"/>
              </w:rPr>
            </w:pPr>
          </w:p>
        </w:tc>
        <w:tc>
          <w:tcPr>
            <w:tcW w:w="260" w:type="dxa"/>
            <w:vAlign w:val="bottom"/>
            <w:gridSpan w:val="2"/>
          </w:tcPr>
          <w:p>
            <w:pPr>
              <w:jc w:val="right"/>
              <w:ind w:right="133"/>
              <w:spacing w:after="0" w:line="111"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48,234</w:t>
            </w:r>
          </w:p>
        </w:tc>
      </w:tr>
      <w:tr>
        <w:trPr>
          <w:trHeight w:val="111"/>
        </w:trPr>
        <w:tc>
          <w:tcPr>
            <w:tcW w:w="344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One-to-four family residential, including condo and coop</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2,724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3,951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6,675</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5,510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4,933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10,443</w:t>
            </w:r>
          </w:p>
        </w:tc>
      </w:tr>
      <w:tr>
        <w:trPr>
          <w:trHeight w:val="111"/>
        </w:trPr>
        <w:tc>
          <w:tcPr>
            <w:tcW w:w="344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(7,700)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9,150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1,450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17,323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23,401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40,724</w:t>
            </w:r>
          </w:p>
        </w:tc>
      </w:tr>
      <w:tr>
        <w:trPr>
          <w:trHeight w:val="111"/>
        </w:trPr>
        <w:tc>
          <w:tcPr>
            <w:tcW w:w="344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(1,620)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7,318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5,698</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13,007</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32,809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45,816</w:t>
            </w:r>
          </w:p>
        </w:tc>
      </w:tr>
      <w:tr>
        <w:trPr>
          <w:trHeight w:val="111"/>
        </w:trPr>
        <w:tc>
          <w:tcPr>
            <w:tcW w:w="344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(5,335)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(5,720)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(4,970)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7,874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2,904</w:t>
            </w:r>
          </w:p>
        </w:tc>
      </w:tr>
      <w:tr>
        <w:trPr>
          <w:trHeight w:val="111"/>
        </w:trPr>
        <w:tc>
          <w:tcPr>
            <w:tcW w:w="344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(173)</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(286)</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(234)</w:t>
            </w:r>
          </w:p>
        </w:tc>
      </w:tr>
      <w:tr>
        <w:trPr>
          <w:trHeight w:val="111"/>
        </w:trPr>
        <w:tc>
          <w:tcPr>
            <w:tcW w:w="344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Securities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(2,574)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3,958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1,384</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(877)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3,832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2,955</w:t>
            </w:r>
          </w:p>
        </w:tc>
      </w:tr>
      <w:tr>
        <w:trPr>
          <w:trHeight w:val="111"/>
        </w:trPr>
        <w:tc>
          <w:tcPr>
            <w:tcW w:w="344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Other short-term investments</w:t>
            </w:r>
          </w:p>
        </w:tc>
        <w:tc>
          <w:tcPr>
            <w:tcW w:w="8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2,965</w:t>
            </w: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436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3,401</w:t>
            </w:r>
          </w:p>
        </w:tc>
        <w:tc>
          <w:tcPr>
            <w:tcW w:w="2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6,297</w:t>
            </w: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12,996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19,293</w:t>
            </w:r>
          </w:p>
        </w:tc>
      </w:tr>
      <w:tr>
        <w:trPr>
          <w:trHeight w:val="101"/>
        </w:trPr>
        <w:tc>
          <w:tcPr>
            <w:tcW w:w="3440" w:type="dxa"/>
            <w:vAlign w:val="bottom"/>
            <w:tcBorders>
              <w:bottom w:val="single" w:sz="8" w:color="CCEEFF"/>
            </w:tcBorders>
            <w:gridSpan w:val="2"/>
          </w:tcPr>
          <w:p>
            <w:pPr>
              <w:ind w:left="260"/>
              <w:spacing w:after="0" w:line="101" w:lineRule="exact"/>
              <w:rPr>
                <w:sz w:val="20"/>
                <w:szCs w:val="20"/>
                <w:color w:val="auto"/>
              </w:rPr>
            </w:pPr>
            <w:r>
              <w:rPr>
                <w:rFonts w:ascii="Times New Roman" w:cs="Times New Roman" w:eastAsia="Times New Roman" w:hAnsi="Times New Roman"/>
                <w:sz w:val="11"/>
                <w:szCs w:val="11"/>
                <w:color w:val="auto"/>
              </w:rPr>
              <w:t>Total interest-earning assets</w:t>
            </w:r>
          </w:p>
        </w:tc>
        <w:tc>
          <w:tcPr>
            <w:tcW w:w="8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5,725</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35,064</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40,789</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49,864</w:t>
            </w:r>
          </w:p>
        </w:tc>
        <w:tc>
          <w:tcPr>
            <w:tcW w:w="1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120,271</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170,135</w:t>
            </w:r>
          </w:p>
        </w:tc>
      </w:tr>
      <w:tr>
        <w:trPr>
          <w:trHeight w:val="101"/>
        </w:trPr>
        <w:tc>
          <w:tcPr>
            <w:tcW w:w="34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Interest-bearing liabilities:</w:t>
            </w: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r>
      <w:tr>
        <w:trPr>
          <w:trHeight w:val="111"/>
        </w:trPr>
        <w:tc>
          <w:tcPr>
            <w:tcW w:w="344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1"/>
                <w:szCs w:val="11"/>
                <w:color w:val="auto"/>
              </w:rPr>
              <w:t>Interest-bearing checking</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(616)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4,526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3,910</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(527)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5,974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5,447</w:t>
            </w:r>
          </w:p>
        </w:tc>
      </w:tr>
      <w:tr>
        <w:trPr>
          <w:trHeight w:val="111"/>
        </w:trPr>
        <w:tc>
          <w:tcPr>
            <w:tcW w:w="3440" w:type="dxa"/>
            <w:vAlign w:val="bottom"/>
            <w:gridSpan w:val="2"/>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Money market</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25,275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25,142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50,417</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(1,364)</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74,435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73,071</w:t>
            </w:r>
          </w:p>
        </w:tc>
      </w:tr>
      <w:tr>
        <w:trPr>
          <w:trHeight w:val="111"/>
        </w:trPr>
        <w:tc>
          <w:tcPr>
            <w:tcW w:w="344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1"/>
                <w:szCs w:val="11"/>
                <w:color w:val="auto"/>
              </w:rPr>
              <w:t>Savings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(4,648)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11,617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6,969</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10,080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47,284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57,364</w:t>
            </w:r>
          </w:p>
        </w:tc>
      </w:tr>
      <w:tr>
        <w:trPr>
          <w:trHeight w:val="111"/>
        </w:trPr>
        <w:tc>
          <w:tcPr>
            <w:tcW w:w="3440" w:type="dxa"/>
            <w:vAlign w:val="bottom"/>
            <w:gridSpan w:val="2"/>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CDs</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8,110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4,404</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11,909</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32,821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44,730</w:t>
            </w:r>
          </w:p>
        </w:tc>
      </w:tr>
      <w:tr>
        <w:trPr>
          <w:trHeight w:val="111"/>
        </w:trPr>
        <w:tc>
          <w:tcPr>
            <w:tcW w:w="344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1"/>
                <w:szCs w:val="11"/>
                <w:color w:val="auto"/>
              </w:rPr>
              <w:t>FHLBNY advances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(23,169)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(5,703)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(28,872)</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36,339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12,739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49,078</w:t>
            </w:r>
          </w:p>
        </w:tc>
      </w:tr>
      <w:tr>
        <w:trPr>
          <w:trHeight w:val="111"/>
        </w:trPr>
        <w:tc>
          <w:tcPr>
            <w:tcW w:w="3440" w:type="dxa"/>
            <w:vAlign w:val="bottom"/>
            <w:gridSpan w:val="2"/>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Subordinated debt, net</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1,996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1,557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3,553</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(869)</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465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(404)</w:t>
            </w:r>
          </w:p>
        </w:tc>
      </w:tr>
      <w:tr>
        <w:trPr>
          <w:trHeight w:val="111"/>
        </w:trPr>
        <w:tc>
          <w:tcPr>
            <w:tcW w:w="344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1"/>
                <w:szCs w:val="11"/>
                <w:color w:val="auto"/>
              </w:rPr>
              <w:t>Other short-term borrowings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(117)</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(1,687)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368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(1,319)</w:t>
            </w:r>
          </w:p>
        </w:tc>
      </w:tr>
      <w:tr>
        <w:trPr>
          <w:trHeight w:val="111"/>
        </w:trPr>
        <w:tc>
          <w:tcPr>
            <w:tcW w:w="3440" w:type="dxa"/>
            <w:vAlign w:val="bottom"/>
            <w:gridSpan w:val="2"/>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Derivative cash collateral</w:t>
            </w:r>
          </w:p>
        </w:tc>
        <w:tc>
          <w:tcPr>
            <w:tcW w:w="8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(1,425)</w:t>
            </w: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(958)</w:t>
            </w:r>
          </w:p>
        </w:tc>
        <w:tc>
          <w:tcPr>
            <w:tcW w:w="2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1,607</w:t>
            </w: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3,853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5,460</w:t>
            </w:r>
          </w:p>
        </w:tc>
      </w:tr>
      <w:tr>
        <w:trPr>
          <w:trHeight w:val="101"/>
        </w:trPr>
        <w:tc>
          <w:tcPr>
            <w:tcW w:w="3440" w:type="dxa"/>
            <w:vAlign w:val="bottom"/>
            <w:tcBorders>
              <w:bottom w:val="single" w:sz="8" w:color="CCEEFF"/>
            </w:tcBorders>
            <w:gridSpan w:val="2"/>
          </w:tcPr>
          <w:p>
            <w:pPr>
              <w:ind w:left="260"/>
              <w:spacing w:after="0" w:line="101" w:lineRule="exact"/>
              <w:rPr>
                <w:sz w:val="20"/>
                <w:szCs w:val="20"/>
                <w:color w:val="auto"/>
              </w:rPr>
            </w:pPr>
            <w:r>
              <w:rPr>
                <w:rFonts w:ascii="Times New Roman" w:cs="Times New Roman" w:eastAsia="Times New Roman" w:hAnsi="Times New Roman"/>
                <w:sz w:val="11"/>
                <w:szCs w:val="11"/>
                <w:color w:val="auto"/>
              </w:rPr>
              <w:t>Total interest-bearing liabilities</w:t>
            </w:r>
          </w:p>
        </w:tc>
        <w:tc>
          <w:tcPr>
            <w:tcW w:w="8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(6,373)</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45,679</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39,306</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55,488</w:t>
            </w:r>
          </w:p>
        </w:tc>
        <w:tc>
          <w:tcPr>
            <w:tcW w:w="1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177,939</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233,427</w:t>
            </w:r>
          </w:p>
        </w:tc>
      </w:tr>
      <w:tr>
        <w:trPr>
          <w:trHeight w:val="101"/>
        </w:trPr>
        <w:tc>
          <w:tcPr>
            <w:tcW w:w="344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Net change in net interest income</w:t>
            </w:r>
          </w:p>
        </w:tc>
        <w:tc>
          <w:tcPr>
            <w:tcW w:w="8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12,098</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(10,615)</w:t>
            </w: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1,483</w:t>
            </w:r>
          </w:p>
        </w:tc>
        <w:tc>
          <w:tcPr>
            <w:tcW w:w="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(5,624)</w:t>
            </w:r>
          </w:p>
        </w:tc>
        <w:tc>
          <w:tcPr>
            <w:tcW w:w="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(57,668)</w:t>
            </w: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(63,292)</w:t>
            </w:r>
          </w:p>
        </w:tc>
      </w:tr>
      <w:tr>
        <w:trPr>
          <w:trHeight w:val="20"/>
        </w:trPr>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r>
    </w:tbl>
    <w:p>
      <w:pPr>
        <w:ind w:left="280" w:hanging="251"/>
        <w:spacing w:after="0" w:line="216" w:lineRule="auto"/>
        <w:tabs>
          <w:tab w:leader="none" w:pos="28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Business loans include C&amp;I loans, owner-occupied commercial real estate loans and PPP loans.</w:t>
      </w:r>
    </w:p>
    <w:p>
      <w:pPr>
        <w:spacing w:after="0" w:line="17" w:lineRule="exact"/>
        <w:rPr>
          <w:rFonts w:ascii="Times New Roman" w:cs="Times New Roman" w:eastAsia="Times New Roman" w:hAnsi="Times New Roman"/>
          <w:sz w:val="20"/>
          <w:szCs w:val="20"/>
          <w:color w:val="auto"/>
          <w:vertAlign w:val="superscript"/>
        </w:rPr>
      </w:pPr>
    </w:p>
    <w:p>
      <w:pPr>
        <w:ind w:left="280" w:hanging="251"/>
        <w:spacing w:after="0" w:line="181" w:lineRule="auto"/>
        <w:tabs>
          <w:tab w:leader="none" w:pos="28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Amounts are net of deferred origination costs/(fees) and allowance for credit losses, and include loans held for sale.</w:t>
      </w:r>
    </w:p>
    <w:p>
      <w:pPr>
        <w:spacing w:after="0" w:line="147" w:lineRule="exact"/>
        <w:rPr>
          <w:sz w:val="20"/>
          <w:szCs w:val="20"/>
          <w:color w:val="auto"/>
        </w:rPr>
      </w:pPr>
    </w:p>
    <w:p>
      <w:pPr>
        <w:jc w:val="both"/>
        <w:ind w:left="20" w:right="59"/>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Net Interest Income. </w:t>
      </w:r>
      <w:r>
        <w:rPr>
          <w:rFonts w:ascii="Times New Roman" w:cs="Times New Roman" w:eastAsia="Times New Roman" w:hAnsi="Times New Roman"/>
          <w:sz w:val="13"/>
          <w:szCs w:val="13"/>
          <w:color w:val="auto"/>
        </w:rPr>
        <w:t>Net interest income was $318.1 million in 2024, $316.6 million in 2023, and $379.9 million in 2022. Average interest-earning assets were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$12.84 billion in 2024, $12.85 billion in 2023 and $11.68 billion in 2022. Net interest margin was 2.48% in 2024, 2.46% in 2023, and 3.25% in 2022.</w:t>
      </w:r>
    </w:p>
    <w:p>
      <w:pPr>
        <w:spacing w:after="0" w:line="110"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Interest income was $650.1 million in 2024, $609.4 million in 2023, and $439.2 million in 2022. During 2024, interest income increased $40.7</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million from 2023, primarily reflecting increases in interest income of $28.1 million on business loans, $6.7 million on one-to-four family loans, $5.7 million on non-owner-occupied CRE loans, $3.4 million on other short-term investments, $1.5 million on multifamily loans, and $1.4 million in securities. The increased interest income on business loans was primarily due to an increase of $254.5 million in the average balances of business loans and a 45-basis point increase in yield of such loans in the period. The increased interest income on one-to-four family loans was primarily due to a 45-basis point increase in the yield of one-to four family loans and an increase of $62.4 million in the average balances of such loans in the period. The increased interest income on non-owner-occupied CRE loans was primarily due to a 22-basis point increase in yield of non-owner-occupied CRE loans, offset by a decrease of $30.5 million in the average balances of such loans in the period. The increased interest income from short-term investments was primarily due to an increase of $57.1 million in the average balances of short-term investments and a 9-basis point increase in yield of such investments in the period. The increased interest income on multifamily loans was primarily due to a 23-basis point increase in yield of multifamily loans, offset by a decrease of $168.9 million in the average balances of such loans in the period. The increased interest income on securities was primarily due to a 25-basis point increase in yield of securities, offset by a decrease of $124.1 million in the average balances of such securities in the period. During 2023, interest income increased $170.2 million from 2022, primarily reflecting increases in interest income of $48.2 million on business loans, $45.8 million on non-owner occupied CRE loans, $40.7 million on multifamily loans and $19.3 million on short-term investments. The increased interest income on business loans was primarily due to an increase of $240.2 million in the average balances of business loans and a 162-basis point increase in the yield of such loans. The increased interest income on non-owner occupied CRE loans was primarily due to an increase of $282.0 million in the average balances of non-owner occupied CRE loans and a 102-basis point increase in the yield of such loans. The increased interest income on multifamily loans was primarily due to an increase of $420.4 million in the average balances of multifamily loans and a 60-basis point increase in the yield of such loans. The increased interest income from short-term investments was primarily due to an increase of $193.8 million in the average balances of short-term investments and a 376-basis point increase in the yield of such investments.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jc w:val="both"/>
        <w:ind w:left="20" w:right="3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Interest Expense. </w:t>
      </w:r>
      <w:r>
        <w:rPr>
          <w:rFonts w:ascii="Times New Roman" w:cs="Times New Roman" w:eastAsia="Times New Roman" w:hAnsi="Times New Roman"/>
          <w:sz w:val="13"/>
          <w:szCs w:val="13"/>
          <w:color w:val="auto"/>
        </w:rPr>
        <w:t>Interest expense was $332.1 million in 2024, $292.8 million in 2023, and $59.4 million in 2022. During 2024, interest expense increased $39.3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million from 2023, primarily reflecting increases in interest expense of $50.4 million on money market accounts, $7.0 million on savings accounts, $4.4 million on CDs, $3.9 million on interest-bearing checking accounts and $3.6 million on subordinated debt. The increase in interest expense on money market accounts primarily reflects a $767.4 million increase in the average balances of money market accounts and a 77-basis point increase in rates paid on such deposits in the period. The increase in interest expense on savings accounts was primarily due to a 52-basis point increase in rates paid on saving accounts, offset by a decrease of $133.9 million in the average balances of such deposits in the period. The increase in interest expense on CDs was primarily due to a 58-basis point increase in rates paid on CDs, offset by a decrease of $93.1 million in the average balances of such deposits in the period. The increase in interest expense on interest-bearing checking accounts was primarily due to a 60-basis point increase in rates paid on interest-bearing checking accounts, offset by a decrease of $44.2 million in the average balances of such deposits in the period. The increase in interest expense on subordinated debt primarily reflects a $36.5 million increase in the average balances of subordinated debt and a 71-basis point increase in rates paid on such debt. During 2023, interest expense increased $233.4 million from 2022, primarily reflecting increases in interest expense of $73.1 million on money market accounts, $57.4 million on savings accounts, $49.1 million on FHLBNY advances and $44.7 million on CDs. The increase in interest expense on money market accounts was primarily due to a 254-basis point increase in rates paid on money market accounts, offset by a decrease of $88.5 million in the average balances of such deposits in the period. The increase in interest expense on savings accounts was primarily due to a 229-basis point increase in rates paid on savings accounts and an increase of $496.1 million in the average balances of such deposits in the period. The increase in interest expense on CDs was primarily due to a 277-basis point increase in rates paid on CDs and an increase of $517.7 million in the average balances of such deposits in the period.</w:t>
      </w:r>
    </w:p>
    <w:p>
      <w:pPr>
        <w:spacing w:after="0" w:line="141"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Provision for Credit Losses. </w:t>
      </w:r>
      <w:r>
        <w:rPr>
          <w:rFonts w:ascii="Times New Roman" w:cs="Times New Roman" w:eastAsia="Times New Roman" w:hAnsi="Times New Roman"/>
          <w:sz w:val="13"/>
          <w:szCs w:val="13"/>
          <w:color w:val="auto"/>
        </w:rPr>
        <w:t>The Company recognized a provision for credit losses of $36.1 million in 2024, $2.8 million in 2023 and $5.4 million in 2022.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$36.1 million provision for credit losses recognized in 2024 was related to additional provisioning for the pooled multifamily, C&amp;I, and criticized loan portfolios. The $2.8 million provision for credit losses recognized in 2023 was associated with increased provisioning for individually analyzed loans. The $5.4 million provision for credit losses recognized in 2022 was associated with growth in the loan portfolio and a deterioration of forecasted macroeconomic conditions, offset by a reduction in reserves on individually analyzed loans and unfunded commitments.</w:t>
      </w:r>
    </w:p>
    <w:p>
      <w:pPr>
        <w:spacing w:after="0" w:line="130"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Non-Interest Income. </w:t>
      </w:r>
      <w:r>
        <w:rPr>
          <w:rFonts w:ascii="Times New Roman" w:cs="Times New Roman" w:eastAsia="Times New Roman" w:hAnsi="Times New Roman"/>
          <w:sz w:val="13"/>
          <w:szCs w:val="13"/>
          <w:color w:val="auto"/>
        </w:rPr>
        <w:t>Non-interest income was a loss of $4.0 million in 2024, compared to income of $36.2 million in 2023, and income of $38.2 million in 2022.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2024, non-interest income decreased $40.2 million from 2023, primarily due to a increase of $41.4 million from net loss on sale of securities as a result of a securities portfolio restructuring in 2024 and a decrease of $5.0 million in loan level derivative income, partially offset by an increase of $7.2 million from a gain on sale of other assets. During 2023, non-interest income decreased $2.0 million from 2022, due primarily to a decrease of $2.9 million from net gain on sale of securities and other assets, partially offset by a $3.4 million increase in loan level derivative income.</w:t>
      </w:r>
    </w:p>
    <w:p>
      <w:pPr>
        <w:spacing w:after="0" w:line="130"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Non-Interest Expense. </w:t>
      </w:r>
      <w:r>
        <w:rPr>
          <w:rFonts w:ascii="Times New Roman" w:cs="Times New Roman" w:eastAsia="Times New Roman" w:hAnsi="Times New Roman"/>
          <w:sz w:val="13"/>
          <w:szCs w:val="13"/>
          <w:color w:val="auto"/>
        </w:rPr>
        <w:t>Non-interest expense was $226.5 million in 2024, $213.1 million in 2023, and $200.7 million in 2022. During 2024, non-interest expense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increased $13.4 million from 2023, primarily due to a $18.7 million increase in salaries and employee benefits as the Bank continued to add business teams and a $2.5 million increase in professional services, partially offset by a $7.8 million decrease in severance expense. In addition, during 2024, the Company recorded a $1.2 million loss from a pension settlement. During 2023, non-interest expense increased $12.4 million from 2022, primarily due to a $6.9 million increase in severance expense, a $5.0 million increase in federal deposit insurance premiums (including $1.0 million of pre-tax expense related to the FDIC special assessment for the recovery of losses related to the closures of Silicon Valley Bank and Signature Bank), partially offset by a $2.7 million decrease in salaries and employee benefits.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Non-interest expense was 1.66%, 1.56%, and 1.61% of average assets during 2024, 2023, and 2022, respectively.</w:t>
      </w:r>
    </w:p>
    <w:p>
      <w:pPr>
        <w:spacing w:after="0" w:line="171"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Income Tax Expense. </w:t>
      </w:r>
      <w:r>
        <w:rPr>
          <w:rFonts w:ascii="Times New Roman" w:cs="Times New Roman" w:eastAsia="Times New Roman" w:hAnsi="Times New Roman"/>
          <w:sz w:val="13"/>
          <w:szCs w:val="13"/>
          <w:color w:val="auto"/>
        </w:rPr>
        <w:t>Income tax expense was $22.4 million in 2024, $40.8 million in 2023, and $59.4 million in 2022. Income tax expense decreased $18.4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2024 compared to 2023, primarily as a result of $85.4 million of lower pre-tax income during 2024. Income tax expense during 2024 included $9.1 million of expense related to the taxable gain and Modified Endowment Contract (“MEC”) Tax on the surrender of legacy BOLI assets. Income tax expense decreased $18.6 million during 2023 compared to 2022, primarily as a result of $75.0 million of lower pre-tax income during 2023.</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Company’s consolidated tax rate was 43.5%, 29.8% and 28.0% in 2024, 2023, and 2022, respectively.</w:t>
      </w:r>
    </w:p>
    <w:p>
      <w:pPr>
        <w:spacing w:after="0" w:line="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Comparison of Financial Condition at December 31, 2024 and December 31, 2023</w:t>
      </w:r>
    </w:p>
    <w:p>
      <w:pPr>
        <w:spacing w:after="0" w:line="17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Assets. </w:t>
      </w:r>
      <w:r>
        <w:rPr>
          <w:rFonts w:ascii="Times New Roman" w:cs="Times New Roman" w:eastAsia="Times New Roman" w:hAnsi="Times New Roman"/>
          <w:sz w:val="13"/>
          <w:szCs w:val="13"/>
          <w:color w:val="auto"/>
        </w:rPr>
        <w:t>Assets totaled $14.35 billion at December 31, 2024, $717.3 million above their level at December 31, 2023, primarily due to an increase in cash and due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banks of $826.0 million, an increase in the loan portfolio of $81.5 million and an increase in other assets of $62.8 million, partially offset by a decrease in total securities of $152.8 million, a decrease in BOLI of $59.2 million and a decrease in restricted stock of $29.6 million.</w:t>
      </w:r>
    </w:p>
    <w:p>
      <w:pPr>
        <w:spacing w:after="0" w:line="12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Total net loans held for investment increased $81.5 million during the year ended December 31, 2024, to $10.78 billion at period end. During the period, the Bank had originations of $570.9 million.</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Total securities decreased $152.8 million during the year ended December 31, 2024, to $1.32 billion at period end, primarily due to proceeds from principal payments, calls, maturities and sales of $621.6 million offset in part by purchases of $402.8 million and a decrease in unrealized losses of $66.0 million. There were no transfers to or from securities held-to-maturity for the year ended December 31, 2024 or 2023.</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BOLI decreased $59.2 million during the year ended December 31, 2024, to $290.7 million. The decrease in BOLI is primarily due to the surrender of legacy BOLI assets of $84.5 million, offset by $15.0 million in purchases of new assets and an increase in cash surrender value of $10.3 million.</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Premises and fixed assets decreased $10.0 million during the year ended December 30, 2024, to $34.8 million at period end, primarily due to the sale of Bank’s premises and other assets which resulted in a $7.2 million net gain in the current period.</w:t>
      </w:r>
    </w:p>
    <w:p>
      <w:pPr>
        <w:spacing w:after="0" w:line="11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Total restricted stock decreased $29.6 million during the year ended December 30, 2024, to $69.1 million at period end, primarily due to a reduction in FHLBNY advances.</w:t>
      </w:r>
    </w:p>
    <w:p>
      <w:pPr>
        <w:spacing w:after="0" w:line="31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Liabilities. </w:t>
      </w:r>
      <w:r>
        <w:rPr>
          <w:rFonts w:ascii="Times New Roman" w:cs="Times New Roman" w:eastAsia="Times New Roman" w:hAnsi="Times New Roman"/>
          <w:sz w:val="13"/>
          <w:szCs w:val="13"/>
          <w:color w:val="auto"/>
        </w:rPr>
        <w:t>Total liabilities increased $547.0 million during the year ended December 31, 2024, to $12.96 billion at period end, primarily due to an increase in deposits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$1.16 billion, an increase in subordinated debt of $72.1 million and an increase in other short-term borrowings of $50.0 million, partially offset by a decrease in FHLBNY advances of $705.0 million, and a decrease in derivative liabilities of $12.9 million.</w:t>
      </w:r>
    </w:p>
    <w:p>
      <w:pPr>
        <w:spacing w:after="0" w:line="12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Subordinated debt increased $72.1 million during the year ended December 31, 2024, to $272.3 million at period end, due to a registered public offering of the Company’s 9.000% fixed-to-floating rate subordinated notes due 2034 (the “Notes”).</w:t>
      </w:r>
    </w:p>
    <w:p>
      <w:pPr>
        <w:spacing w:after="0" w:line="11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Stockholders’ Equity. </w:t>
      </w:r>
      <w:r>
        <w:rPr>
          <w:rFonts w:ascii="Times New Roman" w:cs="Times New Roman" w:eastAsia="Times New Roman" w:hAnsi="Times New Roman"/>
          <w:sz w:val="13"/>
          <w:szCs w:val="13"/>
          <w:color w:val="auto"/>
        </w:rPr>
        <w:t>Stockholders’ equity increased $170.3 million during the year ended December 31, 2024, to $1.40 billion at period end, primarily due to $135.8</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million in net proceeds raised in connection with a common equity offering, net income for the period of $29.1 million and a decrease in accumulated other comprehensive loss of $46.6 million, offset in part by common stock dividends of $40.3 million and preferred stock dividends of $7.3 million.</w:t>
      </w:r>
    </w:p>
    <w:p>
      <w:pPr>
        <w:spacing w:after="0" w:line="12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Additional paid-in capital increased $130.4 million during the year ended December 31, 2024, to $624.8 million at period end, due to the Company completing a public offering of 4,492,187 shares of common stock at a price of $32.00 per share, for gross proceeds of approximately $144.0 million. The net proceeds of the offering, after deducting underwriting discounts and commissions, and offering expenses, were $135.8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 Portfolio Composition</w:t>
      </w:r>
    </w:p>
    <w:p>
      <w:pPr>
        <w:spacing w:after="0" w:line="175"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an analysis of outstanding loans by loan type, excluding loans held for sale, net of unearned discounts and premiums and deferred origination fees and costs, at the dates presented:</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92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1"/>
                <w:szCs w:val="11"/>
                <w:color w:val="auto"/>
                <w:vertAlign w:val="superscript"/>
              </w:rPr>
              <w:t>(1)</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2,725,726</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25.1</w:t>
            </w:r>
          </w:p>
        </w:tc>
        <w:tc>
          <w:tcPr>
            <w:tcW w:w="180" w:type="dxa"/>
            <w:vAlign w:val="bottom"/>
            <w:shd w:val="clear" w:color="auto" w:fill="CCEEFF"/>
          </w:tcPr>
          <w:p>
            <w:pPr>
              <w:jc w:val="right"/>
              <w:ind w:right="5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2,308,171</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21.4</w:t>
            </w:r>
          </w:p>
        </w:tc>
        <w:tc>
          <w:tcPr>
            <w:tcW w:w="180" w:type="dxa"/>
            <w:vAlign w:val="bottom"/>
            <w:shd w:val="clear" w:color="auto" w:fill="CCEEFF"/>
          </w:tcPr>
          <w:p>
            <w:pPr>
              <w:jc w:val="right"/>
              <w:ind w:right="5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2,211,857</w:t>
            </w:r>
          </w:p>
        </w:tc>
        <w:tc>
          <w:tcPr>
            <w:tcW w:w="58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20.9</w:t>
            </w:r>
          </w:p>
        </w:tc>
        <w:tc>
          <w:tcPr>
            <w:tcW w:w="200" w:type="dxa"/>
            <w:vAlign w:val="bottom"/>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11"/>
        </w:trPr>
        <w:tc>
          <w:tcPr>
            <w:tcW w:w="39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cooperative/condominium apartment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951,528</w:t>
            </w:r>
          </w:p>
        </w:tc>
        <w:tc>
          <w:tcPr>
            <w:tcW w:w="5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887,555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773,321</w:t>
            </w:r>
          </w:p>
        </w:tc>
        <w:tc>
          <w:tcPr>
            <w:tcW w:w="5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7.3</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9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3,820,283</w:t>
            </w:r>
          </w:p>
        </w:tc>
        <w:tc>
          <w:tcPr>
            <w:tcW w:w="5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4,017,176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4,026,826</w:t>
            </w:r>
          </w:p>
        </w:tc>
        <w:tc>
          <w:tcPr>
            <w:tcW w:w="58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38.1</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9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3,230,535</w:t>
            </w:r>
          </w:p>
        </w:tc>
        <w:tc>
          <w:tcPr>
            <w:tcW w:w="5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3,379,667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3,317,485</w:t>
            </w:r>
          </w:p>
        </w:tc>
        <w:tc>
          <w:tcPr>
            <w:tcW w:w="5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31.4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9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Acquisition, development, and construction ("ADC")</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136,172</w:t>
            </w:r>
          </w:p>
        </w:tc>
        <w:tc>
          <w:tcPr>
            <w:tcW w:w="5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168,513</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229,663</w:t>
            </w:r>
          </w:p>
        </w:tc>
        <w:tc>
          <w:tcPr>
            <w:tcW w:w="58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2.2</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9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5,084</w:t>
            </w:r>
          </w:p>
        </w:tc>
        <w:tc>
          <w:tcPr>
            <w:tcW w:w="5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5,755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7,679</w:t>
            </w:r>
          </w:p>
        </w:tc>
        <w:tc>
          <w:tcPr>
            <w:tcW w:w="5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0.1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20" w:type="dxa"/>
            <w:vAlign w:val="bottom"/>
            <w:tcBorders>
              <w:top w:val="single" w:sz="8" w:color="CCEEFF"/>
              <w:bottom w:val="single" w:sz="8" w:color="CCEEFF"/>
            </w:tcBorders>
            <w:gridSpan w:val="2"/>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10,869,328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100.0</w:t>
            </w:r>
          </w:p>
        </w:tc>
        <w:tc>
          <w:tcPr>
            <w:tcW w:w="180" w:type="dxa"/>
            <w:vAlign w:val="bottom"/>
            <w:tcBorders>
              <w:top w:val="single" w:sz="8" w:color="CCEEFF"/>
              <w:bottom w:val="single" w:sz="8" w:color="CCEEFF"/>
            </w:tcBorders>
            <w:shd w:val="clear" w:color="auto" w:fill="CCEEFF"/>
          </w:tcPr>
          <w:p>
            <w:pPr>
              <w:jc w:val="right"/>
              <w:ind w:right="5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10,766,837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3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w:t>
            </w:r>
          </w:p>
        </w:tc>
        <w:tc>
          <w:tcPr>
            <w:tcW w:w="180" w:type="dxa"/>
            <w:vAlign w:val="bottom"/>
            <w:tcBorders>
              <w:top w:val="single" w:sz="8" w:color="CCEEFF"/>
              <w:bottom w:val="single" w:sz="8" w:color="CCEEFF"/>
            </w:tcBorders>
            <w:shd w:val="clear" w:color="auto" w:fill="CCEEFF"/>
          </w:tcPr>
          <w:p>
            <w:pPr>
              <w:jc w:val="right"/>
              <w:ind w:right="5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10,566,831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w:t>
            </w:r>
          </w:p>
        </w:tc>
        <w:tc>
          <w:tcPr>
            <w:tcW w:w="200" w:type="dxa"/>
            <w:vAlign w:val="bottom"/>
            <w:tcBorders>
              <w:top w:val="single" w:sz="8" w:color="CCEEFF"/>
              <w:bottom w:val="single" w:sz="8" w:color="CCEEFF"/>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line="121" w:lineRule="exact"/>
              <w:rPr>
                <w:sz w:val="20"/>
                <w:szCs w:val="20"/>
                <w:color w:val="auto"/>
              </w:rPr>
            </w:pPr>
            <w:r>
              <w:rPr>
                <w:rFonts w:ascii="Times New Roman" w:cs="Times New Roman" w:eastAsia="Times New Roman" w:hAnsi="Times New Roman"/>
                <w:sz w:val="10"/>
                <w:szCs w:val="10"/>
                <w:color w:val="auto"/>
              </w:rPr>
              <w:t xml:space="preserve">Fair value hedge basis point adjustments </w:t>
            </w:r>
            <w:r>
              <w:rPr>
                <w:rFonts w:ascii="Times New Roman" w:cs="Times New Roman" w:eastAsia="Times New Roman" w:hAnsi="Times New Roman"/>
                <w:sz w:val="14"/>
                <w:szCs w:val="14"/>
                <w:color w:val="auto"/>
                <w:vertAlign w:val="superscript"/>
              </w:rPr>
              <w:t>(2)</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2,615</w:t>
            </w: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restart"/>
          </w:tcPr>
          <w:p>
            <w:pPr>
              <w:jc w:val="right"/>
              <w:spacing w:after="0" w:line="121" w:lineRule="exact"/>
              <w:rPr>
                <w:sz w:val="20"/>
                <w:szCs w:val="20"/>
                <w:color w:val="auto"/>
              </w:rPr>
            </w:pPr>
            <w:r>
              <w:rPr>
                <w:rFonts w:ascii="Times New Roman" w:cs="Times New Roman" w:eastAsia="Times New Roman" w:hAnsi="Times New Roman"/>
                <w:sz w:val="11"/>
                <w:szCs w:val="11"/>
                <w:color w:val="auto"/>
              </w:rPr>
              <w:t>6,591</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920" w:type="dxa"/>
            <w:vAlign w:val="bottom"/>
            <w:tcBorders>
              <w:bottom w:val="single" w:sz="8" w:color="CCEEFF"/>
            </w:tcBorders>
            <w:gridSpan w:val="2"/>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4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920" w:type="dxa"/>
            <w:vAlign w:val="bottom"/>
            <w:gridSpan w:val="2"/>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Total loans, net of fair value hedge basis point adjustments</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10,871,943</w:t>
            </w: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10,773,428</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10,566,831</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92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(88,751)</w:t>
            </w:r>
          </w:p>
        </w:tc>
        <w:tc>
          <w:tcPr>
            <w:tcW w:w="14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(71,743)</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(83,507)</w:t>
            </w:r>
          </w:p>
        </w:tc>
        <w:tc>
          <w:tcPr>
            <w:tcW w:w="14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CCEEFF"/>
            </w:tcBorders>
            <w:gridSpan w:val="2"/>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Loans held for investment, net</w:t>
            </w:r>
          </w:p>
        </w:tc>
        <w:tc>
          <w:tcPr>
            <w:tcW w:w="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10,783,192</w:t>
            </w:r>
          </w:p>
        </w:tc>
        <w:tc>
          <w:tcPr>
            <w:tcW w:w="1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10,701,685</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10,483,324</w:t>
            </w:r>
          </w:p>
        </w:tc>
        <w:tc>
          <w:tcPr>
            <w:tcW w:w="1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Business loans include C&amp;I loans and owner-occupied commercial real estate loans.</w:t>
      </w:r>
    </w:p>
    <w:p>
      <w:pPr>
        <w:spacing w:after="0" w:line="7" w:lineRule="exact"/>
        <w:rPr>
          <w:rFonts w:ascii="Times New Roman" w:cs="Times New Roman" w:eastAsia="Times New Roman" w:hAnsi="Times New Roman"/>
          <w:sz w:val="20"/>
          <w:szCs w:val="20"/>
          <w:color w:val="auto"/>
          <w:vertAlign w:val="superscript"/>
        </w:rPr>
      </w:pPr>
    </w:p>
    <w:p>
      <w:pPr>
        <w:ind w:left="280" w:right="39" w:hanging="251"/>
        <w:spacing w:after="0" w:line="192" w:lineRule="auto"/>
        <w:tabs>
          <w:tab w:leader="none" w:pos="28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loan portfolio included a fair value hedge basis point adjustment to the carrying amount of hedged owner-occupied commercial real estate in business loans, one-to-four family residential mortgage loans, multifamily residential mortgage loans and non-owner occupied commercial real estate loans.</w:t>
      </w:r>
    </w:p>
    <w:p>
      <w:pPr>
        <w:spacing w:after="0" w:line="15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business loans increased $417.6 million and one-to-four family loans increased $64.0 million, multifamily loans decreased $196.9 million, non-owner-occupied CRE loans decreased $149.1 million, and ADC loans decreased $32.3 million.</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 Purchases, Sales and Servicing</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the event that the Bank sells loans in the secondary market or through securitization, it generally retains servicing rights on the loans sold. Servicing fees are typically derived based upon the difference between the actual origination rate and contractual pass-through rate of the loans at the time of sale. At December 31, 2024 and 2023, the Bank had recorded servicing right assets ("SRAs") of $2.4 million and $2.9 million, respectively, associated with the sale of loans to third-party institutions in which the Bank retained the servicing of the loan. The Bank outsources the servicing of a portion of our one-to-four family mortgage loan portfolio to an unrelated third-party under a sub-servicing agreement. Fees paid under the sub-servicing agreement are reported as a component of other non-interest expense in the consolidated statements of operations.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 Maturity and Repricing</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following table presents the portfolio of fixed and adjustable rate loans (“ARMs”) by the earlier of the maturity or next reprice date as of December 31, 2024. ARMs have repricing frequencies of greater than or equal to one year and are included in the period during which their interest rates are next scheduled to adjust or mature. The table does not include scheduled principal amortization.</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4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1 to 2 years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 to 3 years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 to 5 years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Over 5 years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34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4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130,693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119,458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167,411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342,897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327,814</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1,088,273</w:t>
            </w:r>
          </w:p>
        </w:tc>
        <w:tc>
          <w:tcPr>
            <w:tcW w:w="0" w:type="dxa"/>
            <w:vAlign w:val="bottom"/>
          </w:tcPr>
          <w:p>
            <w:pPr>
              <w:spacing w:after="0"/>
              <w:rPr>
                <w:sz w:val="1"/>
                <w:szCs w:val="1"/>
                <w:color w:val="auto"/>
              </w:rPr>
            </w:pPr>
          </w:p>
        </w:tc>
      </w:tr>
      <w:tr>
        <w:trPr>
          <w:trHeight w:val="140"/>
        </w:trPr>
        <w:tc>
          <w:tcPr>
            <w:tcW w:w="3400" w:type="dxa"/>
            <w:vAlign w:val="bottom"/>
          </w:tcPr>
          <w:p>
            <w:pPr>
              <w:spacing w:after="0"/>
              <w:rPr>
                <w:sz w:val="20"/>
                <w:szCs w:val="20"/>
                <w:color w:val="auto"/>
              </w:rPr>
            </w:pPr>
            <w:r>
              <w:rPr>
                <w:rFonts w:ascii="Times New Roman" w:cs="Times New Roman" w:eastAsia="Times New Roman" w:hAnsi="Times New Roman"/>
                <w:sz w:val="11"/>
                <w:szCs w:val="11"/>
                <w:color w:val="auto"/>
              </w:rPr>
              <w:t>One-to-four family residential and cooperative/condominium apartment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85,594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75,316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61,083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234,418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492,040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948,451</w:t>
            </w:r>
          </w:p>
        </w:tc>
        <w:tc>
          <w:tcPr>
            <w:tcW w:w="0" w:type="dxa"/>
            <w:vAlign w:val="bottom"/>
          </w:tcPr>
          <w:p>
            <w:pPr>
              <w:spacing w:after="0"/>
              <w:rPr>
                <w:sz w:val="1"/>
                <w:szCs w:val="1"/>
                <w:color w:val="auto"/>
              </w:rPr>
            </w:pPr>
          </w:p>
        </w:tc>
      </w:tr>
      <w:tr>
        <w:trPr>
          <w:trHeight w:val="22"/>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4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356,666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724,962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1,014,426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733,903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300,802</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3,130,759</w:t>
            </w:r>
          </w:p>
        </w:tc>
        <w:tc>
          <w:tcPr>
            <w:tcW w:w="0" w:type="dxa"/>
            <w:vAlign w:val="bottom"/>
          </w:tcPr>
          <w:p>
            <w:pPr>
              <w:spacing w:after="0"/>
              <w:rPr>
                <w:sz w:val="1"/>
                <w:szCs w:val="1"/>
                <w:color w:val="auto"/>
              </w:rPr>
            </w:pPr>
          </w:p>
        </w:tc>
      </w:tr>
      <w:tr>
        <w:trPr>
          <w:trHeight w:val="111"/>
        </w:trPr>
        <w:tc>
          <w:tcPr>
            <w:tcW w:w="34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396,163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436,320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508,746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722,595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453,480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2,517,304</w:t>
            </w:r>
          </w:p>
        </w:tc>
        <w:tc>
          <w:tcPr>
            <w:tcW w:w="0" w:type="dxa"/>
            <w:vAlign w:val="bottom"/>
          </w:tcPr>
          <w:p>
            <w:pPr>
              <w:spacing w:after="0"/>
              <w:rPr>
                <w:sz w:val="1"/>
                <w:szCs w:val="1"/>
                <w:color w:val="auto"/>
              </w:rPr>
            </w:pPr>
          </w:p>
        </w:tc>
      </w:tr>
      <w:tr>
        <w:trPr>
          <w:trHeight w:val="111"/>
        </w:trPr>
        <w:tc>
          <w:tcPr>
            <w:tcW w:w="34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2,445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655</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3,245</w:t>
            </w:r>
          </w:p>
        </w:tc>
        <w:tc>
          <w:tcPr>
            <w:tcW w:w="0" w:type="dxa"/>
            <w:vAlign w:val="bottom"/>
          </w:tcPr>
          <w:p>
            <w:pPr>
              <w:spacing w:after="0"/>
              <w:rPr>
                <w:sz w:val="1"/>
                <w:szCs w:val="1"/>
                <w:color w:val="auto"/>
              </w:rPr>
            </w:pPr>
          </w:p>
        </w:tc>
      </w:tr>
      <w:tr>
        <w:trPr>
          <w:trHeight w:val="111"/>
        </w:trPr>
        <w:tc>
          <w:tcPr>
            <w:tcW w:w="340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90</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245</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737</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3,833</w:t>
            </w: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4,909</w:t>
            </w:r>
          </w:p>
        </w:tc>
        <w:tc>
          <w:tcPr>
            <w:tcW w:w="0" w:type="dxa"/>
            <w:vAlign w:val="bottom"/>
          </w:tcPr>
          <w:p>
            <w:pPr>
              <w:spacing w:after="0"/>
              <w:rPr>
                <w:sz w:val="1"/>
                <w:szCs w:val="1"/>
                <w:color w:val="auto"/>
              </w:rPr>
            </w:pPr>
          </w:p>
        </w:tc>
      </w:tr>
      <w:tr>
        <w:trPr>
          <w:trHeight w:val="101"/>
        </w:trPr>
        <w:tc>
          <w:tcPr>
            <w:tcW w:w="3400" w:type="dxa"/>
            <w:vAlign w:val="bottom"/>
            <w:tcBorders>
              <w:bottom w:val="single" w:sz="8" w:color="CCEEFF"/>
            </w:tcBorders>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969,265</w:t>
            </w: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1,358,591</w:t>
            </w: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1,751,911</w:t>
            </w: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2,034,550</w:t>
            </w: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1,578,624</w:t>
            </w: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7,692,941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Variable rate loans have repricing frequencies less than one year. The following table presents variable rate loans by time to maturity as of December 31, 2024:</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4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1 to 2 years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 to 3 years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 to 5 years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Over 5 years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34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1 year</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4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Variable rate loans</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854,910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272,840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391,706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522,095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1,134,836</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3,176,387</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Concentrations of Lending Activities</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Non-owner occupied commercial real estate loans and multifamily residential and residential mixed-use loans have collectively represented the largest percentage of the Company’s loan portfolio, accounting for 65% and 69% of total loans held for investment as of December 31, 2024 and December 31, 2023, respectively. Non-owner occupied commercial real estate loans represent 30% and 31% of total loans held for investment as of December 31, 2024 and December 31, 2023, respectively. Multifamily residential and residential mixed-use loans made up 35% and 37% of total loans held for investment as of December 31, 2024 and December 31, 2023, respectively. The Company expects that non-owner occupied commercial real estate loans and multifamily residential and residential mixed-use loans will continue to be a significant portion of the Company’s total loan portfolio.</w:t>
      </w:r>
    </w:p>
    <w:p>
      <w:pPr>
        <w:spacing w:after="0" w:line="13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131"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tables present the composition by property type and weighted average loan-to-value (“LTV”) of the Company’s non-owner occupied commercial real estate loans: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2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NY</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NJ</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Average Rate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LTV</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2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Investor commercial real estate:</w:t>
            </w: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Retail</w:t>
            </w:r>
          </w:p>
        </w:tc>
        <w:tc>
          <w:tcPr>
            <w:tcW w:w="320" w:type="dxa"/>
            <w:vAlign w:val="bottom"/>
            <w:gridSpan w:val="2"/>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1,085,618</w:t>
            </w:r>
          </w:p>
        </w:tc>
        <w:tc>
          <w:tcPr>
            <w:tcW w:w="34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62,990</w:t>
            </w:r>
          </w:p>
        </w:tc>
        <w:tc>
          <w:tcPr>
            <w:tcW w:w="320" w:type="dxa"/>
            <w:vAlign w:val="bottom"/>
            <w:gridSpan w:val="2"/>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3,594</w:t>
            </w:r>
          </w:p>
        </w:tc>
        <w:tc>
          <w:tcPr>
            <w:tcW w:w="120" w:type="dxa"/>
            <w:vAlign w:val="bottom"/>
          </w:tcPr>
          <w:p>
            <w:pPr>
              <w:spacing w:after="0"/>
              <w:rPr>
                <w:sz w:val="9"/>
                <w:szCs w:val="9"/>
                <w:color w:val="auto"/>
              </w:rPr>
            </w:pPr>
          </w:p>
        </w:tc>
        <w:tc>
          <w:tcPr>
            <w:tcW w:w="16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1,152,202</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51</w:t>
            </w:r>
          </w:p>
        </w:tc>
        <w:tc>
          <w:tcPr>
            <w:tcW w:w="1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Investor office</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439,359</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135,584</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3,127</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578,070</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58</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Warehouse/ Industrial</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337,288</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43,458</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69,314</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450,060</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Hotels</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356,450</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425</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11,934</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368,809</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Supportive housing</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161,207</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161,207</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office</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106,403</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28,470</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134,873</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62</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Educational facility or library</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120,719</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120,719</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facility</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60,866</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60,866</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71</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8"/>
                <w:szCs w:val="8"/>
                <w:color w:val="auto"/>
              </w:rPr>
              <w:t xml:space="preserve">Other </w:t>
            </w:r>
            <w:r>
              <w:rPr>
                <w:rFonts w:ascii="Times New Roman" w:cs="Times New Roman" w:eastAsia="Times New Roman" w:hAnsi="Times New Roman"/>
                <w:sz w:val="12"/>
                <w:szCs w:val="12"/>
                <w:color w:val="auto"/>
                <w:vertAlign w:val="superscript"/>
              </w:rPr>
              <w:t>(1)</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196,304</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2,763</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4,662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203,729</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80" w:type="dxa"/>
            <w:vAlign w:val="bottom"/>
            <w:tcBorders>
              <w:top w:val="single" w:sz="8" w:color="auto"/>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2,864,214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245,220</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121,101</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3,230,535</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55</w:t>
            </w:r>
          </w:p>
        </w:tc>
        <w:tc>
          <w:tcPr>
            <w:tcW w:w="2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2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NY</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NJ</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6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Average Rate</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LTV</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2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Investor commercial real estate:</w:t>
            </w: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Retail</w:t>
            </w:r>
          </w:p>
        </w:tc>
        <w:tc>
          <w:tcPr>
            <w:tcW w:w="320" w:type="dxa"/>
            <w:vAlign w:val="bottom"/>
            <w:gridSpan w:val="2"/>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1,119,896</w:t>
            </w:r>
          </w:p>
        </w:tc>
        <w:tc>
          <w:tcPr>
            <w:tcW w:w="34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64,577</w:t>
            </w:r>
          </w:p>
        </w:tc>
        <w:tc>
          <w:tcPr>
            <w:tcW w:w="320" w:type="dxa"/>
            <w:vAlign w:val="bottom"/>
            <w:gridSpan w:val="2"/>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3,722</w:t>
            </w:r>
          </w:p>
        </w:tc>
        <w:tc>
          <w:tcPr>
            <w:tcW w:w="120" w:type="dxa"/>
            <w:vAlign w:val="bottom"/>
          </w:tcPr>
          <w:p>
            <w:pPr>
              <w:spacing w:after="0"/>
              <w:rPr>
                <w:sz w:val="9"/>
                <w:szCs w:val="9"/>
                <w:color w:val="auto"/>
              </w:rPr>
            </w:pPr>
          </w:p>
        </w:tc>
        <w:tc>
          <w:tcPr>
            <w:tcW w:w="16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1,188,195</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53</w:t>
            </w:r>
          </w:p>
        </w:tc>
        <w:tc>
          <w:tcPr>
            <w:tcW w:w="1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Investor office</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476,958</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140,713</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3,195</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620,866</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59</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Warehouse/ Industrial</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351,863</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47,577</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70,523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469,963</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Hotels</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340,656</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426</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12,016</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353,098</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Supportive housing</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166,356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166,356</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61</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office</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114,211</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29,063</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143,274</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63</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Educational facility or library</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105,541</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105,541</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facility</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91,391</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3,573</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18,483</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113,447</w:t>
            </w:r>
          </w:p>
        </w:tc>
        <w:tc>
          <w:tcPr>
            <w:tcW w:w="9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58</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28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8"/>
                <w:szCs w:val="8"/>
                <w:color w:val="auto"/>
              </w:rPr>
              <w:t xml:space="preserve">Other </w:t>
            </w:r>
            <w:r>
              <w:rPr>
                <w:rFonts w:ascii="Times New Roman" w:cs="Times New Roman" w:eastAsia="Times New Roman" w:hAnsi="Times New Roman"/>
                <w:sz w:val="12"/>
                <w:szCs w:val="12"/>
                <w:color w:val="auto"/>
                <w:vertAlign w:val="superscript"/>
              </w:rPr>
              <w:t>(1)</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204,573</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3,675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10,679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218,927</w:t>
            </w:r>
          </w:p>
        </w:tc>
        <w:tc>
          <w:tcPr>
            <w:tcW w:w="9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80" w:type="dxa"/>
            <w:vAlign w:val="bottom"/>
            <w:tcBorders>
              <w:top w:val="single" w:sz="8" w:color="auto"/>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2,971,445</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260,541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5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147,681</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3,379,667</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56</w:t>
            </w:r>
          </w:p>
        </w:tc>
        <w:tc>
          <w:tcPr>
            <w:tcW w:w="2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the composition by property type and weighted average LTV of the Company’s multifamily residential and residential mixed-use loans: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4"/>
          </w:tcPr>
          <w:p>
            <w:pPr>
              <w:ind w:left="5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Average Rate</w:t>
            </w:r>
          </w:p>
        </w:tc>
        <w:tc>
          <w:tcPr>
            <w:tcW w:w="0" w:type="dxa"/>
            <w:vAlign w:val="bottom"/>
          </w:tcPr>
          <w:p>
            <w:pPr>
              <w:spacing w:after="0"/>
              <w:rPr>
                <w:sz w:val="1"/>
                <w:szCs w:val="1"/>
                <w:color w:val="auto"/>
              </w:rPr>
            </w:pPr>
          </w:p>
        </w:tc>
      </w:tr>
      <w:tr>
        <w:trPr>
          <w:trHeight w:val="160"/>
        </w:trPr>
        <w:tc>
          <w:tcPr>
            <w:tcW w:w="6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LTV</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(2)</w:t>
            </w:r>
          </w:p>
        </w:tc>
        <w:tc>
          <w:tcPr>
            <w:tcW w:w="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572,054</w:t>
            </w: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b w:val="1"/>
                <w:bCs w:val="1"/>
                <w:color w:val="auto"/>
              </w:rPr>
              <w:t xml:space="preserve">58 </w:t>
            </w: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643,908</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Majority free market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1,846,525</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b w:val="1"/>
                <w:bCs w:val="1"/>
                <w:color w:val="auto"/>
              </w:rPr>
              <w:t>55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New York City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3,062,487</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757,796</w:t>
            </w:r>
          </w:p>
        </w:tc>
        <w:tc>
          <w:tcPr>
            <w:tcW w:w="116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59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multifamily residential and residential mixed-use</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3,820,283</w:t>
            </w:r>
          </w:p>
        </w:tc>
        <w:tc>
          <w:tcPr>
            <w:tcW w:w="1320" w:type="dxa"/>
            <w:vAlign w:val="bottom"/>
            <w:tcBorders>
              <w:bottom w:val="single" w:sz="8" w:color="CCEEFF"/>
            </w:tcBorders>
            <w:gridSpan w:val="3"/>
            <w:shd w:val="clear" w:color="auto" w:fill="CCEEFF"/>
          </w:tcPr>
          <w:p>
            <w:pPr>
              <w:ind w:left="1000"/>
              <w:spacing w:after="0" w:line="141" w:lineRule="exact"/>
              <w:rPr>
                <w:sz w:val="20"/>
                <w:szCs w:val="20"/>
                <w:color w:val="auto"/>
              </w:rPr>
            </w:pPr>
            <w:r>
              <w:rPr>
                <w:rFonts w:ascii="Times New Roman" w:cs="Times New Roman" w:eastAsia="Times New Roman" w:hAnsi="Times New Roman"/>
                <w:sz w:val="12"/>
                <w:szCs w:val="12"/>
                <w:b w:val="1"/>
                <w:bCs w:val="1"/>
                <w:color w:val="auto"/>
              </w:rPr>
              <w:t xml:space="preserve">57 </w:t>
            </w: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York City includes the Bronx, Brooklyn, Queens, Staten Island and Manhattan.</w:t>
      </w:r>
    </w:p>
    <w:p>
      <w:pPr>
        <w:spacing w:after="0" w:line="7"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4"/>
          </w:tcPr>
          <w:p>
            <w:pPr>
              <w:ind w:left="5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Average Rate</w:t>
            </w:r>
          </w:p>
        </w:tc>
        <w:tc>
          <w:tcPr>
            <w:tcW w:w="0" w:type="dxa"/>
            <w:vAlign w:val="bottom"/>
          </w:tcPr>
          <w:p>
            <w:pPr>
              <w:spacing w:after="0"/>
              <w:rPr>
                <w:sz w:val="1"/>
                <w:szCs w:val="1"/>
                <w:color w:val="auto"/>
              </w:rPr>
            </w:pPr>
          </w:p>
        </w:tc>
      </w:tr>
      <w:tr>
        <w:trPr>
          <w:trHeight w:val="160"/>
        </w:trPr>
        <w:tc>
          <w:tcPr>
            <w:tcW w:w="6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LTV</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(2)</w:t>
            </w:r>
          </w:p>
        </w:tc>
        <w:tc>
          <w:tcPr>
            <w:tcW w:w="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547,977</w:t>
            </w: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b w:val="1"/>
                <w:bCs w:val="1"/>
                <w:color w:val="auto"/>
              </w:rPr>
              <w:t xml:space="preserve">57 </w:t>
            </w: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687,424</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60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Majority free market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2,025,511</w:t>
            </w:r>
          </w:p>
        </w:tc>
        <w:tc>
          <w:tcPr>
            <w:tcW w:w="11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b w:val="1"/>
                <w:bCs w:val="1"/>
                <w:color w:val="auto"/>
              </w:rPr>
              <w:t>56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New York City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3,260,912</w:t>
            </w:r>
          </w:p>
        </w:tc>
        <w:tc>
          <w:tcPr>
            <w:tcW w:w="116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756,264</w:t>
            </w:r>
          </w:p>
        </w:tc>
        <w:tc>
          <w:tcPr>
            <w:tcW w:w="116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61</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multifamily residential and residential mixed-use</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4,017,176</w:t>
            </w:r>
          </w:p>
        </w:tc>
        <w:tc>
          <w:tcPr>
            <w:tcW w:w="1320" w:type="dxa"/>
            <w:vAlign w:val="bottom"/>
            <w:tcBorders>
              <w:bottom w:val="single" w:sz="8" w:color="CCEEFF"/>
            </w:tcBorders>
            <w:gridSpan w:val="3"/>
            <w:shd w:val="clear" w:color="auto" w:fill="CCEEFF"/>
          </w:tcPr>
          <w:p>
            <w:pPr>
              <w:ind w:left="1000"/>
              <w:spacing w:after="0" w:line="141" w:lineRule="exact"/>
              <w:rPr>
                <w:sz w:val="20"/>
                <w:szCs w:val="20"/>
                <w:color w:val="auto"/>
              </w:rPr>
            </w:pPr>
            <w:r>
              <w:rPr>
                <w:rFonts w:ascii="Times New Roman" w:cs="Times New Roman" w:eastAsia="Times New Roman" w:hAnsi="Times New Roman"/>
                <w:sz w:val="12"/>
                <w:szCs w:val="12"/>
                <w:b w:val="1"/>
                <w:bCs w:val="1"/>
                <w:color w:val="auto"/>
              </w:rPr>
              <w:t xml:space="preserve">58 </w:t>
            </w: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York City includes the Bronx, Brooklyn, Queens, Staten Island and Manhattan.</w:t>
      </w:r>
    </w:p>
    <w:p>
      <w:pPr>
        <w:spacing w:after="0" w:line="7"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153"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Additional information related to the granularity in the non-owner occupied commercial real estate and multifamily residential and residential mixed-use portfolios is presented in the tables below as of December 31, 2024 and December 31,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c>
          <w:tcPr>
            <w:tcW w:w="0" w:type="dxa"/>
            <w:vAlign w:val="bottom"/>
          </w:tcPr>
          <w:p>
            <w:pPr>
              <w:spacing w:after="0"/>
              <w:rPr>
                <w:sz w:val="1"/>
                <w:szCs w:val="1"/>
                <w:color w:val="auto"/>
              </w:rPr>
            </w:pPr>
          </w:p>
        </w:tc>
      </w:tr>
      <w:tr>
        <w:trPr>
          <w:trHeight w:val="160"/>
        </w:trPr>
        <w:tc>
          <w:tcPr>
            <w:tcW w:w="6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&gt; $20 million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Investor commercial real estate:</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Retail</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2,613</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Investor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5,781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Warehouse/ Industrial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3,983</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Hotels</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8,781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Supportive housing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20,151</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6,423</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Educational facility or library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10,060</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facility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7,608</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1,922</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2,487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3,810</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Majority free market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3,864</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4,521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7"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New York City includes the Bronx, Brooklyn, Queens, Staten Island and Manhattan.</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c>
          <w:tcPr>
            <w:tcW w:w="0" w:type="dxa"/>
            <w:vAlign w:val="bottom"/>
          </w:tcPr>
          <w:p>
            <w:pPr>
              <w:spacing w:after="0"/>
              <w:rPr>
                <w:sz w:val="1"/>
                <w:szCs w:val="1"/>
                <w:color w:val="auto"/>
              </w:rPr>
            </w:pPr>
          </w:p>
        </w:tc>
      </w:tr>
      <w:tr>
        <w:trPr>
          <w:trHeight w:val="160"/>
        </w:trPr>
        <w:tc>
          <w:tcPr>
            <w:tcW w:w="6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&gt; $20 million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Investor commercial real estate:</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Retail</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Investor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5,749</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Warehouse/ Industrial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3,949</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Hotels</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8,025</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Supportive housing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Educational facility or library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facility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9,454</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3,819</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Majority free market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3,964</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7"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New York City includes the Bronx, Brooklyn, Queens, Staten Island and Manhattan.</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 Quality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General</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 xml:space="preserve">We do not originate or purchase loans, either whole loans or loans underlying mortgage-backed securities (“MBS”), which would have been considered subprime loans at origination,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real estate loans advanced to borrowers who did not qualify for market interest rates because of problems with their income or credit history. See Note 3 of our Consolidated Financial Statements for a discussion of evaluation for impaired securities.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Monitoring and Collection of Delinquent Loans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Our management reviews delinquent loans on a monthly basis and reports to our Board of Directors or Committees of the Board of the Directors at each regularly scheduled Board or Committee meeting regarding the status of all non-performing and otherwise delinquent loans in our loan portfolio.</w:t>
      </w:r>
    </w:p>
    <w:p>
      <w:pPr>
        <w:spacing w:after="0" w:line="11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Our loan servicing policies and procedures require that an automated late notice be sent to a delinquent borrower as soon as possible after a payment is ten days late in the case of business loans, multifamily residential and mixed use, non-owner-occupied commercial real estate loans, and ADC loans, or fifteen days late in connection with one-to-four family and consumer loans. Thereafter, periodic letters are mailed and phone calls are placed to the borrower until payment is received or the loan is transferred to workout. When contact is made with the borrower at any time prior to foreclosure, we will attempt to obtain the full payment due or negotiate a repayment schedule with the borrower to avoid foreclosure.</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Accrual of interest is generally discontinued on a loan that meets any of the following three criteria: (i) full payment of principal or interest is not expected;</w:t>
      </w:r>
    </w:p>
    <w:p>
      <w:pPr>
        <w:spacing w:after="0" w:line="24" w:lineRule="exact"/>
        <w:rPr>
          <w:sz w:val="20"/>
          <w:szCs w:val="20"/>
          <w:color w:val="auto"/>
        </w:rPr>
      </w:pPr>
    </w:p>
    <w:p>
      <w:pPr>
        <w:ind w:left="240" w:hanging="211"/>
        <w:spacing w:after="0"/>
        <w:tabs>
          <w:tab w:leader="none" w:pos="2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principal or interest has been in default for a period of 90 days or more (unless the loan is both deemed to be well secured and in the process of collection); or</w:t>
      </w:r>
    </w:p>
    <w:p>
      <w:pPr>
        <w:spacing w:after="0" w:line="11" w:lineRule="exact"/>
        <w:rPr>
          <w:rFonts w:ascii="Times New Roman" w:cs="Times New Roman" w:eastAsia="Times New Roman" w:hAnsi="Times New Roman"/>
          <w:sz w:val="13"/>
          <w:szCs w:val="13"/>
          <w:color w:val="auto"/>
        </w:rPr>
      </w:pPr>
    </w:p>
    <w:p>
      <w:pPr>
        <w:jc w:val="both"/>
        <w:ind w:left="20" w:right="39" w:firstLine="9"/>
        <w:spacing w:after="0" w:line="268" w:lineRule="auto"/>
        <w:tabs>
          <w:tab w:leader="none" w:pos="27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32" w:lineRule="exact"/>
        <w:rPr>
          <w:sz w:val="20"/>
          <w:szCs w:val="20"/>
          <w:color w:val="auto"/>
        </w:rPr>
      </w:pPr>
    </w:p>
    <w:p>
      <w:pPr>
        <w:ind w:left="20" w:right="59"/>
        <w:spacing w:after="0" w:line="297" w:lineRule="auto"/>
        <w:rPr>
          <w:sz w:val="20"/>
          <w:szCs w:val="20"/>
          <w:color w:val="auto"/>
        </w:rPr>
      </w:pPr>
      <w:r>
        <w:rPr>
          <w:rFonts w:ascii="Times New Roman" w:cs="Times New Roman" w:eastAsia="Times New Roman" w:hAnsi="Times New Roman"/>
          <w:sz w:val="13"/>
          <w:szCs w:val="13"/>
          <w:color w:val="auto"/>
        </w:rPr>
        <w:t>We generally initiate foreclosure proceedings on real estate loans when a loan enters non-accrual status based upon non-payment, unless the borrower is paying in accordance with an agreed upon modified payment agreement. We obtain an</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35"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Non-accrual Loans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Within our held-for-investment loan portfolio, non-accrual loans totaled $49.5 million at December 31, 2024 and $29.1 million at December 31, 2023.</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 Restructurings</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Please refer to Note 4 of our condensed Consolidated Financial Statements for further discussion on loan restructurings.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OREO</w:t>
      </w:r>
    </w:p>
    <w:p>
      <w:pPr>
        <w:spacing w:after="0" w:line="175"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Property acquired by the Bank, or a subsidiary, as a result of foreclosure on a mortgage loan or a deed in lieu of foreclosure is classified as OREO. Upon entering OREO status, we obtain a current appraisal on the property and reassesses the likely realizable value (</w:t>
      </w:r>
      <w:r>
        <w:rPr>
          <w:rFonts w:ascii="Times New Roman" w:cs="Times New Roman" w:eastAsia="Times New Roman" w:hAnsi="Times New Roman"/>
          <w:sz w:val="13"/>
          <w:szCs w:val="13"/>
          <w:i w:val="1"/>
          <w:iCs w:val="1"/>
          <w:color w:val="auto"/>
        </w:rPr>
        <w:t>a/k/a</w:t>
      </w:r>
      <w:r>
        <w:rPr>
          <w:rFonts w:ascii="Times New Roman" w:cs="Times New Roman" w:eastAsia="Times New Roman" w:hAnsi="Times New Roman"/>
          <w:sz w:val="13"/>
          <w:szCs w:val="13"/>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29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was no carrying value of OREO properties on our consolidated statements of financial condition at December 31, 2024 or December 31, 2023. We did not recognize any provisions for losses on OREO properties during the years ended December 31, 2024, 2023 or 2022.</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Past Due Loans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Loans Delinquent 30 to 59 Days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we had loans totaling $10.3 million that were past due between 30 and 59 days, compared to $12.0 million at December 31, 2023. The 30 to 59-day delinquency levels fluctuate monthly, and are generally considered a less accurate indicator of near-term credit quality trends than non-accrual loans.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Loans Delinquent 60 to 89 Days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we had loans totaling $31.3 million that were past due between 60 and 89 days, compared to $1.3 million at December 31, 2023. The 60 to 89-day delinquency levels fluctuate monthly, and are generally considered a less accurate indicator of near-term credit quality trends than non-accrual loans.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Accruing Loans 90 Days or More Past Due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accruing loans 90 days or more past due at December 31, 2024 or 2023.</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Reserve for Unfunded Loan Commitments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We maintain a reserve, recorded in other liabilities, associated with unfunded loan commitments accepted by the borrower. The amount of reserve was $2.7 million at December 31, 2024 and 2023, respectively. This reserve is determined based upon the outstanding volume of unfunded loan commitments at each period end. Any increases or reductions in this reserve are recognized in provision for credit losses.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Provision for credit losses of $36.1 million and $2.8 million were recorded during the twelve-month periods ended December 31, 2024 and 2023, respectively. The $36.1 million provision for credit losses recognized in 2024 was related to additional provisioning for the pooled multifamily, C&amp;I, and criticized loan portfolios. The $2.8 million provision for credit losses recognized in 2023 was associated with provisioning for individually analyzed loans.</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further discussion of the allowance for credit losses and related activity during the years ended December 31, 2024, 2023 and 2022, please see Note 4 to the Consolidated Financial Statements.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our allowance for credit losses allocated by loan type and the percent of each to total loans at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ind w:right="29"/>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jc w:val="center"/>
              <w:ind w:right="49"/>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center"/>
              <w:ind w:right="29"/>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of Loans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9"/>
                <w:szCs w:val="9"/>
                <w:b w:val="1"/>
                <w:bCs w:val="1"/>
                <w:color w:val="auto"/>
              </w:rPr>
              <w:t>of Loans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of Loans</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in Each</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9"/>
                <w:szCs w:val="9"/>
                <w:b w:val="1"/>
                <w:bCs w:val="1"/>
                <w:color w:val="auto"/>
              </w:rPr>
              <w:t>in Each</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in Each</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Category</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9"/>
                <w:szCs w:val="9"/>
                <w:b w:val="1"/>
                <w:bCs w:val="1"/>
                <w:color w:val="auto"/>
              </w:rPr>
              <w:t>Category</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Category</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9"/>
                <w:szCs w:val="9"/>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Allocated</w:t>
            </w: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to Total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Allocated</w:t>
            </w:r>
          </w:p>
        </w:tc>
        <w:tc>
          <w:tcPr>
            <w:tcW w:w="560" w:type="dxa"/>
            <w:vAlign w:val="bottom"/>
          </w:tcPr>
          <w:p>
            <w:pPr>
              <w:jc w:val="center"/>
              <w:ind w:right="49"/>
              <w:spacing w:after="0"/>
              <w:rPr>
                <w:sz w:val="20"/>
                <w:szCs w:val="20"/>
                <w:color w:val="auto"/>
              </w:rPr>
            </w:pPr>
            <w:r>
              <w:rPr>
                <w:rFonts w:ascii="Times New Roman" w:cs="Times New Roman" w:eastAsia="Times New Roman" w:hAnsi="Times New Roman"/>
                <w:sz w:val="9"/>
                <w:szCs w:val="9"/>
                <w:b w:val="1"/>
                <w:bCs w:val="1"/>
                <w:color w:val="auto"/>
                <w:w w:val="99"/>
              </w:rPr>
              <w:t>to Total</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Allocated</w:t>
            </w:r>
          </w:p>
        </w:tc>
        <w:tc>
          <w:tcPr>
            <w:tcW w:w="58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w w:val="99"/>
              </w:rPr>
              <w:t>to Total</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60" w:type="dxa"/>
            <w:vAlign w:val="bottom"/>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Loans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60" w:type="dxa"/>
            <w:vAlign w:val="bottom"/>
          </w:tcPr>
          <w:p>
            <w:pPr>
              <w:jc w:val="center"/>
              <w:ind w:right="69"/>
              <w:spacing w:after="0"/>
              <w:rPr>
                <w:sz w:val="20"/>
                <w:szCs w:val="20"/>
                <w:color w:val="auto"/>
              </w:rPr>
            </w:pPr>
            <w:r>
              <w:rPr>
                <w:rFonts w:ascii="Times New Roman" w:cs="Times New Roman" w:eastAsia="Times New Roman" w:hAnsi="Times New Roman"/>
                <w:sz w:val="9"/>
                <w:szCs w:val="9"/>
                <w:b w:val="1"/>
                <w:bCs w:val="1"/>
                <w:color w:val="auto"/>
              </w:rPr>
              <w:t>Loans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580" w:type="dxa"/>
            <w:vAlign w:val="bottom"/>
          </w:tcPr>
          <w:p>
            <w:pPr>
              <w:jc w:val="center"/>
              <w:ind w:right="9"/>
              <w:spacing w:after="0"/>
              <w:rPr>
                <w:sz w:val="20"/>
                <w:szCs w:val="20"/>
                <w:color w:val="auto"/>
              </w:rPr>
            </w:pPr>
            <w:r>
              <w:rPr>
                <w:rFonts w:ascii="Times New Roman" w:cs="Times New Roman" w:eastAsia="Times New Roman" w:hAnsi="Times New Roman"/>
                <w:sz w:val="9"/>
                <w:szCs w:val="9"/>
                <w:b w:val="1"/>
                <w:bCs w:val="1"/>
                <w:color w:val="auto"/>
              </w:rPr>
              <w:t>Loans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5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42,898</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25.08</w:t>
            </w:r>
          </w:p>
        </w:tc>
        <w:tc>
          <w:tcPr>
            <w:tcW w:w="300" w:type="dxa"/>
            <w:vAlign w:val="bottom"/>
            <w:tcBorders>
              <w:top w:val="single" w:sz="8" w:color="CCEEFF"/>
            </w:tcBorders>
            <w:shd w:val="clear" w:color="auto" w:fill="CCEEFF"/>
          </w:tcPr>
          <w:p>
            <w:pPr>
              <w:jc w:val="right"/>
              <w:ind w:right="126"/>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35,962</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21.44</w:t>
            </w:r>
          </w:p>
        </w:tc>
        <w:tc>
          <w:tcPr>
            <w:tcW w:w="260" w:type="dxa"/>
            <w:vAlign w:val="bottom"/>
            <w:tcBorders>
              <w:top w:val="single" w:sz="8" w:color="CCEEFF"/>
            </w:tcBorders>
            <w:shd w:val="clear" w:color="auto" w:fill="CCEEFF"/>
          </w:tcPr>
          <w:p>
            <w:pPr>
              <w:jc w:val="right"/>
              <w:ind w:right="13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47,029</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20.93</w:t>
            </w: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cooperative/condominium apartment</w:t>
            </w: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9,501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8.75</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6,813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8.24</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5,969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7.32</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11,946</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35.16</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7,237</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37.31</w:t>
            </w: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8,360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38.11</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21,876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29.72</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19,623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31.39</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20,153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31.40</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2,323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1.25</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1,989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1.57</w:t>
            </w: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1,723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2.17</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207</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0.04</w:t>
            </w:r>
          </w:p>
        </w:tc>
        <w:tc>
          <w:tcPr>
            <w:tcW w:w="3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119</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0.05</w:t>
            </w:r>
          </w:p>
        </w:tc>
        <w:tc>
          <w:tcPr>
            <w:tcW w:w="2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273</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0.07</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88,751</w:t>
            </w: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100.00</w:t>
            </w:r>
          </w:p>
        </w:tc>
        <w:tc>
          <w:tcPr>
            <w:tcW w:w="300" w:type="dxa"/>
            <w:vAlign w:val="bottom"/>
            <w:tcBorders>
              <w:bottom w:val="single" w:sz="8" w:color="CCEEFF"/>
            </w:tcBorders>
            <w:shd w:val="clear" w:color="auto" w:fill="CCEEFF"/>
          </w:tcPr>
          <w:p>
            <w:pPr>
              <w:jc w:val="right"/>
              <w:ind w:right="126"/>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71,743</w:t>
            </w: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100.00</w:t>
            </w:r>
          </w:p>
        </w:tc>
        <w:tc>
          <w:tcPr>
            <w:tcW w:w="260" w:type="dxa"/>
            <w:vAlign w:val="bottom"/>
            <w:tcBorders>
              <w:bottom w:val="single" w:sz="8" w:color="CCEEFF"/>
            </w:tcBorders>
            <w:shd w:val="clear" w:color="auto" w:fill="CCEEFF"/>
          </w:tcPr>
          <w:p>
            <w:pPr>
              <w:jc w:val="right"/>
              <w:ind w:right="132"/>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83,507</w:t>
            </w: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100.00</w:t>
            </w:r>
          </w:p>
        </w:tc>
        <w:tc>
          <w:tcPr>
            <w:tcW w:w="200" w:type="dxa"/>
            <w:vAlign w:val="bottom"/>
            <w:tcBorders>
              <w:bottom w:val="single" w:sz="8" w:color="CCEEFF"/>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sets forth information about our allowance for credit losses at or for the dates indicated: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40" w:type="dxa"/>
            <w:vAlign w:val="bottom"/>
          </w:tcPr>
          <w:p>
            <w:pPr>
              <w:spacing w:after="0"/>
              <w:rPr>
                <w:sz w:val="11"/>
                <w:szCs w:val="11"/>
                <w:color w:val="auto"/>
              </w:rPr>
            </w:pPr>
          </w:p>
        </w:tc>
        <w:tc>
          <w:tcPr>
            <w:tcW w:w="2300" w:type="dxa"/>
            <w:vAlign w:val="bottom"/>
            <w:gridSpan w:val="8"/>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At or for the Year Ended December 31,</w:t>
            </w:r>
          </w:p>
        </w:tc>
        <w:tc>
          <w:tcPr>
            <w:tcW w:w="6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3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Total loans outstanding at end of period </w:t>
            </w:r>
            <w:r>
              <w:rPr>
                <w:rFonts w:ascii="Times New Roman" w:cs="Times New Roman" w:eastAsia="Times New Roman" w:hAnsi="Times New Roman"/>
                <w:sz w:val="11"/>
                <w:szCs w:val="11"/>
                <w:color w:val="auto"/>
                <w:vertAlign w:val="superscript"/>
              </w:rPr>
              <w:t>(1)</w:t>
            </w:r>
          </w:p>
        </w:tc>
        <w:tc>
          <w:tcPr>
            <w:tcW w:w="1440" w:type="dxa"/>
            <w:vAlign w:val="bottom"/>
            <w:tcBorders>
              <w:top w:val="single" w:sz="8" w:color="auto"/>
            </w:tcBorders>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10,869,328</w:t>
            </w: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10,766,837</w:t>
            </w: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10,566,831</w:t>
            </w: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8"/>
                <w:szCs w:val="8"/>
                <w:color w:val="auto"/>
              </w:rPr>
              <w:t xml:space="preserve">Average total loans outstanding during the period </w:t>
            </w:r>
            <w:r>
              <w:rPr>
                <w:rFonts w:ascii="Times New Roman" w:cs="Times New Roman" w:eastAsia="Times New Roman" w:hAnsi="Times New Roman"/>
                <w:sz w:val="12"/>
                <w:szCs w:val="12"/>
                <w:color w:val="auto"/>
                <w:vertAlign w:val="superscript"/>
              </w:rPr>
              <w:t>(2)</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10,821,821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10,764,598</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9,747,887</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balance at end of period</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88,751</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71,743</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83,507</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to total loans at end of period</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0.82</w:t>
            </w:r>
          </w:p>
        </w:tc>
        <w:tc>
          <w:tcPr>
            <w:tcW w:w="220" w:type="dxa"/>
            <w:vAlign w:val="bottom"/>
            <w:gridSpan w:val="2"/>
          </w:tcPr>
          <w:p>
            <w:pPr>
              <w:jc w:val="right"/>
              <w:ind w:right="1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0.67</w:t>
            </w:r>
          </w:p>
        </w:tc>
        <w:tc>
          <w:tcPr>
            <w:tcW w:w="220" w:type="dxa"/>
            <w:vAlign w:val="bottom"/>
            <w:gridSpan w:val="2"/>
          </w:tcPr>
          <w:p>
            <w:pPr>
              <w:jc w:val="right"/>
              <w:ind w:right="1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0.79</w:t>
            </w:r>
          </w:p>
        </w:tc>
        <w:tc>
          <w:tcPr>
            <w:tcW w:w="220" w:type="dxa"/>
            <w:vAlign w:val="bottom"/>
            <w:gridSpan w:val="2"/>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Non-performing loans to total loans at end of period</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0.46</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0.27</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0.32</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to total non-performing loans at end of period</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179.37</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246.55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243.91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Ratio of net charge-offs to average loans outstanding during the period:</w:t>
            </w:r>
          </w:p>
        </w:tc>
        <w:tc>
          <w:tcPr>
            <w:tcW w:w="1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Business loans</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0.30</w:t>
            </w:r>
          </w:p>
        </w:tc>
        <w:tc>
          <w:tcPr>
            <w:tcW w:w="220" w:type="dxa"/>
            <w:vAlign w:val="bottom"/>
            <w:gridSpan w:val="2"/>
            <w:shd w:val="clear" w:color="auto" w:fill="CCEEFF"/>
          </w:tcPr>
          <w:p>
            <w:pPr>
              <w:jc w:val="right"/>
              <w:ind w:right="1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1.37</w:t>
            </w:r>
          </w:p>
        </w:tc>
        <w:tc>
          <w:tcPr>
            <w:tcW w:w="220" w:type="dxa"/>
            <w:vAlign w:val="bottom"/>
            <w:gridSpan w:val="2"/>
            <w:shd w:val="clear" w:color="auto" w:fill="CCEEFF"/>
          </w:tcPr>
          <w:p>
            <w:pPr>
              <w:jc w:val="right"/>
              <w:ind w:right="1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0.77</w:t>
            </w:r>
          </w:p>
        </w:tc>
        <w:tc>
          <w:tcPr>
            <w:tcW w:w="220" w:type="dxa"/>
            <w:vAlign w:val="bottom"/>
            <w:gridSpan w:val="2"/>
            <w:shd w:val="clear" w:color="auto" w:fill="CCEEFF"/>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cooperative/condominium apartment</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0.12</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0.21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4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1.80</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4.34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0.42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Total</w:t>
            </w:r>
          </w:p>
        </w:tc>
        <w:tc>
          <w:tcPr>
            <w:tcW w:w="14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0.18</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0.07</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251"/>
        <w:spacing w:after="0" w:line="216" w:lineRule="auto"/>
        <w:tabs>
          <w:tab w:leader="none" w:pos="28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Total loans represent gross loans (excluding loans held for sale), fair value hedge basis point adjustments, inclusive of deferred fees/costs and premiums/discounts.</w:t>
      </w:r>
    </w:p>
    <w:p>
      <w:pPr>
        <w:spacing w:after="0" w:line="17" w:lineRule="exact"/>
        <w:rPr>
          <w:rFonts w:ascii="Times New Roman" w:cs="Times New Roman" w:eastAsia="Times New Roman" w:hAnsi="Times New Roman"/>
          <w:sz w:val="20"/>
          <w:szCs w:val="20"/>
          <w:color w:val="auto"/>
          <w:vertAlign w:val="superscript"/>
        </w:rPr>
      </w:pPr>
    </w:p>
    <w:p>
      <w:pPr>
        <w:ind w:left="280" w:hanging="251"/>
        <w:spacing w:after="0" w:line="181" w:lineRule="auto"/>
        <w:tabs>
          <w:tab w:leader="none" w:pos="28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Total average loans represent gross loans (including loans held for sale and fair value hedge basis point adjustments), inclusive of deferred loan fees/costs and premiums/discounts.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Investment Activities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Securities available-for-sale</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amortized cost, fair value and weighted average yield of our securities available-for-sale at December 31, 2024, categorized by remaining period to contractual maturity:</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51"/>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60"/>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Yield</w:t>
            </w:r>
          </w:p>
        </w:tc>
      </w:tr>
      <w:tr>
        <w:trPr>
          <w:trHeight w:val="146"/>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within 1 year</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6,717</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6,597</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Due after 1 year but within 5 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158,420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153,169</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140" w:type="dxa"/>
            <w:vAlign w:val="bottom"/>
          </w:tcPr>
          <w:p>
            <w:pPr>
              <w:spacing w:after="0"/>
              <w:rPr>
                <w:sz w:val="13"/>
                <w:szCs w:val="13"/>
                <w:color w:val="auto"/>
              </w:rPr>
            </w:pPr>
          </w:p>
        </w:tc>
      </w:tr>
      <w:tr>
        <w:trPr>
          <w:trHeight w:val="15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5 years but within 10 years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165,772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157,104</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40" w:type="dxa"/>
            <w:vAlign w:val="bottom"/>
            <w:shd w:val="clear" w:color="auto" w:fill="CCEEFF"/>
          </w:tcPr>
          <w:p>
            <w:pPr>
              <w:spacing w:after="0"/>
              <w:rPr>
                <w:sz w:val="13"/>
                <w:szCs w:val="13"/>
                <w:color w:val="auto"/>
              </w:rPr>
            </w:pPr>
          </w:p>
        </w:tc>
      </w:tr>
      <w:tr>
        <w:trPr>
          <w:trHeight w:val="151"/>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Due after ten years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403,225</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373,823</w:t>
            </w: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tcBorders>
              <w:bottom w:val="single" w:sz="8" w:color="CCEEFF"/>
            </w:tcBorders>
          </w:tcPr>
          <w:p>
            <w:pPr>
              <w:spacing w:after="0"/>
              <w:rPr>
                <w:sz w:val="13"/>
                <w:szCs w:val="13"/>
                <w:color w:val="auto"/>
              </w:rPr>
            </w:pPr>
          </w:p>
        </w:tc>
      </w:tr>
      <w:tr>
        <w:trPr>
          <w:trHeight w:val="141"/>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734,134</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690,693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entire carrying amount of each security at December 31, 2024 is reflected in the above table in the maturity period that includes the final security payment date and, accordingly, no effect has been given to periodic repayments or possible prepayments. The weighted average duration of our securities available-for-sale approximated 2.9 years as of December 31, 2024, when giving consideration to anticipated repayments or possible prepayments, which is significantly less than their weighted average maturity.</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weighted average contractual maturity of our securities available-for-sale: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0"/>
        </w:trPr>
        <w:tc>
          <w:tcPr>
            <w:tcW w:w="7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years)</w:t>
            </w: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6"/>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Agency notes</w:t>
            </w:r>
          </w:p>
        </w:tc>
        <w:tc>
          <w:tcPr>
            <w:tcW w:w="1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1.85</w:t>
            </w:r>
          </w:p>
        </w:tc>
      </w:tr>
      <w:tr>
        <w:trPr>
          <w:trHeight w:val="151"/>
        </w:trPr>
        <w:tc>
          <w:tcPr>
            <w:tcW w:w="7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5.90</w:t>
            </w:r>
          </w:p>
        </w:tc>
      </w:tr>
      <w:tr>
        <w:trPr>
          <w:trHeight w:val="151"/>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Pass-through MBS issued by U.S. GSEs and agency collateralized mortgage obligations ("CMOs")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18.24</w:t>
            </w:r>
          </w:p>
        </w:tc>
      </w:tr>
      <w:tr>
        <w:trPr>
          <w:trHeight w:val="160"/>
        </w:trPr>
        <w:tc>
          <w:tcPr>
            <w:tcW w:w="7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3.18</w:t>
            </w:r>
          </w:p>
        </w:tc>
      </w:tr>
    </w:tbl>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Securities held-to-maturity</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amortized cost, fair value and weighted average yield of our securities held-to-maturity at December 31, 2024, categorized by remaining period to contractual maturity:</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51"/>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60"/>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Yield</w:t>
            </w:r>
          </w:p>
        </w:tc>
      </w:tr>
      <w:tr>
        <w:trPr>
          <w:trHeight w:val="146"/>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within 1 year</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Due after 1 year but within 5 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44,898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42,359</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40" w:type="dxa"/>
            <w:vAlign w:val="bottom"/>
          </w:tcPr>
          <w:p>
            <w:pPr>
              <w:spacing w:after="0"/>
              <w:rPr>
                <w:sz w:val="13"/>
                <w:szCs w:val="13"/>
                <w:color w:val="auto"/>
              </w:rPr>
            </w:pPr>
          </w:p>
        </w:tc>
      </w:tr>
      <w:tr>
        <w:trPr>
          <w:trHeight w:val="15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5 years but within 10 years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180,658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157,523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140" w:type="dxa"/>
            <w:vAlign w:val="bottom"/>
            <w:shd w:val="clear" w:color="auto" w:fill="CCEEFF"/>
          </w:tcPr>
          <w:p>
            <w:pPr>
              <w:spacing w:after="0"/>
              <w:rPr>
                <w:sz w:val="13"/>
                <w:szCs w:val="13"/>
                <w:color w:val="auto"/>
              </w:rPr>
            </w:pPr>
          </w:p>
        </w:tc>
      </w:tr>
      <w:tr>
        <w:trPr>
          <w:trHeight w:val="151"/>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Due after ten years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411,783</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352,395</w:t>
            </w: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40" w:type="dxa"/>
            <w:vAlign w:val="bottom"/>
            <w:tcBorders>
              <w:bottom w:val="single" w:sz="8" w:color="CCEEFF"/>
            </w:tcBorders>
          </w:tcPr>
          <w:p>
            <w:pPr>
              <w:spacing w:after="0"/>
              <w:rPr>
                <w:sz w:val="13"/>
                <w:szCs w:val="13"/>
                <w:color w:val="auto"/>
              </w:rPr>
            </w:pPr>
          </w:p>
        </w:tc>
      </w:tr>
      <w:tr>
        <w:trPr>
          <w:trHeight w:val="141"/>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637,339</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552,277</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entire carrying amount of each security at December 31, 2024 is reflected in the above table in the maturity period that includes the final security payment date and, accordingly, no effect has been given to periodic repayments or possible prepayments. The weighted average duration of our securities held-to-maturity approximated 5.1 years as of December 31, 2024 when giving consideration to anticipated repayments or possible prepayments, which is significantly less than their weighted average maturity.</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weighted average contractual maturity of our securities held-to-maturity at the date indicated below:</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0"/>
        </w:trPr>
        <w:tc>
          <w:tcPr>
            <w:tcW w:w="7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years)</w:t>
            </w: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6"/>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Agency notes</w:t>
            </w:r>
          </w:p>
        </w:tc>
        <w:tc>
          <w:tcPr>
            <w:tcW w:w="1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5.26</w:t>
            </w:r>
          </w:p>
        </w:tc>
      </w:tr>
      <w:tr>
        <w:trPr>
          <w:trHeight w:val="151"/>
        </w:trPr>
        <w:tc>
          <w:tcPr>
            <w:tcW w:w="7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Corporate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8.14</w:t>
            </w:r>
          </w:p>
        </w:tc>
      </w:tr>
      <w:tr>
        <w:trPr>
          <w:trHeight w:val="151"/>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Pass-through MBS issued by GSEs and agency CMOs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20.88</w:t>
            </w:r>
          </w:p>
        </w:tc>
      </w:tr>
    </w:tbl>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Sources of Funds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Deposits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our deposit accounts and the related weighted average interest rates at the dates indicated (Dollars 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December 31, 2024</w:t>
            </w:r>
          </w:p>
        </w:tc>
        <w:tc>
          <w:tcPr>
            <w:tcW w:w="5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December 31, 2023</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6"/>
        </w:trPr>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133"/>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center"/>
              <w:ind w:right="133"/>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tcPr>
          <w:p>
            <w:pPr>
              <w:jc w:val="center"/>
              <w:ind w:right="113"/>
              <w:spacing w:after="0" w:line="86" w:lineRule="exact"/>
              <w:rPr>
                <w:sz w:val="20"/>
                <w:szCs w:val="20"/>
                <w:color w:val="auto"/>
              </w:rPr>
            </w:pPr>
            <w:r>
              <w:rPr>
                <w:rFonts w:ascii="Times New Roman" w:cs="Times New Roman" w:eastAsia="Times New Roman" w:hAnsi="Times New Roman"/>
                <w:sz w:val="9"/>
                <w:szCs w:val="9"/>
                <w:b w:val="1"/>
                <w:bCs w:val="1"/>
                <w:color w:val="auto"/>
              </w:rPr>
              <w:t>Percent</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1"/>
        </w:trPr>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rPr>
              <w:t>of</w:t>
            </w:r>
          </w:p>
        </w:tc>
        <w:tc>
          <w:tcPr>
            <w:tcW w:w="740" w:type="dxa"/>
            <w:vAlign w:val="bottom"/>
            <w:gridSpan w:val="2"/>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rPr>
              <w:t>Weighted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133"/>
              <w:spacing w:after="0" w:line="101" w:lineRule="exact"/>
              <w:rPr>
                <w:sz w:val="20"/>
                <w:szCs w:val="20"/>
                <w:color w:val="auto"/>
              </w:rPr>
            </w:pPr>
            <w:r>
              <w:rPr>
                <w:rFonts w:ascii="Times New Roman" w:cs="Times New Roman" w:eastAsia="Times New Roman" w:hAnsi="Times New Roman"/>
                <w:sz w:val="9"/>
                <w:szCs w:val="9"/>
                <w:b w:val="1"/>
                <w:bCs w:val="1"/>
                <w:color w:val="auto"/>
                <w:w w:val="99"/>
              </w:rPr>
              <w:t>Of</w:t>
            </w:r>
          </w:p>
        </w:tc>
        <w:tc>
          <w:tcPr>
            <w:tcW w:w="660" w:type="dxa"/>
            <w:vAlign w:val="bottom"/>
            <w:gridSpan w:val="2"/>
          </w:tcPr>
          <w:p>
            <w:pPr>
              <w:jc w:val="center"/>
              <w:ind w:right="91"/>
              <w:spacing w:after="0" w:line="101" w:lineRule="exact"/>
              <w:rPr>
                <w:sz w:val="20"/>
                <w:szCs w:val="20"/>
                <w:color w:val="auto"/>
              </w:rPr>
            </w:pPr>
            <w:r>
              <w:rPr>
                <w:rFonts w:ascii="Times New Roman" w:cs="Times New Roman" w:eastAsia="Times New Roman" w:hAnsi="Times New Roman"/>
                <w:sz w:val="9"/>
                <w:szCs w:val="9"/>
                <w:b w:val="1"/>
                <w:bCs w:val="1"/>
                <w:color w:val="auto"/>
              </w:rPr>
              <w:t>Weighted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113"/>
              <w:spacing w:after="0" w:line="101" w:lineRule="exact"/>
              <w:rPr>
                <w:sz w:val="20"/>
                <w:szCs w:val="20"/>
                <w:color w:val="auto"/>
              </w:rPr>
            </w:pPr>
            <w:r>
              <w:rPr>
                <w:rFonts w:ascii="Times New Roman" w:cs="Times New Roman" w:eastAsia="Times New Roman" w:hAnsi="Times New Roman"/>
                <w:sz w:val="9"/>
                <w:szCs w:val="9"/>
                <w:b w:val="1"/>
                <w:bCs w:val="1"/>
                <w:color w:val="auto"/>
                <w:w w:val="99"/>
              </w:rPr>
              <w:t>Of</w:t>
            </w:r>
          </w:p>
        </w:tc>
        <w:tc>
          <w:tcPr>
            <w:tcW w:w="660" w:type="dxa"/>
            <w:vAlign w:val="bottom"/>
            <w:gridSpan w:val="2"/>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Weighted</w:t>
            </w:r>
          </w:p>
        </w:tc>
      </w:tr>
      <w:tr>
        <w:trPr>
          <w:trHeight w:val="101"/>
        </w:trPr>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740" w:type="dxa"/>
            <w:vAlign w:val="bottom"/>
            <w:gridSpan w:val="2"/>
          </w:tcPr>
          <w:p>
            <w:pPr>
              <w:jc w:val="center"/>
              <w:ind w:right="133"/>
              <w:spacing w:after="0" w:line="101"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133"/>
              <w:spacing w:after="0" w:line="101" w:lineRule="exact"/>
              <w:rPr>
                <w:sz w:val="20"/>
                <w:szCs w:val="20"/>
                <w:color w:val="auto"/>
              </w:rPr>
            </w:pPr>
            <w:r>
              <w:rPr>
                <w:rFonts w:ascii="Times New Roman" w:cs="Times New Roman" w:eastAsia="Times New Roman" w:hAnsi="Times New Roman"/>
                <w:sz w:val="9"/>
                <w:szCs w:val="9"/>
                <w:b w:val="1"/>
                <w:bCs w:val="1"/>
                <w:color w:val="auto"/>
              </w:rPr>
              <w:t>Total</w:t>
            </w:r>
          </w:p>
        </w:tc>
        <w:tc>
          <w:tcPr>
            <w:tcW w:w="660" w:type="dxa"/>
            <w:vAlign w:val="bottom"/>
            <w:gridSpan w:val="2"/>
          </w:tcPr>
          <w:p>
            <w:pPr>
              <w:jc w:val="center"/>
              <w:ind w:right="111"/>
              <w:spacing w:after="0" w:line="101"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133"/>
              <w:spacing w:after="0" w:line="101"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660" w:type="dxa"/>
            <w:vAlign w:val="bottom"/>
            <w:gridSpan w:val="2"/>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Average</w:t>
            </w:r>
          </w:p>
        </w:tc>
      </w:tr>
      <w:tr>
        <w:trPr>
          <w:trHeight w:val="11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6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Deposits</w:t>
            </w:r>
          </w:p>
        </w:tc>
        <w:tc>
          <w:tcPr>
            <w:tcW w:w="7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Rate</w:t>
            </w:r>
          </w:p>
        </w:tc>
        <w:tc>
          <w:tcPr>
            <w:tcW w:w="1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Amount</w:t>
            </w:r>
          </w:p>
        </w:tc>
        <w:tc>
          <w:tcPr>
            <w:tcW w:w="6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Deposits</w:t>
            </w:r>
          </w:p>
        </w:tc>
        <w:tc>
          <w:tcPr>
            <w:tcW w:w="660" w:type="dxa"/>
            <w:vAlign w:val="bottom"/>
            <w:gridSpan w:val="2"/>
          </w:tcPr>
          <w:p>
            <w:pPr>
              <w:jc w:val="center"/>
              <w:ind w:right="111"/>
              <w:spacing w:after="0"/>
              <w:rPr>
                <w:sz w:val="20"/>
                <w:szCs w:val="20"/>
                <w:color w:val="auto"/>
              </w:rPr>
            </w:pPr>
            <w:r>
              <w:rPr>
                <w:rFonts w:ascii="Times New Roman" w:cs="Times New Roman" w:eastAsia="Times New Roman" w:hAnsi="Times New Roman"/>
                <w:sz w:val="9"/>
                <w:szCs w:val="9"/>
                <w:b w:val="1"/>
                <w:bCs w:val="1"/>
                <w:color w:val="auto"/>
              </w:rPr>
              <w:t>Rate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66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Deposits</w:t>
            </w:r>
          </w:p>
        </w:tc>
        <w:tc>
          <w:tcPr>
            <w:tcW w:w="660" w:type="dxa"/>
            <w:vAlign w:val="bottom"/>
            <w:gridSpan w:val="2"/>
          </w:tcPr>
          <w:p>
            <w:pPr>
              <w:jc w:val="center"/>
              <w:ind w:right="73"/>
              <w:spacing w:after="0"/>
              <w:rPr>
                <w:sz w:val="20"/>
                <w:szCs w:val="20"/>
                <w:color w:val="auto"/>
              </w:rPr>
            </w:pPr>
            <w:r>
              <w:rPr>
                <w:rFonts w:ascii="Times New Roman" w:cs="Times New Roman" w:eastAsia="Times New Roman" w:hAnsi="Times New Roman"/>
                <w:sz w:val="9"/>
                <w:szCs w:val="9"/>
                <w:b w:val="1"/>
                <w:bCs w:val="1"/>
                <w:color w:val="auto"/>
                <w:w w:val="99"/>
              </w:rPr>
              <w:t>Rate</w:t>
            </w:r>
          </w:p>
        </w:tc>
      </w:tr>
      <w:tr>
        <w:trPr>
          <w:trHeight w:val="91"/>
        </w:trPr>
        <w:tc>
          <w:tcPr>
            <w:tcW w:w="228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Savings accounts</w:t>
            </w: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1,927,909</w:t>
            </w: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16.5</w:t>
            </w:r>
          </w:p>
        </w:tc>
        <w:tc>
          <w:tcPr>
            <w:tcW w:w="180" w:type="dxa"/>
            <w:vAlign w:val="bottom"/>
            <w:tcBorders>
              <w:top w:val="single" w:sz="8" w:color="CCEEFF"/>
            </w:tcBorders>
            <w:shd w:val="clear" w:color="auto" w:fill="CCEEFF"/>
          </w:tcPr>
          <w:p>
            <w:pPr>
              <w:jc w:val="right"/>
              <w:ind w:right="33"/>
              <w:spacing w:after="0" w:line="91"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5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2.98</w:t>
            </w:r>
          </w:p>
        </w:tc>
        <w:tc>
          <w:tcPr>
            <w:tcW w:w="200" w:type="dxa"/>
            <w:vAlign w:val="bottom"/>
            <w:tcBorders>
              <w:top w:val="single" w:sz="8" w:color="CCEEFF"/>
            </w:tcBorders>
            <w:shd w:val="clear" w:color="auto" w:fill="CCEEFF"/>
          </w:tcPr>
          <w:p>
            <w:pPr>
              <w:jc w:val="right"/>
              <w:ind w:right="53"/>
              <w:spacing w:after="0" w:line="91"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2,335,490</w:t>
            </w: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22.2</w:t>
            </w:r>
          </w:p>
        </w:tc>
        <w:tc>
          <w:tcPr>
            <w:tcW w:w="180" w:type="dxa"/>
            <w:vAlign w:val="bottom"/>
            <w:tcBorders>
              <w:top w:val="single" w:sz="8" w:color="CCEEFF"/>
            </w:tcBorders>
            <w:shd w:val="clear" w:color="auto" w:fill="CCEEFF"/>
          </w:tcPr>
          <w:p>
            <w:pPr>
              <w:jc w:val="right"/>
              <w:ind w:right="53"/>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5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3.67</w:t>
            </w:r>
          </w:p>
        </w:tc>
        <w:tc>
          <w:tcPr>
            <w:tcW w:w="120" w:type="dxa"/>
            <w:vAlign w:val="bottom"/>
            <w:tcBorders>
              <w:top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6"/>
                <w:szCs w:val="6"/>
                <w:color w:val="auto"/>
                <w:w w:val="79"/>
              </w:rPr>
              <w:t>%</w:t>
            </w: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2,260,101</w:t>
            </w:r>
          </w:p>
        </w:tc>
        <w:tc>
          <w:tcPr>
            <w:tcW w:w="1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22.0</w:t>
            </w:r>
          </w:p>
        </w:tc>
        <w:tc>
          <w:tcPr>
            <w:tcW w:w="180" w:type="dxa"/>
            <w:vAlign w:val="bottom"/>
            <w:tcBorders>
              <w:top w:val="single" w:sz="8" w:color="CCEEFF"/>
            </w:tcBorders>
            <w:shd w:val="clear" w:color="auto" w:fill="CCEEFF"/>
          </w:tcPr>
          <w:p>
            <w:pPr>
              <w:jc w:val="right"/>
              <w:ind w:right="53"/>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5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2.24</w:t>
            </w:r>
          </w:p>
        </w:tc>
        <w:tc>
          <w:tcPr>
            <w:tcW w:w="120" w:type="dxa"/>
            <w:vAlign w:val="bottom"/>
            <w:tcBorders>
              <w:top w:val="single" w:sz="8" w:color="CCEEFF"/>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w w:val="79"/>
              </w:rPr>
              <w:t>%</w:t>
            </w:r>
          </w:p>
        </w:tc>
      </w:tr>
      <w:tr>
        <w:trPr>
          <w:trHeight w:val="101"/>
        </w:trPr>
        <w:tc>
          <w:tcPr>
            <w:tcW w:w="240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CDs</w:t>
            </w: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1,069,081</w:t>
            </w: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9.1</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3.73</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1,607,683</w:t>
            </w: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15.3</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4.43</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1,115,364</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10.9</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2.25</w:t>
            </w:r>
          </w:p>
        </w:tc>
        <w:tc>
          <w:tcPr>
            <w:tcW w:w="120" w:type="dxa"/>
            <w:vAlign w:val="bottom"/>
          </w:tcPr>
          <w:p>
            <w:pPr>
              <w:spacing w:after="0"/>
              <w:rPr>
                <w:sz w:val="8"/>
                <w:szCs w:val="8"/>
                <w:color w:val="auto"/>
              </w:rPr>
            </w:pPr>
          </w:p>
        </w:tc>
      </w:tr>
      <w:tr>
        <w:trPr>
          <w:trHeight w:val="101"/>
        </w:trPr>
        <w:tc>
          <w:tcPr>
            <w:tcW w:w="24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Money market accounts</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4,198,784</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36.0</w:t>
            </w: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3.01</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3,125,996</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29.6</w:t>
            </w: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3.46</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2,532,270</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24.7</w:t>
            </w: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1.50</w:t>
            </w:r>
          </w:p>
        </w:tc>
        <w:tc>
          <w:tcPr>
            <w:tcW w:w="120" w:type="dxa"/>
            <w:vAlign w:val="bottom"/>
            <w:shd w:val="clear" w:color="auto" w:fill="CCEEFF"/>
          </w:tcPr>
          <w:p>
            <w:pPr>
              <w:spacing w:after="0"/>
              <w:rPr>
                <w:sz w:val="8"/>
                <w:szCs w:val="8"/>
                <w:color w:val="auto"/>
              </w:rPr>
            </w:pPr>
          </w:p>
        </w:tc>
      </w:tr>
      <w:tr>
        <w:trPr>
          <w:trHeight w:val="101"/>
        </w:trPr>
        <w:tc>
          <w:tcPr>
            <w:tcW w:w="240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Interest-bearing checking accounts</w:t>
            </w: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1,079,823</w:t>
            </w: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9.2</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1.92</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515,987</w:t>
            </w: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4.9</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0.77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827,454</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8.1</w:t>
            </w:r>
          </w:p>
        </w:tc>
        <w:tc>
          <w:tcPr>
            <w:tcW w:w="18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1.01</w:t>
            </w:r>
          </w:p>
        </w:tc>
        <w:tc>
          <w:tcPr>
            <w:tcW w:w="120" w:type="dxa"/>
            <w:vAlign w:val="bottom"/>
          </w:tcPr>
          <w:p>
            <w:pPr>
              <w:spacing w:after="0"/>
              <w:rPr>
                <w:sz w:val="8"/>
                <w:szCs w:val="8"/>
                <w:color w:val="auto"/>
              </w:rPr>
            </w:pPr>
          </w:p>
        </w:tc>
      </w:tr>
      <w:tr>
        <w:trPr>
          <w:trHeight w:val="101"/>
        </w:trPr>
        <w:tc>
          <w:tcPr>
            <w:tcW w:w="24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Non-interest-bearing checking accounts</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3,410,544</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29.2</w:t>
            </w:r>
          </w:p>
        </w:tc>
        <w:tc>
          <w:tcPr>
            <w:tcW w:w="1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7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2,945,499</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28.0</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31"/>
              <w:spacing w:after="0" w:line="10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3,519,218</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34.3</w:t>
            </w:r>
          </w:p>
        </w:tc>
        <w:tc>
          <w:tcPr>
            <w:tcW w:w="1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93"/>
              <w:spacing w:after="0" w:line="101" w:lineRule="exact"/>
              <w:rPr>
                <w:sz w:val="20"/>
                <w:szCs w:val="20"/>
                <w:color w:val="auto"/>
              </w:rPr>
            </w:pPr>
            <w:r>
              <w:rPr>
                <w:rFonts w:ascii="Times New Roman" w:cs="Times New Roman" w:eastAsia="Times New Roman" w:hAnsi="Times New Roman"/>
                <w:sz w:val="9"/>
                <w:szCs w:val="9"/>
                <w:color w:val="auto"/>
              </w:rPr>
              <w:t>—</w:t>
            </w:r>
          </w:p>
        </w:tc>
      </w:tr>
      <w:tr>
        <w:trPr>
          <w:trHeight w:val="91"/>
        </w:trPr>
        <w:tc>
          <w:tcPr>
            <w:tcW w:w="2400" w:type="dxa"/>
            <w:vAlign w:val="bottom"/>
            <w:gridSpan w:val="2"/>
          </w:tcPr>
          <w:p>
            <w:pPr>
              <w:spacing w:after="0" w:line="91" w:lineRule="exact"/>
              <w:rPr>
                <w:sz w:val="20"/>
                <w:szCs w:val="20"/>
                <w:color w:val="auto"/>
              </w:rPr>
            </w:pPr>
            <w:r>
              <w:rPr>
                <w:rFonts w:ascii="Times New Roman" w:cs="Times New Roman" w:eastAsia="Times New Roman" w:hAnsi="Times New Roman"/>
                <w:sz w:val="9"/>
                <w:szCs w:val="9"/>
                <w:color w:val="auto"/>
              </w:rPr>
              <w:t>Totals</w:t>
            </w:r>
          </w:p>
        </w:tc>
        <w:tc>
          <w:tcPr>
            <w:tcW w:w="1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11,686,141</w:t>
            </w:r>
          </w:p>
        </w:tc>
        <w:tc>
          <w:tcPr>
            <w:tcW w:w="120" w:type="dxa"/>
            <w:vAlign w:val="bottom"/>
          </w:tcPr>
          <w:p>
            <w:pPr>
              <w:spacing w:after="0"/>
              <w:rPr>
                <w:sz w:val="7"/>
                <w:szCs w:val="7"/>
                <w:color w:val="auto"/>
              </w:rPr>
            </w:pPr>
          </w:p>
        </w:tc>
        <w:tc>
          <w:tcPr>
            <w:tcW w:w="4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100.00</w:t>
            </w:r>
          </w:p>
        </w:tc>
        <w:tc>
          <w:tcPr>
            <w:tcW w:w="180" w:type="dxa"/>
            <w:vAlign w:val="bottom"/>
          </w:tcPr>
          <w:p>
            <w:pPr>
              <w:jc w:val="right"/>
              <w:ind w:right="33"/>
              <w:spacing w:after="0" w:line="91"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54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2.09</w:t>
            </w:r>
          </w:p>
        </w:tc>
        <w:tc>
          <w:tcPr>
            <w:tcW w:w="200" w:type="dxa"/>
            <w:vAlign w:val="bottom"/>
          </w:tcPr>
          <w:p>
            <w:pPr>
              <w:jc w:val="right"/>
              <w:ind w:right="53"/>
              <w:spacing w:after="0" w:line="91" w:lineRule="exact"/>
              <w:rPr>
                <w:sz w:val="20"/>
                <w:szCs w:val="20"/>
                <w:color w:val="auto"/>
              </w:rPr>
            </w:pPr>
            <w:r>
              <w:rPr>
                <w:rFonts w:ascii="Times New Roman" w:cs="Times New Roman" w:eastAsia="Times New Roman" w:hAnsi="Times New Roman"/>
                <w:sz w:val="9"/>
                <w:szCs w:val="9"/>
                <w:b w:val="1"/>
                <w:bCs w:val="1"/>
                <w:color w:val="auto"/>
                <w:w w:val="88"/>
              </w:rPr>
              <w:t>%</w:t>
            </w:r>
          </w:p>
        </w:tc>
        <w:tc>
          <w:tcPr>
            <w:tcW w:w="1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10,530,655</w:t>
            </w:r>
          </w:p>
        </w:tc>
        <w:tc>
          <w:tcPr>
            <w:tcW w:w="120" w:type="dxa"/>
            <w:vAlign w:val="bottom"/>
          </w:tcPr>
          <w:p>
            <w:pPr>
              <w:spacing w:after="0"/>
              <w:rPr>
                <w:sz w:val="7"/>
                <w:szCs w:val="7"/>
                <w:color w:val="auto"/>
              </w:rPr>
            </w:pPr>
          </w:p>
        </w:tc>
        <w:tc>
          <w:tcPr>
            <w:tcW w:w="4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100.00</w:t>
            </w:r>
          </w:p>
        </w:tc>
        <w:tc>
          <w:tcPr>
            <w:tcW w:w="180" w:type="dxa"/>
            <w:vAlign w:val="bottom"/>
          </w:tcPr>
          <w:p>
            <w:pPr>
              <w:jc w:val="right"/>
              <w:ind w:right="53"/>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660" w:type="dxa"/>
            <w:vAlign w:val="bottom"/>
            <w:tcBorders>
              <w:top w:val="single" w:sz="8" w:color="auto"/>
            </w:tcBorders>
            <w:gridSpan w:val="2"/>
          </w:tcPr>
          <w:p>
            <w:pPr>
              <w:jc w:val="right"/>
              <w:ind w:right="31"/>
              <w:spacing w:after="0" w:line="91" w:lineRule="exact"/>
              <w:rPr>
                <w:sz w:val="20"/>
                <w:szCs w:val="20"/>
                <w:color w:val="auto"/>
              </w:rPr>
            </w:pPr>
            <w:r>
              <w:rPr>
                <w:rFonts w:ascii="Times New Roman" w:cs="Times New Roman" w:eastAsia="Times New Roman" w:hAnsi="Times New Roman"/>
                <w:sz w:val="9"/>
                <w:szCs w:val="9"/>
                <w:color w:val="auto"/>
              </w:rPr>
              <w:t>2.56 %</w:t>
            </w:r>
          </w:p>
        </w:tc>
        <w:tc>
          <w:tcPr>
            <w:tcW w:w="160" w:type="dxa"/>
            <w:vAlign w:val="bottom"/>
            <w:tcBorders>
              <w:top w:val="single" w:sz="8" w:color="auto"/>
            </w:tcBorders>
            <w:gridSpan w:val="2"/>
          </w:tcPr>
          <w:p>
            <w:pPr>
              <w:jc w:val="right"/>
              <w:ind w:right="56"/>
              <w:spacing w:after="0" w:line="9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10,254,407</w:t>
            </w:r>
          </w:p>
        </w:tc>
        <w:tc>
          <w:tcPr>
            <w:tcW w:w="120" w:type="dxa"/>
            <w:vAlign w:val="bottom"/>
          </w:tcPr>
          <w:p>
            <w:pPr>
              <w:spacing w:after="0"/>
              <w:rPr>
                <w:sz w:val="7"/>
                <w:szCs w:val="7"/>
                <w:color w:val="auto"/>
              </w:rPr>
            </w:pPr>
          </w:p>
        </w:tc>
        <w:tc>
          <w:tcPr>
            <w:tcW w:w="48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100.00</w:t>
            </w:r>
          </w:p>
        </w:tc>
        <w:tc>
          <w:tcPr>
            <w:tcW w:w="180" w:type="dxa"/>
            <w:vAlign w:val="bottom"/>
          </w:tcPr>
          <w:p>
            <w:pPr>
              <w:jc w:val="right"/>
              <w:ind w:right="53"/>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54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1.19</w:t>
            </w:r>
          </w:p>
        </w:tc>
        <w:tc>
          <w:tcPr>
            <w:tcW w:w="12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w w:val="79"/>
              </w:rPr>
              <w:t>%</w:t>
            </w: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weighted average maturity of our CDs at December 31, 2024 was 5.8 months, compared to 5.1 months at December 31, 2023.</w:t>
      </w:r>
    </w:p>
    <w:p>
      <w:pPr>
        <w:spacing w:after="0" w:line="17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Non-insured deposits (excluding collateralized deposits and deposits with pass through insurance) represented 31.2% and 28.9% of total deposits as of December 31, 2024 and 2023, respectively. The Bank had $1.89 billion and $1.88 billion of public funds collateralized by securities and Municipal Letters of Credit (“MULOC”), and $1.55 billion and $680.8 million of deposits with pass through insurance as of December 31, 2024, and 2023, respectively.</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time deposits with balances exceeding the $250,000 FDIC insurance limit by maturity at December 31, 2024:</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0"/>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r>
      <w:tr>
        <w:trPr>
          <w:trHeight w:val="1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Three months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92,786</w:t>
            </w:r>
          </w:p>
        </w:tc>
      </w:tr>
      <w:tr>
        <w:trPr>
          <w:trHeight w:val="151"/>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Over three through six months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73,233</w:t>
            </w:r>
          </w:p>
        </w:tc>
      </w:tr>
      <w:tr>
        <w:trPr>
          <w:trHeight w:val="15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six through twelve months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44,118</w:t>
            </w:r>
          </w:p>
        </w:tc>
      </w:tr>
      <w:tr>
        <w:trPr>
          <w:trHeight w:val="151"/>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Over twelve months</w:t>
            </w:r>
          </w:p>
        </w:tc>
        <w:tc>
          <w:tcPr>
            <w:tcW w:w="1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24,432</w:t>
            </w:r>
          </w:p>
        </w:tc>
      </w:tr>
      <w:tr>
        <w:trPr>
          <w:trHeight w:val="141"/>
        </w:trPr>
        <w:tc>
          <w:tcPr>
            <w:tcW w:w="5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234,569</w:t>
            </w: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As of December 31, 2024, the portion of uninsured time deposits in excess of the $250,000 FDIC insurance limit was $93.3 million.</w:t>
      </w:r>
    </w:p>
    <w:p>
      <w:pPr>
        <w:spacing w:after="0" w:line="17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Our Board of Directors authorized the Bank to accept brokered deposits up to an aggregate limit of 10.0% of total assets. Brokered deposits totaled $422.8 million and $898.7 million at December 31, 2024 and 2023, respectively. Core deposit growth was used to reduce the brokered deposit position over the course of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Borrowings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Bank’s total borrowing line with FHLBNY equaled $3.87 billion at December 31, 2024. The Bank had $608.0 million of FHLBNY advances outstanding at December 31, 2024, and $1.31 billion at December 31, 2023. The Bank maintained sufficient collateral, as defined by the FHLBNY (principally in the form of real estate loans), to secure such advances.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had no outstanding securities sold under agreements to repurchase (“repurchase agreements”) at December 31, 2024 or December 31, 2023.</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Board of Directors of the Bank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30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FNMA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3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Bank is a member of American Financial Exchange (“AFX”), through which it may either borrow or lend funds on an overnight or short-term basis with other member institutions. The availability of funds changes daily. At December 31, 2024, the Bank had $50.0 million of such borrowings outstanding through the AFX, which is included in other short-term borrowings on the consolidated statements of financial condition. At December 31, 2023, the Bank did not utilize funds available through the AFX.</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The Bank utilizes repurchase agreements as part of its borrowing policy to add liquidity. Repurchase agreements represent funds received from customers, generally on an overnight basis, which are collateralized by investment securities. As of December 31, 2024 and December 31, 2023, the Bank did not have any repurchase agreements.</w:t>
      </w:r>
    </w:p>
    <w:p>
      <w:pPr>
        <w:spacing w:after="0" w:line="282"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33"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Total deposits (including mortgage escrow deposits) increased $1.16 billion during the year ended December 31, 2024 compared to an increase of $276.2 million during the year ended December 31, 2023. Within deposits, core deposits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non-CDs) increased $1.74 billion during the year ended December 31, 2024 and decreased $216.1 million during the year ended December 31, 2023. The increase in core deposits during the 2024 period was primarily due to an increase in money market deposits, interest bearing checking and non interest-bearing checking accounts. During 2024, the Company made significant investments in its Private and Commercial Bank, including the hiring and onboarding of several deposit-gathering teams. CDs decreased $538.6 million during the year ended December 31, 2024 compared to an increase of $492.3 million during the year ended December 31, 2023. The decrease in CDs during the current period was primarily due to a $475.9 million decrease in brokered CDs.</w:t>
      </w:r>
    </w:p>
    <w:p>
      <w:pPr>
        <w:spacing w:after="0" w:line="29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reduced its outstanding FHLBNY advances by $705.0 million during the year ended December 31, 2024, compared to a $182.0 million increase during the year ended December 31, 2023. See Note 12. “Federal Home Loan Bank Advances” to our Consolidated Financial Statements for further information.</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Subordinated debentures totaled $272.3 million at December 31, 2024 compared to $200.2 million at December 31, 2023. The increase in subordinated debentures was due to the Company’s issuance of subordinated notes that are described in more detail in Note 13, “Subordinated Debentures” to our Consolidated Financial Statements for further information.</w:t>
      </w:r>
    </w:p>
    <w:p>
      <w:pPr>
        <w:spacing w:after="0" w:line="12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In the event that the Bank should require funds beyond its ability or desire to generate them internally, additional sources of liquidity are available through its collateralized borrowing lines at the FHLBNY and the FRB, as well as unsecured borrowing capacity through the AFX and lines of credit with unaffiliated correspondent banks. At December 31, 2024, the Bank had remaining borrowing capacity of $1.84 billion through the FHLBNY, subject to customary minimum FHLBNY common stock ownership requirements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4.5% of the Bank’s drawn FHLBNY borrowings). The Bank also had access to the FRB Discount Window. At December 31, 2024, an available line of credit totaling $394.6 million was in place at the FRB backed by investment securities with no advances drawn. Additionally, at December 31, 2024, a line of credit totaling $3.04 billion was in place at the FRB secured by certain qualifying 1-4 family residential mortgage loans, construction loans and CRE loans with no amounts drawn.</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and 2023, business loan originations totaled $371.2 million and $343.9 million, respectively. During the year ended December 31, 2024 and 2023, real estate loan originations (excluding owner-occupied commercial real estate) totaled $199.6 million and $653.7 million, respectively.</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and the Bank are subject to minimum regulatory capital requirements imposed by its primary federal regulator. As a general matter, these capital requirements are based on the amount and composition of an institution’s assets. At December 31, 2024, each of the Company and the Bank were in compliance with all applicable regulatory capital requirements and the Bank was considered "well capitalized" for all regulatory purposes.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Holding Company did not repurchase any shares of its common stock during the year ended December 31, 2024. The Holding Company repurchased 36,813 shares of its common stock at an aggregate cost of $947 thousand during the year ended December 31, 2023. As of December 31, 2024, up to 1,566,947 shares remained available for purchase under the authorized share repurchase programs. See "Part II - Item 5, Issuer Purchases of Equity Securities" for additional information about repurchases of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Holding Company paid $7.3 million in cash dividends on its preferred stock during the years ended December 31, 2024 and 2023, respectively.</w:t>
      </w:r>
    </w:p>
    <w:p>
      <w:pPr>
        <w:spacing w:after="0" w:line="173"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Holding Company paid $38.0 million and $37.3 million in cash dividends on its common stock during the years ended December 31, 2024 and 2023, respectively.</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Contractual Obligations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December 31, 2024, the Bank had $77.8 million of firm loan commitments that were accepted by the borrowers.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Additionally, in connection with a loan securitization completed in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$28.0 million of pass-through MBS issued by GSEs as collateral.</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Recently Issued Accounting Standards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a discussion of the impact of recently issued accounting standards, please see Note 1 to the Company’s Consolidated Financial Statements.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77"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The Company’s largest component of market risk remains interest rate risk. The Company is not subject to foreign currency exchange or commodity price risk. During the year ended December 31, 2024, we conducted zero transactions involving derivative instruments requiring bifurcation in order to hedge interest rate or market risk.</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Asset/Liability Management</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Management considers interest rate risk to be the most significant market risk for the Company. Market risk is the risk of losses from adverse changes in market prices and rates. Interest rate risk is the exposure to adverse changes in net income as a result of changes in interest rates.</w:t>
      </w:r>
    </w:p>
    <w:p>
      <w:pPr>
        <w:spacing w:after="0" w:line="114"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Company’s primary earnings source is net interest income, which is affected by changes in the level of interest rates, the relationship between rates, the impact of interest rate fluctuations on asset prepayments, the level and composition of deposits and liabilities, and the credit quality of earning assets. Our asset and liability management objectives are to maintain a strong, stable net interest margin, to utilize its capital effectively without taking undue risks, to maintain adequate liquidity, and to reduce vulnerability of our operations to changes in interest rates.</w:t>
      </w:r>
    </w:p>
    <w:p>
      <w:pPr>
        <w:spacing w:after="0" w:line="131"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Our Asset and Liability Management Committee evaluates periodically, but no less than four times annually, the impact of changes in market interest rates on assets and liabilities, net interest margin, capital and liquidity. Risk assessments are governed by policies and limits established by senior management, which are reviewed and approved by the Board of Directors at least annually. The economic environment continually presents uncertainties as to future interest rate trends.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Asset and Liability Management Committee regularly utilizes a model that projects net interest income based on increasing or decreasing interest rates, in order to be better able to respond to changes in interest rates.</w:t>
      </w:r>
    </w:p>
    <w:p>
      <w:pPr>
        <w:spacing w:after="0" w:line="114"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At December 31, 2024, $273.1 million, or 20.6%, of our available-for-sale and held-to-maturity securities had adjustable interest rates. At December 31, 2024, $7.98 billion, or 73.4%, of the loan portfolio had contractual terms with adjustable or floating interest rates. Changes in interest rates affect the value of interest-earning assets and, in particular, the securities portfolio. Generally, the value of securities fluctuates inversely with changes in interest rates. Increases in interest rates could result in decreases in the market value of interest-earning assets, which could adversely affect stockholders’ equity and the results of operations if sold. The Company is also subject to reinvestment risk associated with changes in interest rates. Changes in market interest rates also could affect the type (fixed-rate or adjustable-rate) and amount of loans originated and the average life of loans and securities, which can impact the yields earned on loans and securities. In periods of decreasing interest rates, the average life of loans and securities held may be shortened to the extent increased prepayment activity occurs during such periods which, in turn, may result in the investment of funds from such prepayments in lower yielding assets. Under these circumstances, the Company is subject to reinvestment risk to the extent that management is unable to reinvest the cash received from such prepayments at rates that are comparable to the rates on existing loans and securities. Additionally, increases in interest rates may result in decreasing loan prepayments with respect to fixed rate loans (and, therefore, an increase in the average life of such loans), may result in a decrease in loan demand, and may make it more difficult for borrowers to repay adjustable rate loans. In addition, increases in interest rates may result in the extensions of the average life of securities which may result in lower cash flows to the Bank.</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 Exposure Analysis</w:t>
      </w:r>
    </w:p>
    <w:p>
      <w:pPr>
        <w:spacing w:after="0" w:line="17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Economic Value of Equity ("EVE") Analysis</w:t>
      </w:r>
      <w:r>
        <w:rPr>
          <w:rFonts w:ascii="Times New Roman" w:cs="Times New Roman" w:eastAsia="Times New Roman" w:hAnsi="Times New Roman"/>
          <w:sz w:val="13"/>
          <w:szCs w:val="13"/>
          <w:color w:val="auto"/>
        </w:rPr>
        <w:t>. In accordance with agency regulatory guidelines, the Company simulates the impact of interest rate volatility upon EVE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using several interest rate scenarios. EVE is the difference between the present value of the expected future cash flows of the Company’s assets and liabilities and the value of any off-balance sheet items, such as derivatives, if applicable.</w:t>
      </w:r>
    </w:p>
    <w:p>
      <w:pPr>
        <w:spacing w:after="0" w:line="12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31"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35"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analysis that follows presents, as of December 31, 2024 and 2023, the estimated EVE at both the Pre-Shock Scenario and the -200 Basis Point Rate, -100 Basis Point Rate, +100 Basis Point Rate and +200 Basis Point Rate Shock Scenarios.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2"/>
                <w:szCs w:val="12"/>
                <w:b w:val="1"/>
                <w:bCs w:val="1"/>
                <w:color w:val="auto"/>
                <w:w w:val="97"/>
              </w:rPr>
              <w:t>Dollar</w:t>
            </w:r>
          </w:p>
        </w:tc>
        <w:tc>
          <w:tcPr>
            <w:tcW w:w="780" w:type="dxa"/>
            <w:vAlign w:val="bottom"/>
          </w:tcPr>
          <w:p>
            <w:pPr>
              <w:jc w:val="right"/>
              <w:ind w:right="40"/>
              <w:spacing w:after="0" w:line="13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00"/>
              <w:spacing w:after="0" w:line="130" w:lineRule="exact"/>
              <w:rPr>
                <w:sz w:val="20"/>
                <w:szCs w:val="20"/>
                <w:color w:val="auto"/>
              </w:rPr>
            </w:pPr>
            <w:r>
              <w:rPr>
                <w:rFonts w:ascii="Times New Roman" w:cs="Times New Roman" w:eastAsia="Times New Roman" w:hAnsi="Times New Roman"/>
                <w:sz w:val="12"/>
                <w:szCs w:val="12"/>
                <w:b w:val="1"/>
                <w:bCs w:val="1"/>
                <w:color w:val="auto"/>
                <w:w w:val="97"/>
              </w:rPr>
              <w:t>Dollar</w:t>
            </w:r>
          </w:p>
        </w:tc>
        <w:tc>
          <w:tcPr>
            <w:tcW w:w="800" w:type="dxa"/>
            <w:vAlign w:val="bottom"/>
          </w:tcPr>
          <w:p>
            <w:pPr>
              <w:jc w:val="right"/>
              <w:ind w:right="60"/>
              <w:spacing w:after="0" w:line="13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20" w:type="dxa"/>
            <w:vAlign w:val="bottom"/>
          </w:tcPr>
          <w:p>
            <w:pPr>
              <w:spacing w:after="0"/>
              <w:rPr>
                <w:sz w:val="11"/>
                <w:szCs w:val="11"/>
                <w:color w:val="auto"/>
              </w:rPr>
            </w:pPr>
          </w:p>
        </w:tc>
      </w:tr>
      <w:tr>
        <w:trPr>
          <w:trHeight w:val="162"/>
        </w:trPr>
        <w:tc>
          <w:tcPr>
            <w:tcW w:w="2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EVE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2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Rate Shock Scenarios</w:t>
            </w: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+ 200</w:t>
            </w:r>
          </w:p>
        </w:tc>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1,862,712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101,644</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1,414,548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79,745</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0" w:type="dxa"/>
            <w:vAlign w:val="bottom"/>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6"/>
              </w:rPr>
              <w:t>+ 100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1,843,160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82,092</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1,375,777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40,974</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Pre-Shock Scenario</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1,761,068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1,334,803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1,636,011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(125,057)</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1,247,956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(86,847)</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3"/>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1,439,251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(321,817)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(18.3)</w:t>
            </w:r>
          </w:p>
        </w:tc>
        <w:tc>
          <w:tcPr>
            <w:tcW w:w="3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1,112,110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(222,693)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3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Company’s Pre-Shock Scenario EVE increased from $1.33 billion at December 31, 2023, to $1.76 billion at December 31, 2024. The primary factors contributing to the increase in EVE is an increase in the value of the Bank’s non-maturity deposit base as well as down streaming some of the proceeds of a common stock offering to the Bank.</w:t>
      </w:r>
    </w:p>
    <w:p>
      <w:pPr>
        <w:spacing w:after="0" w:line="125"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Company’s EVE in the +100 Basis Point Rate and +200 Basis Point Rate Shock Scenarios increased from $1.38 billion and $1.41 billion, respectively, at December 31, 2023, to $1.84 billion and $1.86 billion, respectively, at December 31, 2024. In the -100 Basis Point Rate and -200 Basis Point Rate Shock Scenarios the Company’s EVE increased from $1.25 billion and $1.11 billion, respectively, at December 31, 2023, to $1.64 billion and $1.44 billion, respectively, at December 31, 2024.</w:t>
      </w:r>
    </w:p>
    <w:p>
      <w:pPr>
        <w:spacing w:after="0" w:line="290"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Income Simulation Analysis</w:t>
      </w:r>
      <w:r>
        <w:rPr>
          <w:rFonts w:ascii="Times New Roman" w:cs="Times New Roman" w:eastAsia="Times New Roman" w:hAnsi="Times New Roman"/>
          <w:sz w:val="13"/>
          <w:szCs w:val="13"/>
          <w:color w:val="auto"/>
        </w:rPr>
        <w:t>. As of the end of each quarterly period, the Company also monitors the impact of interest rate changes through a net interest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over a 12-month period beginning December 31, 2024, for the given rate scenarios: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Percentage Change in Net Interest Income</w:t>
            </w:r>
          </w:p>
        </w:tc>
        <w:tc>
          <w:tcPr>
            <w:tcW w:w="220" w:type="dxa"/>
            <w:vAlign w:val="bottom"/>
          </w:tcPr>
          <w:p>
            <w:pPr>
              <w:spacing w:after="0"/>
              <w:rPr>
                <w:sz w:val="13"/>
                <w:szCs w:val="13"/>
                <w:color w:val="auto"/>
              </w:rPr>
            </w:pPr>
          </w:p>
        </w:tc>
      </w:tr>
      <w:tr>
        <w:trPr>
          <w:trHeight w:val="146"/>
        </w:trPr>
        <w:tc>
          <w:tcPr>
            <w:tcW w:w="5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Gradual Change in Interest rates of:</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Year-One</w:t>
            </w:r>
          </w:p>
        </w:tc>
        <w:tc>
          <w:tcPr>
            <w:tcW w:w="420" w:type="dxa"/>
            <w:vAlign w:val="bottom"/>
          </w:tcPr>
          <w:p>
            <w:pPr>
              <w:spacing w:after="0"/>
              <w:rPr>
                <w:sz w:val="12"/>
                <w:szCs w:val="12"/>
                <w:color w:val="auto"/>
              </w:rPr>
            </w:pP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Year-Two</w:t>
            </w:r>
          </w:p>
        </w:tc>
        <w:tc>
          <w:tcPr>
            <w:tcW w:w="220" w:type="dxa"/>
            <w:vAlign w:val="bottom"/>
          </w:tcPr>
          <w:p>
            <w:pPr>
              <w:spacing w:after="0"/>
              <w:rPr>
                <w:sz w:val="12"/>
                <w:szCs w:val="12"/>
                <w:color w:val="auto"/>
              </w:rPr>
            </w:pPr>
          </w:p>
        </w:tc>
      </w:tr>
      <w:tr>
        <w:trPr>
          <w:trHeight w:val="141"/>
        </w:trPr>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+ 200</w:t>
            </w:r>
          </w:p>
        </w:tc>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420" w:type="dxa"/>
            <w:vAlign w:val="bottom"/>
            <w:tcBorders>
              <w:top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tcBorders>
              <w:top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+ 100</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4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42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283"/>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4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 xml:space="preserve">(0.8) </w:t>
            </w:r>
            <w:r>
              <w:rPr>
                <w:rFonts w:ascii="Times New Roman" w:cs="Times New Roman" w:eastAsia="Times New Roman" w:hAnsi="Times New Roman"/>
                <w:sz w:val="21"/>
                <w:szCs w:val="21"/>
                <w:color w:val="auto"/>
                <w:vertAlign w:val="subscript"/>
              </w:rPr>
              <w:t>%</w:t>
            </w:r>
          </w:p>
        </w:tc>
      </w:tr>
    </w:tbl>
    <w:p>
      <w:pPr>
        <w:spacing w:after="0" w:line="16"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Management also examines the potential impact to net interest income by simulating the impact of instantaneous changes to interest rates. The following table discloses the estimated changes to the Company’s net interest income in various time periods associated with the given interest rate shock scenarios: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441"/>
              <w:spacing w:after="0"/>
              <w:rPr>
                <w:sz w:val="20"/>
                <w:szCs w:val="20"/>
                <w:color w:val="auto"/>
              </w:rPr>
            </w:pPr>
            <w:r>
              <w:rPr>
                <w:rFonts w:ascii="Times New Roman" w:cs="Times New Roman" w:eastAsia="Times New Roman" w:hAnsi="Times New Roman"/>
                <w:sz w:val="12"/>
                <w:szCs w:val="12"/>
                <w:b w:val="1"/>
                <w:bCs w:val="1"/>
                <w:color w:val="auto"/>
              </w:rPr>
              <w:t>Percentage Change in Net Interest Income</w:t>
            </w:r>
          </w:p>
        </w:tc>
        <w:tc>
          <w:tcPr>
            <w:tcW w:w="220" w:type="dxa"/>
            <w:vAlign w:val="bottom"/>
          </w:tcPr>
          <w:p>
            <w:pPr>
              <w:spacing w:after="0"/>
              <w:rPr>
                <w:sz w:val="14"/>
                <w:szCs w:val="14"/>
                <w:color w:val="auto"/>
              </w:rPr>
            </w:pPr>
          </w:p>
        </w:tc>
      </w:tr>
      <w:tr>
        <w:trPr>
          <w:trHeight w:val="159"/>
        </w:trPr>
        <w:tc>
          <w:tcPr>
            <w:tcW w:w="5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Instantaneous Rate Shock Scenarios</w:t>
            </w: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Year-One</w:t>
            </w:r>
          </w:p>
        </w:tc>
        <w:tc>
          <w:tcPr>
            <w:tcW w:w="420" w:type="dxa"/>
            <w:vAlign w:val="bottom"/>
          </w:tcPr>
          <w:p>
            <w:pPr>
              <w:spacing w:after="0"/>
              <w:rPr>
                <w:sz w:val="13"/>
                <w:szCs w:val="13"/>
                <w:color w:val="auto"/>
              </w:rPr>
            </w:pPr>
          </w:p>
        </w:tc>
        <w:tc>
          <w:tcPr>
            <w:tcW w:w="1380" w:type="dxa"/>
            <w:vAlign w:val="bottom"/>
          </w:tcPr>
          <w:p>
            <w:pPr>
              <w:jc w:val="right"/>
              <w:ind w:right="381"/>
              <w:spacing w:after="0"/>
              <w:rPr>
                <w:sz w:val="20"/>
                <w:szCs w:val="20"/>
                <w:color w:val="auto"/>
              </w:rPr>
            </w:pPr>
            <w:r>
              <w:rPr>
                <w:rFonts w:ascii="Times New Roman" w:cs="Times New Roman" w:eastAsia="Times New Roman" w:hAnsi="Times New Roman"/>
                <w:sz w:val="12"/>
                <w:szCs w:val="12"/>
                <w:b w:val="1"/>
                <w:bCs w:val="1"/>
                <w:color w:val="auto"/>
              </w:rPr>
              <w:t>Year-Two</w:t>
            </w:r>
          </w:p>
        </w:tc>
        <w:tc>
          <w:tcPr>
            <w:tcW w:w="220" w:type="dxa"/>
            <w:vAlign w:val="bottom"/>
          </w:tcPr>
          <w:p>
            <w:pPr>
              <w:spacing w:after="0"/>
              <w:rPr>
                <w:sz w:val="13"/>
                <w:szCs w:val="13"/>
                <w:color w:val="auto"/>
              </w:rPr>
            </w:pPr>
          </w:p>
        </w:tc>
      </w:tr>
      <w:tr>
        <w:trPr>
          <w:trHeight w:val="146"/>
        </w:trPr>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+ 200</w:t>
            </w:r>
          </w:p>
        </w:tc>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420" w:type="dxa"/>
            <w:vAlign w:val="bottom"/>
            <w:tcBorders>
              <w:top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20" w:type="dxa"/>
            <w:vAlign w:val="bottom"/>
            <w:tcBorders>
              <w:top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+ 100</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42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gridSpan w:val="2"/>
            <w:shd w:val="clear" w:color="auto" w:fill="CCEEFF"/>
          </w:tcPr>
          <w:p>
            <w:pPr>
              <w:jc w:val="right"/>
              <w:ind w:right="26"/>
              <w:spacing w:after="0" w:line="151" w:lineRule="exact"/>
              <w:rPr>
                <w:sz w:val="20"/>
                <w:szCs w:val="20"/>
                <w:color w:val="auto"/>
              </w:rPr>
            </w:pPr>
            <w:r>
              <w:rPr>
                <w:rFonts w:ascii="Times New Roman" w:cs="Times New Roman" w:eastAsia="Times New Roman" w:hAnsi="Times New Roman"/>
                <w:sz w:val="10"/>
                <w:szCs w:val="10"/>
                <w:color w:val="auto"/>
              </w:rPr>
              <w:t xml:space="preserve">(1.1) </w:t>
            </w:r>
            <w:r>
              <w:rPr>
                <w:rFonts w:ascii="Times New Roman" w:cs="Times New Roman" w:eastAsia="Times New Roman" w:hAnsi="Times New Roman"/>
                <w:sz w:val="17"/>
                <w:szCs w:val="17"/>
                <w:color w:val="auto"/>
                <w:vertAlign w:val="subscript"/>
              </w:rPr>
              <w:t>%</w:t>
            </w:r>
          </w:p>
        </w:tc>
      </w:tr>
      <w:tr>
        <w:trPr>
          <w:trHeight w:val="283"/>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42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21"/>
                <w:szCs w:val="21"/>
                <w:color w:val="auto"/>
                <w:vertAlign w:val="subscript"/>
              </w:rPr>
              <w:t>%</w:t>
            </w:r>
          </w:p>
        </w:tc>
      </w:tr>
    </w:tbl>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8. Financial Statements and Supplementary Data</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the Company’s Consolidated Financial Statements with the notes thereto, see pages hereafter.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FINANCIAL CONDITION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share amounts)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06"/>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26"/>
              <w:spacing w:after="0" w:line="101"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due from banks</w:t>
            </w:r>
          </w:p>
        </w:tc>
        <w:tc>
          <w:tcPr>
            <w:tcW w:w="36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1,283,571</w:t>
            </w:r>
          </w:p>
        </w:tc>
        <w:tc>
          <w:tcPr>
            <w:tcW w:w="200" w:type="dxa"/>
            <w:vAlign w:val="bottom"/>
          </w:tcPr>
          <w:p>
            <w:pPr>
              <w:spacing w:after="0"/>
              <w:rPr>
                <w:sz w:val="9"/>
                <w:szCs w:val="9"/>
                <w:color w:val="auto"/>
              </w:rPr>
            </w:pPr>
          </w:p>
        </w:tc>
        <w:tc>
          <w:tcPr>
            <w:tcW w:w="280" w:type="dxa"/>
            <w:vAlign w:val="bottom"/>
            <w:gridSpan w:val="2"/>
          </w:tcPr>
          <w:p>
            <w:pPr>
              <w:jc w:val="right"/>
              <w:ind w:right="193"/>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457,547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Securities available-for-sale, at fair value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690,693</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886,240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Securities held-to-maturity</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637,339</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594,639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held for sale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22,625</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10,159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Loans held for investment, net of fees and costs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10,871,943</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10,773,428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(88,751)</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(71,743)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tcBorders>
              <w:bottom w:val="single" w:sz="8" w:color="CCEEFF"/>
            </w:tcBorders>
          </w:tcPr>
          <w:p>
            <w:pPr>
              <w:ind w:left="140"/>
              <w:spacing w:after="0" w:line="101" w:lineRule="exact"/>
              <w:rPr>
                <w:sz w:val="20"/>
                <w:szCs w:val="20"/>
                <w:color w:val="auto"/>
              </w:rPr>
            </w:pPr>
            <w:r>
              <w:rPr>
                <w:rFonts w:ascii="Times New Roman" w:cs="Times New Roman" w:eastAsia="Times New Roman" w:hAnsi="Times New Roman"/>
                <w:sz w:val="11"/>
                <w:szCs w:val="11"/>
                <w:color w:val="auto"/>
              </w:rPr>
              <w:t>Total loans held for investment, net</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10,783,192</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10,701,685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Premises and fixed assets, net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34,858</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44,868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Premises held for sale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jc w:val="right"/>
              <w:ind w:right="2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905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Restricted stock</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69,106</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98,750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BOLI</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290,665</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349,816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Goodwill</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155,797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155,797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Other intangible assets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3,896</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5,059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Operating lease assets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46,193</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52,729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Derivative assets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116,496</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122,132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Accrued interest receivable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55,970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55,666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162,857</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100,013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14,353,258</w:t>
            </w:r>
          </w:p>
        </w:tc>
        <w:tc>
          <w:tcPr>
            <w:tcW w:w="2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13,636,005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restart"/>
          </w:tcPr>
          <w:p>
            <w:pPr>
              <w:spacing w:after="0"/>
              <w:rPr>
                <w:sz w:val="7"/>
                <w:szCs w:val="7"/>
                <w:color w:val="auto"/>
              </w:rPr>
            </w:pPr>
          </w:p>
        </w:tc>
        <w:tc>
          <w:tcPr>
            <w:tcW w:w="6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Interest-bearing deposits</w:t>
            </w:r>
          </w:p>
        </w:tc>
        <w:tc>
          <w:tcPr>
            <w:tcW w:w="36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8,275,591</w:t>
            </w:r>
          </w:p>
        </w:tc>
        <w:tc>
          <w:tcPr>
            <w:tcW w:w="200" w:type="dxa"/>
            <w:vAlign w:val="bottom"/>
          </w:tcPr>
          <w:p>
            <w:pPr>
              <w:spacing w:after="0"/>
              <w:rPr>
                <w:sz w:val="9"/>
                <w:szCs w:val="9"/>
                <w:color w:val="auto"/>
              </w:rPr>
            </w:pPr>
          </w:p>
        </w:tc>
        <w:tc>
          <w:tcPr>
            <w:tcW w:w="280" w:type="dxa"/>
            <w:vAlign w:val="bottom"/>
            <w:gridSpan w:val="2"/>
          </w:tcPr>
          <w:p>
            <w:pPr>
              <w:jc w:val="right"/>
              <w:ind w:right="193"/>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7,585,020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Non-interest-bearing deposits</w:t>
            </w:r>
          </w:p>
        </w:tc>
        <w:tc>
          <w:tcPr>
            <w:tcW w:w="14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3,355,829</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2,884,378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color w:val="auto"/>
              </w:rPr>
              <w:t>Deposits (excluding mortgage escrow deposits)</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11,631,420</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10,469,398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Non-interest-bearing mortgage escrow deposits</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54,715</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61,121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Interest-bearing mortgage escrow deposits</w:t>
            </w:r>
          </w:p>
        </w:tc>
        <w:tc>
          <w:tcPr>
            <w:tcW w:w="1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136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mortgage escrow deposits</w:t>
            </w:r>
          </w:p>
        </w:tc>
        <w:tc>
          <w:tcPr>
            <w:tcW w:w="1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54,721</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61,257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FHLBNY advances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608,000</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1,313,000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short-term borrowings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50,000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Subordinated debt, net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272,325</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200,196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Derivative cash collateral</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112,420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108,100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Operating lease liabilities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48,993</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55,454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Derivative liabilities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108,347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121,265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Other liabilities</w:t>
            </w:r>
          </w:p>
        </w:tc>
        <w:tc>
          <w:tcPr>
            <w:tcW w:w="1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70,515</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81,110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1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12,956,741</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12,409,780</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Stockholders' equity:</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70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Preferred stock, Series A ($0.01 par, $25.00 liquidation value, 10,000,000 shares authorized and 5,299,200 shares issued and outstanding at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116,569</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116,569</w:t>
            </w:r>
          </w:p>
        </w:tc>
        <w:tc>
          <w:tcPr>
            <w:tcW w:w="0" w:type="dxa"/>
            <w:vAlign w:val="bottom"/>
          </w:tcPr>
          <w:p>
            <w:pPr>
              <w:spacing w:after="0"/>
              <w:rPr>
                <w:sz w:val="1"/>
                <w:szCs w:val="1"/>
                <w:color w:val="auto"/>
              </w:rPr>
            </w:pPr>
          </w:p>
        </w:tc>
      </w:tr>
      <w:tr>
        <w:trPr>
          <w:trHeight w:val="128"/>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31, 2024 and December 31, 2023)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70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Common stock ($0.01 par, 80,000,000 shares authorized, 46,141,361 shares and 41,637,256 shares issued at December 31, 2024 and December 31, 2023</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461</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respectively, and 43,622,292 shares and 38,822,654 shares outstanding at December 31, 2024 and December 31, 2023, respectively)</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Additional paid-in capital</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624,822</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494,454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Retained earnings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794,526</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813,007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Accumulated other comprehensive loss, net of deferred taxes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(45,018)</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(91,579)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Unearned equity awards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(7,640)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(8,622)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0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Treasury stock, at cost (2,519,069 shares and 2,814,602 shares at December 31, 2024 and December 31, 2023, respectively)</w:t>
            </w:r>
          </w:p>
        </w:tc>
        <w:tc>
          <w:tcPr>
            <w:tcW w:w="1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(87,203)</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(98,020)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4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1,396,517</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1,226,225</w:t>
            </w:r>
          </w:p>
        </w:tc>
        <w:tc>
          <w:tcPr>
            <w:tcW w:w="0" w:type="dxa"/>
            <w:vAlign w:val="bottom"/>
          </w:tcPr>
          <w:p>
            <w:pPr>
              <w:spacing w:after="0"/>
              <w:rPr>
                <w:sz w:val="1"/>
                <w:szCs w:val="1"/>
                <w:color w:val="auto"/>
              </w:rPr>
            </w:pPr>
          </w:p>
        </w:tc>
      </w:tr>
      <w:tr>
        <w:trPr>
          <w:trHeight w:val="101"/>
        </w:trPr>
        <w:tc>
          <w:tcPr>
            <w:tcW w:w="672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40" w:type="dxa"/>
            <w:vAlign w:val="bottom"/>
          </w:tcPr>
          <w:p>
            <w:pPr>
              <w:spacing w:after="0"/>
              <w:rPr>
                <w:sz w:val="8"/>
                <w:szCs w:val="8"/>
                <w:color w:val="auto"/>
              </w:rPr>
            </w:pPr>
          </w:p>
        </w:tc>
        <w:tc>
          <w:tcPr>
            <w:tcW w:w="220" w:type="dxa"/>
            <w:vAlign w:val="bottom"/>
            <w:tcBorders>
              <w:bottom w:val="single" w:sz="8" w:color="auto"/>
            </w:tcBorders>
          </w:tcPr>
          <w:p>
            <w:pPr>
              <w:jc w:val="right"/>
              <w:ind w:right="10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14,353,258</w:t>
            </w: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13,636,005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r>
        <w:rPr>
          <w:rFonts w:ascii="Times New Roman" w:cs="Times New Roman" w:eastAsia="Times New Roman" w:hAnsi="Times New Roman"/>
          <w:sz w:val="13"/>
          <w:szCs w:val="13"/>
          <w:color w:val="auto"/>
        </w:rPr>
        <w: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Loans</w:t>
            </w:r>
          </w:p>
        </w:tc>
        <w:tc>
          <w:tcPr>
            <w:tcW w:w="12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590,492</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554,488</w:t>
            </w:r>
          </w:p>
        </w:tc>
        <w:tc>
          <w:tcPr>
            <w:tcW w:w="36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406,601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33,563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32,179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29,224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short-term investments</w:t>
            </w:r>
          </w:p>
        </w:tc>
        <w:tc>
          <w:tcPr>
            <w:tcW w:w="10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26,094</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22,693</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Total interest income</w:t>
            </w:r>
          </w:p>
        </w:tc>
        <w:tc>
          <w:tcPr>
            <w:tcW w:w="10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650,149</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609,360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439,225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 expense:</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 and escrow</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284,745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219,045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38,433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Borrowed funds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41,036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66,472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19,117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cash collateral</w:t>
            </w:r>
          </w:p>
        </w:tc>
        <w:tc>
          <w:tcPr>
            <w:tcW w:w="10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6,314</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7,272</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Total interest expense</w:t>
            </w:r>
          </w:p>
        </w:tc>
        <w:tc>
          <w:tcPr>
            <w:tcW w:w="10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332,095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292,789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59,362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Net interest income</w:t>
            </w: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318,054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316,571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379,863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0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36,113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2,770</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interest income after provision for credit losses</w:t>
            </w:r>
          </w:p>
        </w:tc>
        <w:tc>
          <w:tcPr>
            <w:tcW w:w="10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281,941</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313,801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374,489</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Non-interest income:</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Service charges and other fees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16,725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16,206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Title fees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Loan level derivative income</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2,114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BOLI income</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10,376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SBA Loans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residential loans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in equity securities and loans held for sale</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on sale of securities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(42,810)</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Gain (loss) on sale of other assets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0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2,150</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Total non-interest (loss) income</w:t>
            </w:r>
          </w:p>
        </w:tc>
        <w:tc>
          <w:tcPr>
            <w:tcW w:w="10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(3,955)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36,206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38,156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Non-interest expense:</w:t>
            </w: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136,114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117,437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120,108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Severance</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1,296</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9,093</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Occupancy and equipment</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29,794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29,055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30,220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processing costs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17,745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16,474</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Marketing</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6,660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Professional services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8,614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8,069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Federal deposit insurance premiums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8,710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extinguishment of debt for FHLBNY advances and subordinated debt</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Loss due to pension settlement</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other intangible assets</w:t>
            </w: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0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14,782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17,855</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12,542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Total non-interest expense</w:t>
            </w:r>
          </w:p>
        </w:tc>
        <w:tc>
          <w:tcPr>
            <w:tcW w:w="10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226,547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213,128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51,439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136,879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22,355</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40,785</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59,359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29,084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152,556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 dividends</w:t>
            </w:r>
          </w:p>
        </w:tc>
        <w:tc>
          <w:tcPr>
            <w:tcW w:w="10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7,286</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available to common stockholders</w:t>
            </w:r>
          </w:p>
        </w:tc>
        <w:tc>
          <w:tcPr>
            <w:tcW w:w="1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21,798</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88,808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145,270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Basic</w:t>
            </w:r>
          </w:p>
        </w:tc>
        <w:tc>
          <w:tcPr>
            <w:tcW w:w="12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0.55</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36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60" w:type="dxa"/>
            <w:vAlign w:val="bottom"/>
            <w:tcBorders>
              <w:top w:val="single" w:sz="8" w:color="CCEEFF"/>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5"/>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0.55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2.29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5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1"/>
        </w:trPr>
        <w:tc>
          <w:tcPr>
            <w:tcW w:w="52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1"/>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29,084</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96,094</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152,556</w:t>
            </w:r>
          </w:p>
        </w:tc>
      </w:tr>
      <w:tr>
        <w:trPr>
          <w:trHeight w:val="151"/>
        </w:trPr>
        <w:tc>
          <w:tcPr>
            <w:tcW w:w="5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1"/>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 in unrealized gain (loss) on securities:</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1"/>
        </w:trPr>
        <w:tc>
          <w:tcPr>
            <w:tcW w:w="5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Change in net unrealized gain (loss) during the period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23,218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10,355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(138,630)</w:t>
            </w:r>
          </w:p>
        </w:tc>
      </w:tr>
      <w:tr>
        <w:trPr>
          <w:trHeight w:val="15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Reclassification adjustment for net losses included in net loss on sale of securities and other assets</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42,810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1,447</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Accretion of net unrealized loss on securities transferred to held-to-maturity</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3,028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3,142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r>
      <w:tr>
        <w:trPr>
          <w:trHeight w:val="151"/>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 in pension and other postretirement obligations:</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1"/>
        </w:trPr>
        <w:tc>
          <w:tcPr>
            <w:tcW w:w="5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adjustment for expense included in other expense</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(3,715)</w:t>
            </w:r>
          </w:p>
        </w:tc>
      </w:tr>
      <w:tr>
        <w:trPr>
          <w:trHeight w:val="15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the net actuarial gain</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(2,062)</w:t>
            </w:r>
          </w:p>
        </w:tc>
      </w:tr>
      <w:tr>
        <w:trPr>
          <w:trHeight w:val="151"/>
        </w:trPr>
        <w:tc>
          <w:tcPr>
            <w:tcW w:w="5200" w:type="dxa"/>
            <w:vAlign w:val="bottom"/>
          </w:tcPr>
          <w:p>
            <w:pPr>
              <w:spacing w:after="0"/>
              <w:rPr>
                <w:sz w:val="20"/>
                <w:szCs w:val="20"/>
                <w:color w:val="auto"/>
              </w:rPr>
            </w:pPr>
            <w:r>
              <w:rPr>
                <w:rFonts w:ascii="Times New Roman" w:cs="Times New Roman" w:eastAsia="Times New Roman" w:hAnsi="Times New Roman"/>
                <w:sz w:val="11"/>
                <w:szCs w:val="11"/>
                <w:color w:val="auto"/>
              </w:rPr>
              <w:t>Change in unrealized gain (loss) on derivatives:</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net unrealized (loss) gain during the period</w:t>
            </w: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(8,453)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(11,782)</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14,412</w:t>
            </w:r>
          </w:p>
        </w:tc>
      </w:tr>
      <w:tr>
        <w:trPr>
          <w:trHeight w:val="151"/>
        </w:trPr>
        <w:tc>
          <w:tcPr>
            <w:tcW w:w="5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Reclassification adjustment for expense included in interest expense</w:t>
            </w:r>
          </w:p>
        </w:tc>
        <w:tc>
          <w:tcPr>
            <w:tcW w:w="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10,008</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(1,621)</w:t>
            </w:r>
          </w:p>
        </w:tc>
      </w:tr>
      <w:tr>
        <w:trPr>
          <w:trHeight w:val="131"/>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 (loss) before income taxes</w:t>
            </w:r>
          </w:p>
        </w:tc>
        <w:tc>
          <w:tcPr>
            <w:tcW w:w="8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69,211</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3,517</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(128,663)</w:t>
            </w:r>
          </w:p>
        </w:tc>
      </w:tr>
      <w:tr>
        <w:trPr>
          <w:trHeight w:val="131"/>
        </w:trPr>
        <w:tc>
          <w:tcPr>
            <w:tcW w:w="5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Deferred tax expense (benefit)</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22,650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(40,465)</w:t>
            </w:r>
          </w:p>
        </w:tc>
      </w:tr>
      <w:tr>
        <w:trPr>
          <w:trHeight w:val="15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 net of tax</w:t>
            </w:r>
          </w:p>
        </w:tc>
        <w:tc>
          <w:tcPr>
            <w:tcW w:w="8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46,561</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2,800</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(88,198)</w:t>
            </w:r>
          </w:p>
        </w:tc>
      </w:tr>
      <w:tr>
        <w:trPr>
          <w:trHeight w:val="121"/>
        </w:trPr>
        <w:tc>
          <w:tcPr>
            <w:tcW w:w="5200" w:type="dxa"/>
            <w:vAlign w:val="bottom"/>
          </w:tcPr>
          <w:p>
            <w:pPr>
              <w:ind w:left="80"/>
              <w:spacing w:after="0" w:line="121" w:lineRule="exact"/>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106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75,645</w:t>
            </w:r>
          </w:p>
        </w:tc>
        <w:tc>
          <w:tcPr>
            <w:tcW w:w="38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rPr>
              <w:t>98,894</w:t>
            </w:r>
          </w:p>
        </w:tc>
        <w:tc>
          <w:tcPr>
            <w:tcW w:w="180" w:type="dxa"/>
            <w:vAlign w:val="bottom"/>
          </w:tcPr>
          <w:p>
            <w:pPr>
              <w:spacing w:after="0"/>
              <w:rPr>
                <w:sz w:val="10"/>
                <w:szCs w:val="10"/>
                <w:color w:val="auto"/>
              </w:rPr>
            </w:pPr>
          </w:p>
        </w:tc>
        <w:tc>
          <w:tcPr>
            <w:tcW w:w="180" w:type="dxa"/>
            <w:vAlign w:val="bottom"/>
          </w:tcPr>
          <w:p>
            <w:pPr>
              <w:jc w:val="right"/>
              <w:ind w:right="6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64,358</w:t>
            </w:r>
          </w:p>
        </w:tc>
      </w:tr>
      <w:tr>
        <w:trPr>
          <w:trHeight w:val="20"/>
        </w:trPr>
        <w:tc>
          <w:tcPr>
            <w:tcW w:w="5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3"/>
          <w:szCs w:val="13"/>
          <w:b w:val="1"/>
          <w:bCs w:val="1"/>
          <w:color w:val="auto"/>
        </w:rPr>
        <w:t xml:space="preserve">DIME COMMUNITY BANCSHARES, INC. AND SUBSIDIARIES CONSOLIDATED STATEMENTS OF CHANGES IN STOCKHOLDERS’ EQUITY </w:t>
      </w:r>
      <w:r>
        <w:rPr>
          <w:rFonts w:ascii="Times New Roman" w:cs="Times New Roman" w:eastAsia="Times New Roman" w:hAnsi="Times New Roman"/>
          <w:sz w:val="13"/>
          <w:szCs w:val="13"/>
          <w:color w:val="auto"/>
        </w:rPr>
        <w:t>(Dollars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Loss,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center"/>
              <w:ind w:right="70"/>
              <w:spacing w:after="0" w:line="111"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70"/>
              <w:spacing w:after="0" w:line="111"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50"/>
              <w:spacing w:after="0" w:line="111" w:lineRule="exact"/>
              <w:rPr>
                <w:sz w:val="20"/>
                <w:szCs w:val="20"/>
                <w:color w:val="auto"/>
              </w:rPr>
            </w:pPr>
            <w:r>
              <w:rPr>
                <w:rFonts w:ascii="Times New Roman" w:cs="Times New Roman" w:eastAsia="Times New Roman" w:hAnsi="Times New Roman"/>
                <w:sz w:val="10"/>
                <w:szCs w:val="10"/>
                <w:b w:val="1"/>
                <w:bCs w:val="1"/>
                <w:color w:val="auto"/>
                <w:w w:val="99"/>
              </w:rPr>
              <w:t>Retained</w:t>
            </w: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Net of Deferred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9"/>
                <w:szCs w:val="9"/>
                <w:color w:val="auto"/>
              </w:rPr>
            </w:pPr>
          </w:p>
        </w:tc>
        <w:tc>
          <w:tcPr>
            <w:tcW w:w="64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5"/>
              </w:rPr>
              <w:t>Taxes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8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 2022</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39,877,833</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416</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494,125</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654,726</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(6,181)</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(7,842)</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(59,193)</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1,192,620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Net income</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152,556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152,556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(88,198)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(88,198)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Release of shares, net of forfeitures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171,838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1,287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(4,514)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4,394</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1,167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Stock-based compensation</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4,278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4,278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Shares received related to tax withholding</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(45,430)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(1,556)</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(1,558)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and paid to preferred stockholders</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and paid to common stockholders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(37,234)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(37,234)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Purchase of treasury stock</w:t>
            </w:r>
          </w:p>
        </w:tc>
        <w:tc>
          <w:tcPr>
            <w:tcW w:w="7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(1,431,241)</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(46,762)</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(46,762)</w:t>
            </w:r>
          </w:p>
        </w:tc>
        <w:tc>
          <w:tcPr>
            <w:tcW w:w="0" w:type="dxa"/>
            <w:vAlign w:val="bottom"/>
          </w:tcPr>
          <w:p>
            <w:pPr>
              <w:spacing w:after="0"/>
              <w:rPr>
                <w:sz w:val="1"/>
                <w:szCs w:val="1"/>
                <w:color w:val="auto"/>
              </w:rPr>
            </w:pPr>
          </w:p>
        </w:tc>
      </w:tr>
      <w:tr>
        <w:trPr>
          <w:trHeight w:val="101"/>
        </w:trPr>
        <w:tc>
          <w:tcPr>
            <w:tcW w:w="31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Ending balance as of December 31, 2022</w:t>
            </w: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38,573,000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416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495,410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762,762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(94,379)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(8,078)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(103,117)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1,169,583</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Net income</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96,094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96,094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Other comprehensive income, net of tax</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2,800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2,800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Release of shares, net of forfeitures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331,395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(955)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(5,182)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7,301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1,164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Stock-based compensation</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4,638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4,638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Shares received related to tax withholding</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(44,928)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(1,257)</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(1,258)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to preferred stockholders</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to common stockholders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(38,563)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(38,563)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Purchase of treasury stock</w:t>
            </w:r>
          </w:p>
        </w:tc>
        <w:tc>
          <w:tcPr>
            <w:tcW w:w="7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(36,813)</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(947)</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(947)</w:t>
            </w:r>
          </w:p>
        </w:tc>
        <w:tc>
          <w:tcPr>
            <w:tcW w:w="0" w:type="dxa"/>
            <w:vAlign w:val="bottom"/>
          </w:tcPr>
          <w:p>
            <w:pPr>
              <w:spacing w:after="0"/>
              <w:rPr>
                <w:sz w:val="1"/>
                <w:szCs w:val="1"/>
                <w:color w:val="auto"/>
              </w:rPr>
            </w:pPr>
          </w:p>
        </w:tc>
      </w:tr>
      <w:tr>
        <w:trPr>
          <w:trHeight w:val="101"/>
        </w:trPr>
        <w:tc>
          <w:tcPr>
            <w:tcW w:w="31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Ending balance as of December 31, 2023</w:t>
            </w: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38,822,654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416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494,454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813,007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(91,579)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(8,622)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(98,020)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1,226,225</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Net income</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29,084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29,084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Other comprehensive income, net of tax</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46,561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46,561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Shares issued in common stock offering, net of offering costs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4,492,187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45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135,719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135,764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Release of shares, net of forfeitures</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369,563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(5,350)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(5,708)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12,163</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1,105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Stock-based compensation</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6,690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6,690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Shares received related to tax withholding</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(62,112)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(1,346)</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(1,347)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to preferred stockholders</w:t>
            </w: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(7,286)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Cash dividends declared to common stockholders</w:t>
            </w: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(40,279)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(40,279)</w:t>
            </w:r>
          </w:p>
        </w:tc>
        <w:tc>
          <w:tcPr>
            <w:tcW w:w="0" w:type="dxa"/>
            <w:vAlign w:val="bottom"/>
          </w:tcPr>
          <w:p>
            <w:pPr>
              <w:spacing w:after="0"/>
              <w:rPr>
                <w:sz w:val="1"/>
                <w:szCs w:val="1"/>
                <w:color w:val="auto"/>
              </w:rPr>
            </w:pPr>
          </w:p>
        </w:tc>
      </w:tr>
      <w:tr>
        <w:trPr>
          <w:trHeight w:val="101"/>
        </w:trPr>
        <w:tc>
          <w:tcPr>
            <w:tcW w:w="31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color w:val="auto"/>
              </w:rPr>
              <w:t>Ending balance as of December 31, 2024</w:t>
            </w:r>
          </w:p>
        </w:tc>
        <w:tc>
          <w:tcPr>
            <w:tcW w:w="7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43,622,292</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461</w:t>
            </w: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624,822</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794,526</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(45,018)</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(7,640)</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(87,203)</w:t>
            </w: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1,396,517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Notes to Consolidated Financial Statements</w:t>
      </w:r>
      <w:r>
        <w:rPr>
          <w:rFonts w:ascii="Times New Roman" w:cs="Times New Roman" w:eastAsia="Times New Roman" w:hAnsi="Times New Roman"/>
          <w:sz w:val="13"/>
          <w:szCs w:val="13"/>
          <w:color w:val="auto"/>
        </w:rPr>
        <w: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01535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15355" cy="19050"/>
                    </a:xfrm>
                    <a:prstGeom prst="rect">
                      <a:avLst/>
                    </a:prstGeom>
                    <a:noFill/>
                  </pic:spPr>
                </pic:pic>
              </a:graphicData>
            </a:graphic>
          </wp:anchor>
        </w:drawing>
      </w:r>
    </w:p>
    <w:p>
      <w:pPr>
        <w:sectPr>
          <w:pgSz w:w="11900" w:h="16838" w:orient="portrait"/>
          <w:cols w:equalWidth="0" w:num="1">
            <w:col w:w="9480"/>
          </w:cols>
          <w:pgMar w:left="1200" w:top="318" w:right="121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4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Year Ended December 31,</w:t>
            </w: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91"/>
        </w:trPr>
        <w:tc>
          <w:tcPr>
            <w:tcW w:w="4540" w:type="dxa"/>
            <w:vAlign w:val="bottom"/>
            <w:tcBorders>
              <w:bottom w:val="single" w:sz="8" w:color="CCEEFF"/>
            </w:tcBorders>
          </w:tcPr>
          <w:p>
            <w:pPr>
              <w:spacing w:after="0"/>
              <w:rPr>
                <w:sz w:val="7"/>
                <w:szCs w:val="7"/>
                <w:color w:val="auto"/>
              </w:rPr>
            </w:pPr>
          </w:p>
        </w:tc>
        <w:tc>
          <w:tcPr>
            <w:tcW w:w="84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jc w:val="right"/>
              <w:ind w:right="5"/>
              <w:spacing w:after="0" w:line="91" w:lineRule="exact"/>
              <w:rPr>
                <w:sz w:val="20"/>
                <w:szCs w:val="20"/>
                <w:color w:val="auto"/>
              </w:rPr>
            </w:pPr>
            <w:r>
              <w:rPr>
                <w:rFonts w:ascii="Times New Roman" w:cs="Times New Roman" w:eastAsia="Times New Roman" w:hAnsi="Times New Roman"/>
                <w:sz w:val="9"/>
                <w:szCs w:val="9"/>
                <w:b w:val="1"/>
                <w:bCs w:val="1"/>
                <w:color w:val="auto"/>
              </w:rPr>
              <w:t>2024</w:t>
            </w:r>
          </w:p>
        </w:tc>
        <w:tc>
          <w:tcPr>
            <w:tcW w:w="40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76"/>
              <w:spacing w:after="0" w:line="91" w:lineRule="exact"/>
              <w:rPr>
                <w:sz w:val="20"/>
                <w:szCs w:val="20"/>
                <w:color w:val="auto"/>
              </w:rPr>
            </w:pPr>
            <w:r>
              <w:rPr>
                <w:rFonts w:ascii="Times New Roman" w:cs="Times New Roman" w:eastAsia="Times New Roman" w:hAnsi="Times New Roman"/>
                <w:sz w:val="9"/>
                <w:szCs w:val="9"/>
                <w:b w:val="1"/>
                <w:bCs w:val="1"/>
                <w:color w:val="auto"/>
              </w:rPr>
              <w:t>2023</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396"/>
              <w:spacing w:after="0" w:line="91" w:lineRule="exact"/>
              <w:rPr>
                <w:sz w:val="20"/>
                <w:szCs w:val="20"/>
                <w:color w:val="auto"/>
              </w:rPr>
            </w:pPr>
            <w:r>
              <w:rPr>
                <w:rFonts w:ascii="Times New Roman" w:cs="Times New Roman" w:eastAsia="Times New Roman" w:hAnsi="Times New Roman"/>
                <w:sz w:val="9"/>
                <w:szCs w:val="9"/>
                <w:b w:val="1"/>
                <w:bCs w:val="1"/>
                <w:color w:val="auto"/>
              </w:rPr>
              <w:t>2022</w:t>
            </w:r>
          </w:p>
        </w:tc>
      </w:tr>
      <w:tr>
        <w:trPr>
          <w:trHeight w:val="91"/>
        </w:trPr>
        <w:tc>
          <w:tcPr>
            <w:tcW w:w="45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Net income</w:t>
            </w:r>
          </w:p>
        </w:tc>
        <w:tc>
          <w:tcPr>
            <w:tcW w:w="1480" w:type="dxa"/>
            <w:vAlign w:val="bottom"/>
            <w:gridSpan w:val="2"/>
          </w:tcPr>
          <w:p>
            <w:pPr>
              <w:jc w:val="right"/>
              <w:ind w:right="565"/>
              <w:spacing w:after="0"/>
              <w:rPr>
                <w:sz w:val="20"/>
                <w:szCs w:val="20"/>
                <w:color w:val="auto"/>
              </w:rPr>
            </w:pPr>
            <w:r>
              <w:rPr>
                <w:rFonts w:ascii="Times New Roman" w:cs="Times New Roman" w:eastAsia="Times New Roman" w:hAnsi="Times New Roman"/>
                <w:sz w:val="9"/>
                <w:szCs w:val="9"/>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29,084</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96,094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152,556</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Adjustments to reconcile net income to net cash provided by operating activities: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Net loss on sale of securities available-for-sale</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42,810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1,447</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(Gain) loss on sale of other assets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(7,219)</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(1,397)</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Fair value change in equity securities and loans held for sale</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1,204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758</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Gain on sale of loans held for sale</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(632)</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(1,707)</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(2,245)</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Net depreciation, amortization and accretion</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5,694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6,025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8,314</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Amortization of fair value hedge basis point adjustments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1,607</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561</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Amortization of other intangible assets</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1,163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Loss on extinguishment of debt</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454</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740</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6,690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4,638</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4,278</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Provision for credit losses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36,113</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2,770</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5,374</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Originations of loans held for sale</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(12,531)</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(8,219)</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(20,709)</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from sale of loans originated for sale</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18,786</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32,433</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46,474</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Increase in cash surrender value of BOLI</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(10,376)</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(9,103)</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(8,190)</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Gain from death benefits from BOLI</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(645)</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(2,156)</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Decrease (increase) in other assets</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9,224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10,332</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(35,170)</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(Decrease) increase in other liabilities</w:t>
            </w:r>
          </w:p>
        </w:tc>
        <w:tc>
          <w:tcPr>
            <w:tcW w:w="8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(23,015)</w:t>
            </w:r>
          </w:p>
        </w:tc>
        <w:tc>
          <w:tcPr>
            <w:tcW w:w="22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(45,957)</w:t>
            </w:r>
          </w:p>
        </w:tc>
        <w:tc>
          <w:tcPr>
            <w:tcW w:w="24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145,425</w:t>
            </w:r>
          </w:p>
        </w:tc>
      </w:tr>
      <w:tr>
        <w:trPr>
          <w:trHeight w:val="91"/>
        </w:trPr>
        <w:tc>
          <w:tcPr>
            <w:tcW w:w="45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Net cash provided by operating activities</w:t>
            </w:r>
          </w:p>
        </w:tc>
        <w:tc>
          <w:tcPr>
            <w:tcW w:w="84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99,056</w:t>
            </w: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90,874</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295,172</w:t>
            </w:r>
          </w:p>
        </w:tc>
      </w:tr>
      <w:tr>
        <w:trPr>
          <w:trHeight w:val="91"/>
        </w:trPr>
        <w:tc>
          <w:tcPr>
            <w:tcW w:w="45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sales of securities available-for-sale</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379,053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77,804</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Purchases of securities available-for-sale</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(335,167)</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(86,084)</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(39,232)</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Purchases of securities held-to-maturity</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(67,560)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(28,328)</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(63,210)</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from calls and principal repayments of securities available-for-sale</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172,767</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76,858</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165,097</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calls and principal repayments of securities held-to-maturity</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28,285</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22,986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31,736</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Purchase of BOLI</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(15,000)</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(8,000)</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(30,000)</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received from cash surrender value of BOLI</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1,224</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2,843</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purchased</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(6,594)</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the sale of portfolio loans transferred to held for sale</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18,310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5,000</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13,201</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Increase in loans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(152,623)</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(259,805)</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(1,359,782)</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Purchases of fixed assets, net</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(6,258)</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(5,721)</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(3,745)</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from the sale of fixed assets and premises held for sale</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19,268</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1,914</w:t>
            </w:r>
          </w:p>
        </w:tc>
      </w:tr>
      <w:tr>
        <w:trPr>
          <w:trHeight w:val="111"/>
        </w:trPr>
        <w:tc>
          <w:tcPr>
            <w:tcW w:w="45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Sales (purchases) of restricted stock, net</w:t>
            </w:r>
          </w:p>
        </w:tc>
        <w:tc>
          <w:tcPr>
            <w:tcW w:w="8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29,644</w:t>
            </w:r>
          </w:p>
        </w:tc>
        <w:tc>
          <w:tcPr>
            <w:tcW w:w="2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(10,005)</w:t>
            </w:r>
          </w:p>
        </w:tc>
        <w:tc>
          <w:tcPr>
            <w:tcW w:w="24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(51,013)</w:t>
            </w:r>
          </w:p>
        </w:tc>
      </w:tr>
      <w:tr>
        <w:trPr>
          <w:trHeight w:val="91"/>
        </w:trPr>
        <w:tc>
          <w:tcPr>
            <w:tcW w:w="45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Net cash provided by (used in) investing activities</w:t>
            </w:r>
          </w:p>
        </w:tc>
        <w:tc>
          <w:tcPr>
            <w:tcW w:w="840" w:type="dxa"/>
            <w:vAlign w:val="bottom"/>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64,125</w:t>
            </w:r>
          </w:p>
        </w:tc>
        <w:tc>
          <w:tcPr>
            <w:tcW w:w="2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(214,046)</w:t>
            </w:r>
          </w:p>
        </w:tc>
        <w:tc>
          <w:tcPr>
            <w:tcW w:w="24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(1,332,191)</w:t>
            </w:r>
          </w:p>
        </w:tc>
      </w:tr>
      <w:tr>
        <w:trPr>
          <w:trHeight w:val="91"/>
        </w:trPr>
        <w:tc>
          <w:tcPr>
            <w:tcW w:w="454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Increase (decrease) in deposits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1,155,559</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276,411</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(204,233)</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(Repayments) proceeds from FHLBNY advances, short-term, net</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(615,000)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20,000</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1,070,000</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(Repayments) proceeds of FHLBNY advances, long-term</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(150,000)</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162,000</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(repayments) from FHLBNY advances, long-term</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60,000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(1,360)</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36,000</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(repayments) of other short-term borrowings, net</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50,000</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(502)</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subordinated debentures issuance, net</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72,084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157,559</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Redemption of subordinated debentures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(155,000)</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common stock issuance, net</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135,764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Release of stock for benefit plan awards</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1,105</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1,164</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1,167</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Payments related to tax withholding for equity awards</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(1,347)</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(1,258)</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(1,558)</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Purchase of treasury stock</w:t>
            </w:r>
          </w:p>
        </w:tc>
        <w:tc>
          <w:tcPr>
            <w:tcW w:w="8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(947)</w:t>
            </w: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(46,762)</w:t>
            </w:r>
          </w:p>
        </w:tc>
      </w:tr>
      <w:tr>
        <w:trPr>
          <w:trHeight w:val="111"/>
        </w:trPr>
        <w:tc>
          <w:tcPr>
            <w:tcW w:w="4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dividends paid to preferred stockholders</w:t>
            </w: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(7,286)</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(7,286)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(7,286)</w:t>
            </w:r>
          </w:p>
        </w:tc>
      </w:tr>
      <w:tr>
        <w:trPr>
          <w:trHeight w:val="111"/>
        </w:trPr>
        <w:tc>
          <w:tcPr>
            <w:tcW w:w="4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Cash dividends paid to common stockholders</w:t>
            </w:r>
          </w:p>
        </w:tc>
        <w:tc>
          <w:tcPr>
            <w:tcW w:w="840" w:type="dxa"/>
            <w:vAlign w:val="bottom"/>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(38,036)</w:t>
            </w:r>
          </w:p>
        </w:tc>
        <w:tc>
          <w:tcPr>
            <w:tcW w:w="22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(37,302)</w:t>
            </w:r>
          </w:p>
        </w:tc>
        <w:tc>
          <w:tcPr>
            <w:tcW w:w="24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(36,791)</w:t>
            </w:r>
          </w:p>
        </w:tc>
      </w:tr>
      <w:tr>
        <w:trPr>
          <w:trHeight w:val="91"/>
        </w:trPr>
        <w:tc>
          <w:tcPr>
            <w:tcW w:w="45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84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662,843</w:t>
            </w: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411,422</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812,594</w:t>
            </w:r>
          </w:p>
        </w:tc>
      </w:tr>
      <w:tr>
        <w:trPr>
          <w:trHeight w:val="91"/>
        </w:trPr>
        <w:tc>
          <w:tcPr>
            <w:tcW w:w="454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Increase in cash and cash equivalents</w:t>
            </w:r>
          </w:p>
        </w:tc>
        <w:tc>
          <w:tcPr>
            <w:tcW w:w="840" w:type="dxa"/>
            <w:vAlign w:val="bottom"/>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826,024</w:t>
            </w:r>
          </w:p>
        </w:tc>
        <w:tc>
          <w:tcPr>
            <w:tcW w:w="2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288,250</w:t>
            </w:r>
          </w:p>
        </w:tc>
        <w:tc>
          <w:tcPr>
            <w:tcW w:w="24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(224,425)</w:t>
            </w:r>
          </w:p>
        </w:tc>
      </w:tr>
      <w:tr>
        <w:trPr>
          <w:trHeight w:val="91"/>
        </w:trPr>
        <w:tc>
          <w:tcPr>
            <w:tcW w:w="454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CASH AND CASH EQUIVALENTS, BEGINNING OF PERIOD</w:t>
            </w:r>
          </w:p>
        </w:tc>
        <w:tc>
          <w:tcPr>
            <w:tcW w:w="84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457,547</w:t>
            </w: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169,297</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393,722</w:t>
            </w:r>
          </w:p>
        </w:tc>
      </w:tr>
      <w:tr>
        <w:trPr>
          <w:trHeight w:val="91"/>
        </w:trPr>
        <w:tc>
          <w:tcPr>
            <w:tcW w:w="4540" w:type="dxa"/>
            <w:vAlign w:val="bottom"/>
            <w:tcBorders>
              <w:bottom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4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w w:val="94"/>
              </w:rPr>
              <w:t>1,283,571</w:t>
            </w:r>
          </w:p>
        </w:tc>
        <w:tc>
          <w:tcPr>
            <w:tcW w:w="2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457,547</w:t>
            </w:r>
          </w:p>
        </w:tc>
        <w:tc>
          <w:tcPr>
            <w:tcW w:w="2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169,297</w:t>
            </w:r>
          </w:p>
        </w:tc>
      </w:tr>
      <w:tr>
        <w:trPr>
          <w:trHeight w:val="20"/>
        </w:trPr>
        <w:tc>
          <w:tcPr>
            <w:tcW w:w="4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4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9"/>
                <w:szCs w:val="9"/>
                <w:b w:val="1"/>
                <w:bCs w:val="1"/>
                <w:color w:val="auto"/>
              </w:rPr>
              <w:t>Year Ended December 31,</w:t>
            </w:r>
          </w:p>
        </w:tc>
        <w:tc>
          <w:tcPr>
            <w:tcW w:w="920" w:type="dxa"/>
            <w:vAlign w:val="bottom"/>
            <w:tcBorders>
              <w:bottom w:val="single" w:sz="8" w:color="auto"/>
            </w:tcBorders>
          </w:tcPr>
          <w:p>
            <w:pPr>
              <w:spacing w:after="0"/>
              <w:rPr>
                <w:sz w:val="9"/>
                <w:szCs w:val="9"/>
                <w:color w:val="auto"/>
              </w:rPr>
            </w:pPr>
          </w:p>
        </w:tc>
      </w:tr>
      <w:tr>
        <w:trPr>
          <w:trHeight w:val="91"/>
        </w:trPr>
        <w:tc>
          <w:tcPr>
            <w:tcW w:w="4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20" w:type="dxa"/>
            <w:vAlign w:val="bottom"/>
          </w:tcPr>
          <w:p>
            <w:pPr>
              <w:jc w:val="right"/>
              <w:ind w:right="436"/>
              <w:spacing w:after="0" w:line="91" w:lineRule="exact"/>
              <w:rPr>
                <w:sz w:val="20"/>
                <w:szCs w:val="20"/>
                <w:color w:val="auto"/>
              </w:rPr>
            </w:pPr>
            <w:r>
              <w:rPr>
                <w:rFonts w:ascii="Times New Roman" w:cs="Times New Roman" w:eastAsia="Times New Roman" w:hAnsi="Times New Roman"/>
                <w:sz w:val="9"/>
                <w:szCs w:val="9"/>
                <w:b w:val="1"/>
                <w:bCs w:val="1"/>
                <w:color w:val="auto"/>
              </w:rPr>
              <w:t>2024</w:t>
            </w:r>
          </w:p>
        </w:tc>
        <w:tc>
          <w:tcPr>
            <w:tcW w:w="1280" w:type="dxa"/>
            <w:vAlign w:val="bottom"/>
            <w:gridSpan w:val="2"/>
          </w:tcPr>
          <w:p>
            <w:pPr>
              <w:jc w:val="right"/>
              <w:ind w:right="456"/>
              <w:spacing w:after="0" w:line="91" w:lineRule="exact"/>
              <w:rPr>
                <w:sz w:val="20"/>
                <w:szCs w:val="20"/>
                <w:color w:val="auto"/>
              </w:rPr>
            </w:pPr>
            <w:r>
              <w:rPr>
                <w:rFonts w:ascii="Times New Roman" w:cs="Times New Roman" w:eastAsia="Times New Roman" w:hAnsi="Times New Roman"/>
                <w:sz w:val="9"/>
                <w:szCs w:val="9"/>
                <w:b w:val="1"/>
                <w:bCs w:val="1"/>
                <w:color w:val="auto"/>
              </w:rPr>
              <w:t>2023</w:t>
            </w:r>
          </w:p>
        </w:tc>
        <w:tc>
          <w:tcPr>
            <w:tcW w:w="120" w:type="dxa"/>
            <w:vAlign w:val="bottom"/>
          </w:tcPr>
          <w:p>
            <w:pPr>
              <w:spacing w:after="0"/>
              <w:rPr>
                <w:sz w:val="7"/>
                <w:szCs w:val="7"/>
                <w:color w:val="auto"/>
              </w:rPr>
            </w:pPr>
          </w:p>
        </w:tc>
        <w:tc>
          <w:tcPr>
            <w:tcW w:w="920" w:type="dxa"/>
            <w:vAlign w:val="bottom"/>
          </w:tcPr>
          <w:p>
            <w:pPr>
              <w:jc w:val="right"/>
              <w:ind w:right="336"/>
              <w:spacing w:after="0" w:line="91" w:lineRule="exact"/>
              <w:rPr>
                <w:sz w:val="20"/>
                <w:szCs w:val="20"/>
                <w:color w:val="auto"/>
              </w:rPr>
            </w:pPr>
            <w:r>
              <w:rPr>
                <w:rFonts w:ascii="Times New Roman" w:cs="Times New Roman" w:eastAsia="Times New Roman" w:hAnsi="Times New Roman"/>
                <w:sz w:val="9"/>
                <w:szCs w:val="9"/>
                <w:b w:val="1"/>
                <w:bCs w:val="1"/>
                <w:color w:val="auto"/>
              </w:rPr>
              <w:t>2022</w:t>
            </w:r>
          </w:p>
        </w:tc>
      </w:tr>
      <w:tr>
        <w:trPr>
          <w:trHeight w:val="91"/>
        </w:trPr>
        <w:tc>
          <w:tcPr>
            <w:tcW w:w="4340" w:type="dxa"/>
            <w:vAlign w:val="bottom"/>
            <w:tcBorders>
              <w:top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118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r>
      <w:tr>
        <w:trPr>
          <w:trHeight w:val="111"/>
        </w:trPr>
        <w:tc>
          <w:tcPr>
            <w:tcW w:w="43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paid for income taxes</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9"/>
                <w:szCs w:val="9"/>
                <w:b w:val="1"/>
                <w:bCs w:val="1"/>
                <w:color w:val="auto"/>
              </w:rPr>
              <w:t>$</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28,828</w:t>
            </w:r>
          </w:p>
        </w:tc>
        <w:tc>
          <w:tcPr>
            <w:tcW w:w="1280" w:type="dxa"/>
            <w:vAlign w:val="bottom"/>
            <w:gridSpan w:val="2"/>
          </w:tcPr>
          <w:p>
            <w:pPr>
              <w:jc w:val="right"/>
              <w:ind w:right="216"/>
              <w:spacing w:after="0"/>
              <w:rPr>
                <w:sz w:val="20"/>
                <w:szCs w:val="20"/>
                <w:color w:val="auto"/>
              </w:rPr>
            </w:pPr>
            <w:r>
              <w:rPr>
                <w:rFonts w:ascii="Times New Roman" w:cs="Times New Roman" w:eastAsia="Times New Roman" w:hAnsi="Times New Roman"/>
                <w:sz w:val="9"/>
                <w:szCs w:val="9"/>
                <w:color w:val="auto"/>
              </w:rPr>
              <w:t>37,910</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43,518</w:t>
            </w:r>
          </w:p>
        </w:tc>
      </w:tr>
      <w:tr>
        <w:trPr>
          <w:trHeight w:val="111"/>
        </w:trPr>
        <w:tc>
          <w:tcPr>
            <w:tcW w:w="43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Cash paid for interest</w:t>
            </w:r>
          </w:p>
        </w:tc>
        <w:tc>
          <w:tcPr>
            <w:tcW w:w="11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343,249</w:t>
            </w:r>
          </w:p>
        </w:tc>
        <w:tc>
          <w:tcPr>
            <w:tcW w:w="12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color w:val="auto"/>
              </w:rPr>
              <w:t>280,815</w:t>
            </w: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54,910</w:t>
            </w:r>
          </w:p>
        </w:tc>
      </w:tr>
      <w:tr>
        <w:trPr>
          <w:trHeight w:val="111"/>
        </w:trPr>
        <w:tc>
          <w:tcPr>
            <w:tcW w:w="43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Securities available-for-sale transferred to securities held-to-maturity</w:t>
            </w:r>
          </w:p>
        </w:tc>
        <w:tc>
          <w:tcPr>
            <w:tcW w:w="1180" w:type="dxa"/>
            <w:vAlign w:val="bottom"/>
          </w:tcPr>
          <w:p>
            <w:pPr>
              <w:spacing w:after="0"/>
              <w:rPr>
                <w:sz w:val="9"/>
                <w:szCs w:val="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tcPr>
          <w:p>
            <w:pPr>
              <w:spacing w:after="0"/>
              <w:rPr>
                <w:sz w:val="9"/>
                <w:szCs w:val="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372,154</w:t>
            </w:r>
          </w:p>
        </w:tc>
      </w:tr>
      <w:tr>
        <w:trPr>
          <w:trHeight w:val="111"/>
        </w:trPr>
        <w:tc>
          <w:tcPr>
            <w:tcW w:w="43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transferred to loans held for sale</w:t>
            </w:r>
          </w:p>
        </w:tc>
        <w:tc>
          <w:tcPr>
            <w:tcW w:w="11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37,334</w:t>
            </w:r>
          </w:p>
        </w:tc>
        <w:tc>
          <w:tcPr>
            <w:tcW w:w="12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color w:val="auto"/>
              </w:rPr>
              <w:t>37,346</w:t>
            </w: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34,997</w:t>
            </w:r>
          </w:p>
        </w:tc>
      </w:tr>
      <w:tr>
        <w:trPr>
          <w:trHeight w:val="111"/>
        </w:trPr>
        <w:tc>
          <w:tcPr>
            <w:tcW w:w="43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Loans transferred to loans held for investment</w:t>
            </w:r>
          </w:p>
        </w:tc>
        <w:tc>
          <w:tcPr>
            <w:tcW w:w="1180" w:type="dxa"/>
            <w:vAlign w:val="bottom"/>
          </w:tcPr>
          <w:p>
            <w:pPr>
              <w:spacing w:after="0"/>
              <w:rPr>
                <w:sz w:val="9"/>
                <w:szCs w:val="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2,912</w:t>
            </w:r>
          </w:p>
        </w:tc>
        <w:tc>
          <w:tcPr>
            <w:tcW w:w="140" w:type="dxa"/>
            <w:vAlign w:val="bottom"/>
          </w:tcPr>
          <w:p>
            <w:pPr>
              <w:spacing w:after="0"/>
              <w:rPr>
                <w:sz w:val="9"/>
                <w:szCs w:val="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4,051</w:t>
            </w:r>
          </w:p>
        </w:tc>
      </w:tr>
      <w:tr>
        <w:trPr>
          <w:trHeight w:val="111"/>
        </w:trPr>
        <w:tc>
          <w:tcPr>
            <w:tcW w:w="43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Premises transferred to held for sale</w:t>
            </w:r>
          </w:p>
        </w:tc>
        <w:tc>
          <w:tcPr>
            <w:tcW w:w="11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9,227</w:t>
            </w:r>
          </w:p>
        </w:tc>
        <w:tc>
          <w:tcPr>
            <w:tcW w:w="12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color w:val="auto"/>
              </w:rPr>
              <w:t>905</w:t>
            </w: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1"/>
        </w:trPr>
        <w:tc>
          <w:tcPr>
            <w:tcW w:w="43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Operating lease assets in exchange for operating lease liabilities</w:t>
            </w:r>
          </w:p>
        </w:tc>
        <w:tc>
          <w:tcPr>
            <w:tcW w:w="1180" w:type="dxa"/>
            <w:vAlign w:val="bottom"/>
          </w:tcPr>
          <w:p>
            <w:pPr>
              <w:spacing w:after="0"/>
              <w:rPr>
                <w:sz w:val="9"/>
                <w:szCs w:val="9"/>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5,855</w:t>
            </w:r>
          </w:p>
        </w:tc>
        <w:tc>
          <w:tcPr>
            <w:tcW w:w="1280" w:type="dxa"/>
            <w:vAlign w:val="bottom"/>
            <w:gridSpan w:val="2"/>
          </w:tcPr>
          <w:p>
            <w:pPr>
              <w:jc w:val="right"/>
              <w:ind w:right="216"/>
              <w:spacing w:after="0"/>
              <w:rPr>
                <w:sz w:val="20"/>
                <w:szCs w:val="20"/>
                <w:color w:val="auto"/>
              </w:rPr>
            </w:pPr>
            <w:r>
              <w:rPr>
                <w:rFonts w:ascii="Times New Roman" w:cs="Times New Roman" w:eastAsia="Times New Roman" w:hAnsi="Times New Roman"/>
                <w:sz w:val="9"/>
                <w:szCs w:val="9"/>
                <w:color w:val="auto"/>
              </w:rPr>
              <w:t>6,333</w:t>
            </w:r>
          </w:p>
        </w:tc>
        <w:tc>
          <w:tcPr>
            <w:tcW w:w="12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5,098</w:t>
            </w:r>
          </w:p>
        </w:tc>
      </w:tr>
      <w:tr>
        <w:trPr>
          <w:trHeight w:val="111"/>
        </w:trPr>
        <w:tc>
          <w:tcPr>
            <w:tcW w:w="43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Surrender of BOLI assets</w:t>
            </w:r>
          </w:p>
        </w:tc>
        <w:tc>
          <w:tcPr>
            <w:tcW w:w="11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9"/>
                <w:szCs w:val="9"/>
                <w:b w:val="1"/>
                <w:bCs w:val="1"/>
                <w:color w:val="auto"/>
              </w:rPr>
              <w:t>84,527</w:t>
            </w:r>
          </w:p>
        </w:tc>
        <w:tc>
          <w:tcPr>
            <w:tcW w:w="14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for share amounts)</w:t>
      </w:r>
    </w:p>
    <w:p>
      <w:pPr>
        <w:spacing w:after="0" w:line="157" w:lineRule="exact"/>
        <w:rPr>
          <w:sz w:val="20"/>
          <w:szCs w:val="20"/>
          <w:color w:val="auto"/>
        </w:rPr>
      </w:pPr>
    </w:p>
    <w:p>
      <w:pPr>
        <w:ind w:left="20" w:right="5359" w:firstLine="9"/>
        <w:spacing w:after="0" w:line="504" w:lineRule="auto"/>
        <w:tabs>
          <w:tab w:leader="none" w:pos="154"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Nature of Operations and Principles of Consolidation</w:t>
      </w:r>
    </w:p>
    <w:p>
      <w:pPr>
        <w:spacing w:after="0" w:line="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audited consolidated financial statements presented in this Annual Report on Form 10-K include the collective results of the Holding Company and its wholly-owned subsidiary, the Bank, which are collectively herein referred to as “we”, “us”, “our” and the “Company.”</w:t>
      </w:r>
    </w:p>
    <w:p>
      <w:pPr>
        <w:spacing w:after="0" w:line="114"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As of December 31, 2024, we operated 62 branch locations throughout Long Island and the New York City boroughs of Brooklyn, Queens, Manhattan, Staten Island and the Bronx, and Westchester County.</w:t>
      </w:r>
    </w:p>
    <w:p>
      <w:pPr>
        <w:spacing w:after="0" w:line="8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Company is a bank holding company engaged in commercial banking and financial services through its wholly-owned subsidiary, Dime Community Bank. The Bank was established in 1910 and is headquartered in Hauppauge, New York. The Holding Company was incorporated under the laws of the State of New York in 1988 to serve as the holding company for the Bank. The Company functions primarily as the holder of all of the Bank’s common stock. Our bank operations include Dime Community Inc., a real estate investment trust subsidiary which was formerly known as Bridgehampton Community, Inc., as an operating subsidiary. Our bank operations also include Dime Abstract LLC (“Dime Abstract”), a wholly-owned subsidiary of the Bank, which is a broker of title insurance services.</w:t>
      </w:r>
    </w:p>
    <w:p>
      <w:pPr>
        <w:spacing w:after="0" w:line="10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accompanying consolidated financial statements have been prepared in accordance with U.S. generally accepted accounting principles (“GAAP”) and general practices within the financial institution industry. The accompanying consolidated financial statements include the accounts of the Holding Company and the Bank and its subsidiaries. Inter-company accounts and transactions have been eliminated in consolidation.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description of the significant accounting policies that the Company follows in preparing its consolidated financial statements.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 prepare consolidated financial statements in conformity with GAAP, management makes judgments, estimates and assumptions based on available information.</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These estimates and assumptions affect the amounts reported in the financial statements and the disclosures provided, and actual results could differ.</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Summary of Significant Accounting Policies</w:t>
      </w:r>
    </w:p>
    <w:p>
      <w:pPr>
        <w:spacing w:after="0" w:line="175" w:lineRule="exact"/>
        <w:rPr>
          <w:sz w:val="20"/>
          <w:szCs w:val="20"/>
          <w:color w:val="auto"/>
        </w:rPr>
      </w:pPr>
    </w:p>
    <w:p>
      <w:pPr>
        <w:jc w:val="both"/>
        <w:ind w:left="20" w:right="39"/>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Cash and Cash Equivalents - </w:t>
      </w:r>
      <w:r>
        <w:rPr>
          <w:rFonts w:ascii="Times New Roman" w:cs="Times New Roman" w:eastAsia="Times New Roman" w:hAnsi="Times New Roman"/>
          <w:sz w:val="13"/>
          <w:szCs w:val="13"/>
          <w:color w:val="auto"/>
        </w:rPr>
        <w:t>Cash and cash equivalents include cash and deposits with other financial institutions with original maturities fewer than 90 days. Net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cash flows are reported for customer loan and deposit transactions, and interest bearing deposits in other financial institutions.</w:t>
      </w:r>
    </w:p>
    <w:p>
      <w:pPr>
        <w:spacing w:after="0" w:line="110"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Securities </w:t>
      </w:r>
      <w:r>
        <w:rPr>
          <w:rFonts w:ascii="Times New Roman" w:cs="Times New Roman" w:eastAsia="Times New Roman" w:hAnsi="Times New Roman"/>
          <w:sz w:val="13"/>
          <w:szCs w:val="13"/>
          <w:color w:val="auto"/>
        </w:rPr>
        <w:t>- Debt securities are classified as held-to-maturity and carried at amortized cost when management has the positive intent and ability to hold them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maturity. Debt securities are classified as available-for-sale when they might be sold before maturity. Securities available-for-sale are carried at fair value, with unrealized holding gains and losses reported in other comprehensive income, net of tax (“OCI”). Equity securities are carried at fair value, with changes in fair value reported in net income. Equity securities without readily determinable fair values are carried at cost, minus impairment, if any, plus or minus changes resulting in observable price changes in orderly transactions for the identical or a similar investment.</w:t>
      </w:r>
    </w:p>
    <w:p>
      <w:pPr>
        <w:spacing w:after="0" w:line="51"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Interest income includes amortization of purchase premium or discount. Premiums and discounts on securities are amortized on the level-yield method without anticipating prepayments, except for mortgage-backed securities where prepayments are anticipated. The Company has made a policy election to exclude accrued interest from the amortized cost basis of debt securities and report accrued interest separately in accrued interest receivable in the consolidated statements of financial condition. A debt security is placed on non-accrual status at the time any principal or interest payments become more than 90 days delinquent or if full collection of interest or principal becomes uncertain. Accrued interest for a security placed on non-accrual is reversed against interest income. There were no non-accrual debt securities at December 31, 2024</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and 2023, and there was no accrued interest related to debt securities reversed against interest income for the year ended December 31, 2024 and 2023. Gains and losses on sales are recorded on the trade date and determined using the specific identification method.</w:t>
      </w:r>
    </w:p>
    <w:p>
      <w:pPr>
        <w:spacing w:after="0" w:line="112"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Restricted Stock </w:t>
      </w:r>
      <w:r>
        <w:rPr>
          <w:rFonts w:ascii="Times New Roman" w:cs="Times New Roman" w:eastAsia="Times New Roman" w:hAnsi="Times New Roman"/>
          <w:sz w:val="13"/>
          <w:szCs w:val="13"/>
          <w:color w:val="auto"/>
        </w:rPr>
        <w:t>– Restricted stock represents FHLBNY capital stock, FRB capital stock, and Atlantic Community Bankers Bank (“ACBB”) capital stock, which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reported at cost. The Bank is a member of the FHLB system. Members are required to own a particular amount of stock based on the level of borrowings and other factors and may invest in additional amounts. FHLB stock is periodically evaluated for impairment based on ultimate recovery of par value. The Bank is a member of the FRB. Membership requires the purchase of shares of FRB capital stock. The Bank has a relationship with ACBB. The relationship requires the purchase of shares of ACBB capital stock. Both cash and stock dividends are reported as income.</w:t>
      </w:r>
    </w:p>
    <w:p>
      <w:pPr>
        <w:spacing w:after="0" w:line="130"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Loans Held for Sale - </w:t>
      </w:r>
      <w:r>
        <w:rPr>
          <w:rFonts w:ascii="Times New Roman" w:cs="Times New Roman" w:eastAsia="Times New Roman" w:hAnsi="Times New Roman"/>
          <w:sz w:val="13"/>
          <w:szCs w:val="13"/>
          <w:color w:val="auto"/>
        </w:rPr>
        <w:t>Loans originated and intended for sale in the secondary market, as well as identified problem loans which are subject to an executed note sale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are carried at the lower of aggregate cost or net realizable proceeds. Loans originated and intended for sale are generally sold with servicing rights retained. Problem loans in which the borrower does not adhere to all of the terms and conditions of the legal contract are generally resolved through the sale of the loan rather than through litigation through our workout department.</w:t>
      </w:r>
    </w:p>
    <w:p>
      <w:pPr>
        <w:spacing w:after="0" w:line="129"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Loans </w:t>
      </w:r>
      <w:r>
        <w:rPr>
          <w:rFonts w:ascii="Times New Roman" w:cs="Times New Roman" w:eastAsia="Times New Roman" w:hAnsi="Times New Roman"/>
          <w:sz w:val="13"/>
          <w:szCs w:val="13"/>
          <w:color w:val="auto"/>
        </w:rPr>
        <w:t>- Loans that management has the intent and ability to hold for the foreseeable future or until maturity or payoff are reported at the principal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outstanding, net of partial charge-offs, deferred origination costs and fees and purchase premiums and discounts. Loan origination, commitment fees and certain direct and indirect costs incurred in connection with loan originations are deferred and amortized to income over the life of the related loans as adjustments to yield. When a loan prepays, the remaining unamortized net deferred origination fees or costs are recognized in the current year. Interest on loans is credited to income based on the principal outstanding during the period. The Company has made a policy election to exclude accrued interest from the amortized cost basis of loans and report accrued interest separately from the related loan balance in accrued interest receivable on the consolidated statements of financial condition. Past due status is based on the contractual terms of the loan. Loans that are 90 days past due are automatically placed on non-accrual and previously accrued interest is reversed and charged against interest income. However, if the loan is in the process of collection and the Bank has reasonable assurance that the loan will be fully collectable based upon an individual loan evaluation assessing such factors as collateral and collectability, accrued interest will be recognized as earned. If a payment is received when a loan is non-accrual, the payment is applied to the principal balance. Loans are returned to accrual status when all the principal and interest amounts contractually due are brought current and future payments are reasonably assured. Non-accrual loans that are modified to borrowers experiencing financial difficulty remain on non-accrual status until the borrower has demonstrated performance under the modified terms.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Unless otherwise noted, the above policy is applied consistently to all loan segments.</w:t>
      </w:r>
    </w:p>
    <w:p>
      <w:pPr>
        <w:spacing w:after="0" w:line="171"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w:t>
      </w:r>
      <w:r>
        <w:rPr>
          <w:rFonts w:ascii="Times New Roman" w:cs="Times New Roman" w:eastAsia="Times New Roman" w:hAnsi="Times New Roman"/>
          <w:sz w:val="13"/>
          <w:szCs w:val="13"/>
          <w:color w:val="auto"/>
        </w:rPr>
        <w:t>- The CECL Standard requires that the measurement of all expected credit losses for financial assets at amortized cost, such as loans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receivable, securities, and off-balance sheet credit exposures, held as of the reporting date be based on historical experience, current conditions, and reasonable and supportable forecasts to cover lifetime expected credit losses. Accrued interest receivable is excluded from amortized cost basis. The allowance for credit losses is established and maintained through a provision for credit losses based on expected losses inherent within the financial asset holdings. Management evaluates the adequacy of the allowance on a quarterly basis, and additions to the allowance are charged to expense and realized losses, net of recoveries, are charged against the allowance.</w:t>
      </w:r>
    </w:p>
    <w:p>
      <w:pPr>
        <w:spacing w:after="0" w:line="294" w:lineRule="exact"/>
        <w:rPr>
          <w:sz w:val="20"/>
          <w:szCs w:val="20"/>
          <w:color w:val="auto"/>
        </w:rPr>
      </w:pPr>
    </w:p>
    <w:p>
      <w:pPr>
        <w:jc w:val="both"/>
        <w:ind w:left="20" w:right="39" w:firstLine="484"/>
        <w:spacing w:after="0" w:line="266"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on held-to-maturity securities </w:t>
      </w:r>
      <w:r>
        <w:rPr>
          <w:rFonts w:ascii="Times New Roman" w:cs="Times New Roman" w:eastAsia="Times New Roman" w:hAnsi="Times New Roman"/>
          <w:sz w:val="13"/>
          <w:szCs w:val="13"/>
          <w:color w:val="auto"/>
        </w:rPr>
        <w:t>- Management classifies its held-to-maturity portfolio into the following major security types: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Pass-through MBS issued by GSEs, Agency Collateralized Mortgage Obligations, Agency Notes and Corporate Securities. The majority of the securities in the held-to-maturity portfolio are issued by U.S. government-sponsored entities or agencies. These securities are either explicitly or implicitly guaranteed by the U.S. government, are highly rated by major rating agencies, and have a long history of no credit losses. To the extent that debt securities in the held-to-maturity portfolio share common risk characteristics, expected credit losses are calculated by pools of such debt securities. The historical lifetime probability of default and severity of loss in the event of default is derived or obtained from external sources and adjusted for the expected effects of reasonable and supportable forecasts over the expected lifetime of the securities.</w:t>
      </w:r>
    </w:p>
    <w:p>
      <w:pPr>
        <w:spacing w:after="0" w:line="29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a debt security in the held-to-maturity portfolio that does not share common risk characteristics with any of the pools of debt securities, expected credit loss on each security is individually measured based on net realizable value, or the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difference between the discounted value of the expected future cash flows, based on the original effective interest rate, and the recorded amortized cost basis of the security.</w:t>
      </w:r>
    </w:p>
    <w:p>
      <w:pPr>
        <w:spacing w:after="0" w:line="317"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With respect to certain classes of debt securities, primarily U.S. Treasuries and securities issued by Government Sponsored Entities or agencies,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Therefore, for those securities, the Company does not record expected credit losses.</w:t>
      </w:r>
    </w:p>
    <w:p>
      <w:pPr>
        <w:spacing w:after="0" w:line="290" w:lineRule="exact"/>
        <w:rPr>
          <w:sz w:val="20"/>
          <w:szCs w:val="20"/>
          <w:color w:val="auto"/>
        </w:rPr>
      </w:pPr>
    </w:p>
    <w:p>
      <w:pPr>
        <w:jc w:val="both"/>
        <w:ind w:left="20" w:right="39" w:firstLine="484"/>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on available-for-sale securities </w:t>
      </w:r>
      <w:r>
        <w:rPr>
          <w:rFonts w:ascii="Times New Roman" w:cs="Times New Roman" w:eastAsia="Times New Roman" w:hAnsi="Times New Roman"/>
          <w:sz w:val="13"/>
          <w:szCs w:val="13"/>
          <w:color w:val="auto"/>
        </w:rPr>
        <w:t>- Management evaluates available-for-sale debt securities in an unrealized loss position on at least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quarterly basis, and more frequently when economic or market conditions warrant such evaluation. For securities in an unrealized loss position, management considers the extent of the unrealized loss, and the near-term prospects of the issuer. Impairment may result from credit deterioration of the issuer or collateral underlying the security. In performing an assessment of whether any decline in fair value is due to a credit loss, all relevant information is considered at the individual security level. For asset-backed securities performance indicators considered related to the underlying assets include default rates, delinquency rates, percentage of non-performing assets, debt-to-collateral ratios, third party guarantees, current levels of subordination, vintage, geographic concentration, analyst reports and forecasts, credit ratings and other market data. In assessing whether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is recorded, limited to the amount the fair value is less than amortized cost basis. Declines in fair value that have not been recorded through an allowance for credit losses, such as declines due to changes in market interest rates, are excluded from earnings and reported, net of tax, in OCI. Management also assesses whether it intends to sell or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w:t>
      </w:r>
    </w:p>
    <w:p>
      <w:pPr>
        <w:spacing w:after="0" w:line="299" w:lineRule="exact"/>
        <w:rPr>
          <w:sz w:val="20"/>
          <w:szCs w:val="20"/>
          <w:color w:val="auto"/>
        </w:rPr>
      </w:pPr>
    </w:p>
    <w:p>
      <w:pPr>
        <w:jc w:val="both"/>
        <w:ind w:left="20" w:right="39" w:firstLine="484"/>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on loans held for investment - </w:t>
      </w:r>
      <w:r>
        <w:rPr>
          <w:rFonts w:ascii="Times New Roman" w:cs="Times New Roman" w:eastAsia="Times New Roman" w:hAnsi="Times New Roman"/>
          <w:sz w:val="13"/>
          <w:szCs w:val="13"/>
          <w:color w:val="auto"/>
        </w:rPr>
        <w:t>The Company utilizes a model which compares the amortized cost basis of the loan to the net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The methodology for determining the allowance for credit losses on loans held for investment is considered a critical accounting policy by management given the judgment required for determining assumptions used, uncertainty of economic forecasts, and subjectivity of any qualitative factors considered.</w:t>
      </w:r>
    </w:p>
    <w:p>
      <w:pPr>
        <w:spacing w:after="0" w:line="29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 evaluates its loan pooling methodology at least annually. The Company has identified the following loan pools used to measure the allowance for credit losses as follows:</w:t>
      </w:r>
    </w:p>
    <w:p>
      <w:pPr>
        <w:spacing w:after="0" w:line="112" w:lineRule="exact"/>
        <w:rPr>
          <w:sz w:val="20"/>
          <w:szCs w:val="20"/>
          <w:color w:val="auto"/>
        </w:rPr>
      </w:pPr>
    </w:p>
    <w:p>
      <w:pPr>
        <w:jc w:val="both"/>
        <w:ind w:left="520" w:right="39" w:firstLine="484"/>
        <w:spacing w:after="0" w:line="262" w:lineRule="auto"/>
        <w:rPr>
          <w:sz w:val="20"/>
          <w:szCs w:val="20"/>
          <w:color w:val="auto"/>
        </w:rPr>
      </w:pPr>
      <w:r>
        <w:rPr>
          <w:rFonts w:ascii="Times New Roman" w:cs="Times New Roman" w:eastAsia="Times New Roman" w:hAnsi="Times New Roman"/>
          <w:sz w:val="13"/>
          <w:szCs w:val="13"/>
          <w:u w:val="single" w:color="auto"/>
          <w:color w:val="auto"/>
        </w:rPr>
        <w:t>Business loans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Loans in this classification consist of commercial and industrial and owner-occupied commercial real estate loans. Commercial, and industrial loans consist of lines of credit, revolving lines of credit, and term loans, generally to businesses or high net worth individuals. The owners of these businesses typically provide recourse such that they guarantee the debt. The lines of credit are generally secured by the assets of the business, though they may at times be issued on an unsecured basis. Generally speaking, they are subject to renewal on an annual basis based upon review of the borrower’s financial statements. Term loans are generally secured by either specific or general asset liens of the borrower’s business. These loans are granted based upon the strength of the cash generation ability of the borrower. Included in C&amp;I loans are also certain SBA loans in which the loan is secured by underlying assets of the business. The Bank may sell a portion of the loan, guaranteed by the SBA, to a third-party investor. The credit quality of this portfolio is largely dependent on economic factors, such as unemployment rates. Owner-occupied commercial real estate may have a residential component of less than 50% of the property’s rental income. The Bank’s underwriting standards generally require: (1) a maximum loan-to-value ratio of 75% based upon an appraisal performed by an independent, state licensed appraiser, and (2) sufficient rental income from the underlying property to adequately service the debt, represented by a minimum debt service ratio of 1.25x. Included in owner-occupied loans are also certain SBA loans in which the loan is secured by underlying real estate as collateral. The Bank may sell a portion of the loan, guaranteed by the SBA, to a third-party investor. Repayment of the loans is often dependent upon the success of the business occupying the properties. The credit quality of this portfolio is largely dependent on economic factors, such as unemployment rates.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right="39" w:firstLine="484"/>
        <w:spacing w:after="0" w:line="265" w:lineRule="auto"/>
        <w:rPr>
          <w:sz w:val="20"/>
          <w:szCs w:val="20"/>
          <w:color w:val="auto"/>
        </w:rPr>
      </w:pPr>
      <w:r>
        <w:rPr>
          <w:rFonts w:ascii="Times New Roman" w:cs="Times New Roman" w:eastAsia="Times New Roman" w:hAnsi="Times New Roman"/>
          <w:sz w:val="13"/>
          <w:szCs w:val="13"/>
          <w:u w:val="single" w:color="auto"/>
          <w:color w:val="auto"/>
        </w:rPr>
        <w:t>One-to-four family residential, including condominium and cooperative apartment loans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Loans in this classification consist of residential real estate and one-to-four family real estate properties, and may have a mixed-use commercial aspect. Included in one-to-four family loans are also certain SBA loans in which the loan is secured by underlying real estate as collateral. The Bank may sell a portion of the loan, guaranteed by the SBA, to a third-party investor. Owner-occupied properties are generally underwritten based upon an appraisal performed by an independent, state licensed appraiser and the credit quality of the individual borrower. Investment properties require: (1) a maximum loan-to-value ratio of 75% based upon an appraisal performed by an independent, state licensed appraiser, and (2) sufficient rental income from the underlying property to adequately service the debt, represented by a minimum debt service ratio of 1.25x. The credit quality of this portfolio is largely dependent on economic factors, such as unemployment rates and housing prices.</w:t>
      </w:r>
    </w:p>
    <w:p>
      <w:pPr>
        <w:spacing w:after="0" w:line="135" w:lineRule="exact"/>
        <w:rPr>
          <w:sz w:val="20"/>
          <w:szCs w:val="20"/>
          <w:color w:val="auto"/>
        </w:rPr>
      </w:pPr>
    </w:p>
    <w:p>
      <w:pPr>
        <w:jc w:val="both"/>
        <w:ind w:left="520" w:right="39" w:firstLine="484"/>
        <w:spacing w:after="0" w:line="264" w:lineRule="auto"/>
        <w:rPr>
          <w:sz w:val="20"/>
          <w:szCs w:val="20"/>
          <w:color w:val="auto"/>
        </w:rPr>
      </w:pPr>
      <w:r>
        <w:rPr>
          <w:rFonts w:ascii="Times New Roman" w:cs="Times New Roman" w:eastAsia="Times New Roman" w:hAnsi="Times New Roman"/>
          <w:sz w:val="13"/>
          <w:szCs w:val="13"/>
          <w:u w:val="single" w:color="auto"/>
          <w:color w:val="auto"/>
        </w:rPr>
        <w:t>Multifamily residential and residential mixed-use loans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Loans in this classification consist of multifamily residential real estate with a minimum of five residential units, and may have a mixed-use commercial aspect of less than 50% of the property’s rental income. The Bank’s underwriting standards for multifamily residential loans generally require: (1) a maximum loan-to-value ratio of 75% based upon an appraisal performed by an independent, state licensed appraiser, and (2) sufficient rental income from the underlying property to adequately service the debt, represented by a minimum debt service ratio of 1.20x. Repayment of multifamily residential loans is dependent, in significant part, on cash flow from the collateral property sufficient to satisfy operating expenses and debt service. Future increases in interest rates, increases in vacancy rates on multifamily residential or commercial buildings, and other economic events, such as unemployment rates, which are outside the control of the borrower or the Bank could negatively impact the future net operating income of such properties. Similarly, government regulations, such as the existing New York City Rent Regulation and Rent Stabilization laws, could limit future increases in the revenue from these buildings.</w:t>
      </w:r>
    </w:p>
    <w:p>
      <w:pPr>
        <w:spacing w:after="0" w:line="132" w:lineRule="exact"/>
        <w:rPr>
          <w:sz w:val="20"/>
          <w:szCs w:val="20"/>
          <w:color w:val="auto"/>
        </w:rPr>
      </w:pPr>
    </w:p>
    <w:p>
      <w:pPr>
        <w:jc w:val="both"/>
        <w:ind w:left="520" w:right="39" w:firstLine="484"/>
        <w:spacing w:after="0" w:line="264" w:lineRule="auto"/>
        <w:rPr>
          <w:sz w:val="20"/>
          <w:szCs w:val="20"/>
          <w:color w:val="auto"/>
        </w:rPr>
      </w:pPr>
      <w:r>
        <w:rPr>
          <w:rFonts w:ascii="Times New Roman" w:cs="Times New Roman" w:eastAsia="Times New Roman" w:hAnsi="Times New Roman"/>
          <w:sz w:val="13"/>
          <w:szCs w:val="13"/>
          <w:u w:val="single" w:color="auto"/>
          <w:color w:val="auto"/>
        </w:rPr>
        <w:t>Non-owner-occupied commercial real estate loans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Loans in this classification consist of mortgage loans on nonresidential properties. Nonresidential properties may have a residential aspect of less than 50% of the property’s rental income. Nonresidential properties include investor owned assets such as retail, warehouses/ industrial facilities, hotels, supportive housing, non-medical and medical offices, educational facilities and medical facilities among others. The Bank’s underwriting standards for non-owner occupied commercial real estate loans generally require: (1) a maximum loan-to-value ratio of 75% based upon an appraisal performed by an independent, state licensed appraiser, and (2) sufficient rental income from the underlying property to adequately service the debt, represented by a minimum debt service ratio of 1.25x. Repayment of non-owner occupied commercial real estate loans is often dependent upon successful operation or management of the collateral properties, as well as the success of the business and retail tenants occupying the properties. Repayment of such loans is generally dependent on economic factors such as unemployment rates and commercial real estate prices.</w:t>
      </w:r>
    </w:p>
    <w:p>
      <w:pPr>
        <w:spacing w:after="0" w:line="299" w:lineRule="exact"/>
        <w:rPr>
          <w:sz w:val="20"/>
          <w:szCs w:val="20"/>
          <w:color w:val="auto"/>
        </w:rPr>
      </w:pPr>
    </w:p>
    <w:p>
      <w:pPr>
        <w:jc w:val="both"/>
        <w:ind w:left="520" w:right="39" w:firstLine="484"/>
        <w:spacing w:after="0" w:line="271" w:lineRule="auto"/>
        <w:rPr>
          <w:sz w:val="20"/>
          <w:szCs w:val="20"/>
          <w:color w:val="auto"/>
        </w:rPr>
      </w:pPr>
      <w:r>
        <w:rPr>
          <w:rFonts w:ascii="Times New Roman" w:cs="Times New Roman" w:eastAsia="Times New Roman" w:hAnsi="Times New Roman"/>
          <w:sz w:val="13"/>
          <w:szCs w:val="13"/>
          <w:u w:val="single" w:color="auto"/>
          <w:color w:val="auto"/>
        </w:rPr>
        <w:t>Acquisition, development, and construction loans</w:t>
      </w:r>
      <w:r>
        <w:rPr>
          <w:rFonts w:ascii="Times New Roman" w:cs="Times New Roman" w:eastAsia="Times New Roman" w:hAnsi="Times New Roman"/>
          <w:sz w:val="13"/>
          <w:szCs w:val="13"/>
          <w:color w:val="auto"/>
        </w:rPr>
        <w:t xml:space="preserve"> - Loans in this classification consist of loans to purchase land intended for further development, including single-family homes, multi-family housing, and commercial income properties. In general, the maximum loan-to-value ratio for a land acquisition loan is 50% of the appraised value of the property. The credit quality of this portfolio is largely dependent on economic factors, such as unemployment rates and CRE prices.</w:t>
      </w:r>
    </w:p>
    <w:p>
      <w:pPr>
        <w:spacing w:after="0" w:line="131" w:lineRule="exact"/>
        <w:rPr>
          <w:sz w:val="20"/>
          <w:szCs w:val="20"/>
          <w:color w:val="auto"/>
        </w:rPr>
      </w:pPr>
    </w:p>
    <w:p>
      <w:pPr>
        <w:jc w:val="both"/>
        <w:ind w:left="520" w:right="39" w:firstLine="484"/>
        <w:spacing w:after="0" w:line="297" w:lineRule="auto"/>
        <w:rPr>
          <w:sz w:val="20"/>
          <w:szCs w:val="20"/>
          <w:color w:val="auto"/>
        </w:rPr>
      </w:pPr>
      <w:r>
        <w:rPr>
          <w:rFonts w:ascii="Times New Roman" w:cs="Times New Roman" w:eastAsia="Times New Roman" w:hAnsi="Times New Roman"/>
          <w:sz w:val="13"/>
          <w:szCs w:val="13"/>
          <w:u w:val="single" w:color="auto"/>
          <w:color w:val="auto"/>
        </w:rPr>
        <w:t>Other loans</w:t>
      </w:r>
      <w:r>
        <w:rPr>
          <w:rFonts w:ascii="Times New Roman" w:cs="Times New Roman" w:eastAsia="Times New Roman" w:hAnsi="Times New Roman"/>
          <w:sz w:val="13"/>
          <w:szCs w:val="13"/>
          <w:color w:val="auto"/>
        </w:rPr>
        <w:t xml:space="preserve"> - Loans in this classification consist of installment and consumer loans. Repayment is dependent on the credit quality of the individual borrower. The credit quality of this portfolio is largely dependent on economic factors, such as unemployment rates.</w:t>
      </w:r>
    </w:p>
    <w:p>
      <w:pPr>
        <w:spacing w:after="0" w:line="114" w:lineRule="exact"/>
        <w:rPr>
          <w:sz w:val="20"/>
          <w:szCs w:val="20"/>
          <w:color w:val="auto"/>
        </w:rPr>
      </w:pPr>
    </w:p>
    <w:p>
      <w:pPr>
        <w:jc w:val="both"/>
        <w:ind w:left="520" w:right="39" w:firstLine="484"/>
        <w:spacing w:after="0" w:line="268" w:lineRule="auto"/>
        <w:rPr>
          <w:sz w:val="20"/>
          <w:szCs w:val="20"/>
          <w:color w:val="auto"/>
        </w:rPr>
      </w:pPr>
      <w:r>
        <w:rPr>
          <w:rFonts w:ascii="Times New Roman" w:cs="Times New Roman" w:eastAsia="Times New Roman" w:hAnsi="Times New Roman"/>
          <w:sz w:val="13"/>
          <w:szCs w:val="13"/>
          <w:u w:val="single" w:color="auto"/>
          <w:color w:val="auto"/>
        </w:rPr>
        <w:t>Loan restructurings</w:t>
      </w:r>
      <w:r>
        <w:rPr>
          <w:rFonts w:ascii="Times New Roman" w:cs="Times New Roman" w:eastAsia="Times New Roman" w:hAnsi="Times New Roman"/>
          <w:sz w:val="13"/>
          <w:szCs w:val="13"/>
          <w:color w:val="auto"/>
        </w:rPr>
        <w:t xml:space="preserve"> - 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13"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Management estimates the allowance for credit losses on each loan pool using relevant available information, from internal and external sources, relating to past events, current conditions, and reasonable and supportable forecasts. Historically</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observed credit loss experience of peer banks within our geography provide the basis for the estimation of expected credit losses on similar loan pools. Within the model, assumptions are made in the determination of probability of default, loss given default, reasonable and supportable economic forecasts, prepayment rate, curtailment rate, and recovery lag periods. Statistical regression is utilized to relate historical macro-economic variables to historical credit loss experience of the peer group. These models are then utilized to forecast future expected loan losses based on expected future behavior of the same macro-economic variables. The Company considers qualitative adjustments to expected credit loss estimates for information not already captured in the loss estimation process.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34" w:lineRule="exact"/>
        <w:rPr>
          <w:sz w:val="20"/>
          <w:szCs w:val="20"/>
          <w:color w:val="auto"/>
        </w:rPr>
      </w:pPr>
    </w:p>
    <w:p>
      <w:pPr>
        <w:jc w:val="both"/>
        <w:ind w:left="20" w:right="39" w:firstLine="484"/>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Individually evaluated loans - </w:t>
      </w:r>
      <w:r>
        <w:rPr>
          <w:rFonts w:ascii="Times New Roman" w:cs="Times New Roman" w:eastAsia="Times New Roman" w:hAnsi="Times New Roman"/>
          <w:sz w:val="13"/>
          <w:szCs w:val="13"/>
          <w:color w:val="auto"/>
        </w:rPr>
        <w:t>Loans that do not share risk characteristics are evaluated on an individual basis based on various factors and are not included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the collective pool evaluation. Factors that may be considered are borrower delinquency trends and non-accrual status, probability of foreclosure or note sale, changes in the borrower’s circumstances or cash collections, borrower’s industry, or other facts and circumstances of the loan or collateral. For a loan that does not share risk characteristics with other loans, expected credit loss is measured based on net realizable value, that is, the difference between the discounted value of the expected future cash flows, based on the original effective interest rate, and the amortized cost basis of the loan. For these loans, the Company recognizes expected credit loss equal to the amount by which the net realizable value of the loan is less than the amortized cost basis of the loan (which is net of previous charge-offs), except when the loan is collateral dependent, that is, when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costs to sell the collateral if repayment or satisfaction of a loan is dependent on the sale (rather than only on the operation) of the collateral.</w:t>
      </w:r>
    </w:p>
    <w:p>
      <w:pPr>
        <w:spacing w:after="0" w:line="138"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fair value of real estate collateral is determined based on recent appraised values. Appraisals are performed by certified general appraisers (for commercial properties) or certified residential appraisers (for residential properties) whose qualifications and licenses have been reviewed and verified by the Company. Appraisals undergo a second review process to ensure that the methodology employed, and the values derived are reasonable. Generally, collateral values for real estate loans for which measurement of expected losses is dependent on collateral values are updated every twelve months.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borrower and its business. Once the expected credit loss amount is determined, an allowance is provided for equal to the calculated expected credit loss and included in the allowance for credit losses. Pursuant to the Company’s policy, credit losses must be charged-off in the period the loans, or portions thereof, are deemed uncollectable.</w:t>
      </w:r>
    </w:p>
    <w:p>
      <w:pPr>
        <w:spacing w:after="0" w:line="134" w:lineRule="exact"/>
        <w:rPr>
          <w:sz w:val="20"/>
          <w:szCs w:val="20"/>
          <w:color w:val="auto"/>
        </w:rPr>
      </w:pPr>
    </w:p>
    <w:p>
      <w:pPr>
        <w:jc w:val="both"/>
        <w:ind w:left="20" w:right="39" w:firstLine="484"/>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Allowance for credit losses on off-balance sheet credit exposures </w:t>
      </w:r>
      <w:r>
        <w:rPr>
          <w:rFonts w:ascii="Times New Roman" w:cs="Times New Roman" w:eastAsia="Times New Roman" w:hAnsi="Times New Roman"/>
          <w:sz w:val="13"/>
          <w:szCs w:val="13"/>
          <w:color w:val="auto"/>
        </w:rPr>
        <w:t>- The Company estimates expected credit losses over the contractual period in which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is exposed to credit risk via a contractual obligation to extend credit, unless that obligation is unconditionally cancellable by the Company. The allowance for credit losses on off-balance sheet credit exposures, which is included in other liabilities on the consolidated statements of financial condition, is adjusted as a provision for credit loss expense.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further discussion of our loan accounting, see Note 4 - Loans.</w:t>
      </w:r>
    </w:p>
    <w:p>
      <w:pPr>
        <w:spacing w:after="0" w:line="171"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Derivatives </w:t>
      </w:r>
      <w:r>
        <w:rPr>
          <w:rFonts w:ascii="Times New Roman" w:cs="Times New Roman" w:eastAsia="Times New Roman" w:hAnsi="Times New Roman"/>
          <w:sz w:val="13"/>
          <w:szCs w:val="13"/>
          <w:color w:val="auto"/>
        </w:rPr>
        <w:t>- The Company may engage in three types of derivatives depending on the Company’s intentions and belief as to the likely effectiveness as a hedge.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These three types are (1) a hedge of the variability of cash flows to be received or paid related to a recognized asset or liability (“cash flow hedge”), (2) a hedge with the exposure to changes in fair value of an asset, liability, or firm commitment attributable to particular risk, such as interest risk (“fair value hedge”) or (3) an instrument with no hedging designation (“freestanding derivatives”). For a cash flow hedge, the gain or loss on the derivative is reported in other comprehensive income and is reclassified into earnings in the same periods during which</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hedged transaction affects earnings. Changes in fair value of the fair value derivative and the hedged item related to the hedged risk are recognized in earnings.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Changes in the fair value of derivatives that do not qualify for hedge accounting are reported currently in earnings as non-interest income.</w:t>
      </w:r>
    </w:p>
    <w:p>
      <w:pPr>
        <w:spacing w:after="0" w:line="161"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same as the cash flows of the items being hedged.</w:t>
      </w:r>
    </w:p>
    <w:p>
      <w:pPr>
        <w:spacing w:after="0" w:line="12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cash flow hedges to specific liabilities on the consolidated statements of financial condition. The Company also formally assesses, both at the hedge’s inception and on an on-going basis, whether the derivative instruments that are used are highly effective in offsetting changes in cash flows of the hedged items. The Company discontinues hedge accounting when it determines that the derivative is no longer effective in offsetting changes in cash flows of the hedged item, or treatment of the derivative as a hedge is no longer appropriate or intended.</w:t>
      </w:r>
    </w:p>
    <w:p>
      <w:pPr>
        <w:spacing w:after="0" w:line="13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When hedge accounting is discontinued, subsequent changes in fair value of the derivative are recorded as non-interest income. When a cash flow hedge is discontinued but the hedged cash flows are still expected to occur, gains or losses that were accumulated in other comprehensive income are amortized into earnings over the same periods which the hedged transaction will affect earnings.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Company is exposed to losses if a counterparty fails to make its payments under a contract in which the Company is in the net receiving position. The Company anticipates that the counterparties will be able to fully satisfy their obligations under the agreements. All the contracts to which the Company is a party settle monthly. In addition, the Company obtains collateral above certain thresholds of the fair value of its hedges from each counterparty based upon their credit standing and the Company has netting agreements with the dealers with which it does business.</w:t>
      </w:r>
    </w:p>
    <w:p>
      <w:pPr>
        <w:spacing w:after="0" w:line="129"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Other Real Estate Owned (“OREO”) </w:t>
      </w:r>
      <w:r>
        <w:rPr>
          <w:rFonts w:ascii="Times New Roman" w:cs="Times New Roman" w:eastAsia="Times New Roman" w:hAnsi="Times New Roman"/>
          <w:sz w:val="13"/>
          <w:szCs w:val="13"/>
          <w:color w:val="auto"/>
        </w:rPr>
        <w:t>- Properties acquired as a result of foreclosure on a real estate loan or a deed in lieu of foreclosure are initially recorded at fair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value less costs to sell when acquired, establishing a new cost basis. Physical possession of residential real estate collateralizing a one-to-four family residential loan occurs when legal title is obtained upon completion of foreclosure or when the borrower conveys all interest in the property to satisfy the loan through execution of a deed in lieu of foreclosure or through a similar legal agreement. These assets are subsequently accounted for at the lower of cost or fair value less estimated costs to sell. Declines in the recorded balance subsequent to acquisition by the Company are recorded through expense. Operating costs after acquisition are expensed.</w:t>
      </w:r>
    </w:p>
    <w:p>
      <w:pPr>
        <w:spacing w:after="0" w:line="130"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Premises and Fixed Assets, Net </w:t>
      </w:r>
      <w:r>
        <w:rPr>
          <w:rFonts w:ascii="Times New Roman" w:cs="Times New Roman" w:eastAsia="Times New Roman" w:hAnsi="Times New Roman"/>
          <w:sz w:val="13"/>
          <w:szCs w:val="13"/>
          <w:color w:val="auto"/>
        </w:rPr>
        <w:t>- Land is carried at cost. Premises and equipment are stated at cost less accumulated depreciation. Buildings and related components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depreciated using the straight-line method with useful lives generally ranging from forty to fifty years. Furniture, fixtures and equipment are depreciated using the straight-line method with useful lives generally ranging from three to ten years.</w:t>
      </w:r>
    </w:p>
    <w:p>
      <w:pPr>
        <w:spacing w:after="0" w:line="12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Leases – </w:t>
      </w:r>
      <w:r>
        <w:rPr>
          <w:rFonts w:ascii="Times New Roman" w:cs="Times New Roman" w:eastAsia="Times New Roman" w:hAnsi="Times New Roman"/>
          <w:sz w:val="13"/>
          <w:szCs w:val="13"/>
          <w:color w:val="auto"/>
        </w:rPr>
        <w:t>Leases are classified as operating or finance leases at the lease commencement date. The Company recorded leases on the consolidated statements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financial condition with the operating lease asset and lease liability determined at the commencement date of the lease based on the present value of the remaining minimum lease payments, discounted using the Company’s incremental borrowing rate as of the date of inception.</w:t>
      </w:r>
    </w:p>
    <w:p>
      <w:pPr>
        <w:spacing w:after="0" w:line="126"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Company made a policy election to exclude the recognition requirements of ASC 2016-02 on short-term leases with original terms of 12 months or less. Short-term lease payments are recognized in the Company’s consolidated statements of operations on a straight-line basis over the lease term. Certain leases may include one or more options to renew. The exercise of lease renewal options is typically at the Company’s discretion, and are included in the operating lease liability if it is reasonably certain that the renewal option will be exercised. Certain real estate leases may contain lease and non-lease components, such as common area maintenance charges, real estate taxes, and insurance, which are generally accounted for separately and are not included in the measurement of the lease liability since they are generally able to be segregated. Lease expenses are included in occupancy and equipment on the Company’s consolidated statements of operations. The Company does not sublease any of its leased properties and does not lease properties from any related parties. Disclosures about the Company’s leasing activities are presented in Note 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Goodwill and Other Intangible Assets </w:t>
      </w:r>
      <w:r>
        <w:rPr>
          <w:rFonts w:ascii="Times New Roman" w:cs="Times New Roman" w:eastAsia="Times New Roman" w:hAnsi="Times New Roman"/>
          <w:sz w:val="13"/>
          <w:szCs w:val="13"/>
          <w:color w:val="auto"/>
        </w:rPr>
        <w:t>- Goodwill resulting from business combinations is generally determined as the excess of the fair value of the consideration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performs its annual goodwill impairment test in the fourth quarter of every year, or more frequently if events or changes in circumstance indicate the asset might be impaired.</w:t>
      </w:r>
    </w:p>
    <w:p>
      <w:pPr>
        <w:spacing w:after="0" w:line="132"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Other intangible assets with definite useful lives are amortized over their estimated useful lives to their estimated residual values. Core deposit intangible assets are amortized on an accelerated method over their estimated useful lives of ten years.</w:t>
      </w:r>
    </w:p>
    <w:p>
      <w:pPr>
        <w:spacing w:after="0" w:line="112"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Servicing Right Assets (“SRAs”) - </w:t>
      </w:r>
      <w:r>
        <w:rPr>
          <w:rFonts w:ascii="Times New Roman" w:cs="Times New Roman" w:eastAsia="Times New Roman" w:hAnsi="Times New Roman"/>
          <w:sz w:val="13"/>
          <w:szCs w:val="13"/>
          <w:color w:val="auto"/>
        </w:rPr>
        <w:t>When real estate or C&amp;I loans are sold with servicing retained, servicing rights are initially recorded at fair value with the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statement effect recorded in gains on sales of loans. SRAs are carried at the lower of cost or fair value and are amortized in proportion to, and over the period of, anticipated net servicing income. All separately recognized SRAs are required to be initially measured at fair value, if practicable. The estimated fair value of loan servicing assets is determined by calculating the present value of estimated future net servicing cash flows, using assumptions of prepayments, defaults, servicing costs and discount rates derived based upon actual historical results for the Bank, or, in the absence of such data, from historical results for the Bank’s peers. Capitalized loan servicing assets are stratified based on predominant risk characteristics of the underlying loans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collateral, interest rate, servicing spread and maturity) for the purpose of evaluating impairment. A valuation allowance is then established in the event the recorded value of an individual stratum exceeds its fair value. The fair values of servicing rights are subject to significant fluctuations as a result of changes in estimated and actual prepayment speeds, default rates, and losses.</w:t>
      </w:r>
    </w:p>
    <w:p>
      <w:pPr>
        <w:spacing w:after="0" w:line="297"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Transfers of Financial Assets - </w:t>
      </w:r>
      <w:r>
        <w:rPr>
          <w:rFonts w:ascii="Times New Roman" w:cs="Times New Roman" w:eastAsia="Times New Roman" w:hAnsi="Times New Roman"/>
          <w:sz w:val="13"/>
          <w:szCs w:val="13"/>
          <w:color w:val="auto"/>
        </w:rPr>
        <w:t>Transfers of financial assets are accounted for as sales, when control over the assets has been relinquished. Control over transferred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assets is deemed to be surrendered when the assets have been legally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29"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Bank Owned Life Insurance (“BOLI”) </w:t>
      </w:r>
      <w:r>
        <w:rPr>
          <w:rFonts w:ascii="Times New Roman" w:cs="Times New Roman" w:eastAsia="Times New Roman" w:hAnsi="Times New Roman"/>
          <w:sz w:val="13"/>
          <w:szCs w:val="13"/>
          <w:color w:val="auto"/>
        </w:rPr>
        <w:t>- BOLI is carried at the amount that can be realized under the insurance contract at the balance sheet date, which is the cash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surrender value adjusted for other charges or amounts due that are probable at settlement. Increases in the contract value are recorded as non-interest income in the consolidated statements of operations and insurance proceeds received are recorded as a reduction of the contract value.</w:t>
      </w:r>
    </w:p>
    <w:p>
      <w:pPr>
        <w:spacing w:after="0" w:line="12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Income Taxes - </w:t>
      </w:r>
      <w:r>
        <w:rPr>
          <w:rFonts w:ascii="Times New Roman" w:cs="Times New Roman" w:eastAsia="Times New Roman" w:hAnsi="Times New Roman"/>
          <w:sz w:val="13"/>
          <w:szCs w:val="13"/>
          <w:color w:val="auto"/>
        </w:rPr>
        <w:t>Income tax expense is the total of the current year income tax due or refundable and the change in deferred tax assets and liabilities. Deferred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assets and liabilities are the expected future tax amounts for the temporary differences between carrying amounts and tax bases of assets and liabilities, computed using enacted tax rates. A valuation allowance, if needed, reduces deferred tax assets to the amount deemed more likely than not to be realized.</w:t>
      </w:r>
    </w:p>
    <w:p>
      <w:pPr>
        <w:spacing w:after="0" w:line="12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satisfying the "more likely than not" test, no tax benefit is recorded. The Company recognizes interest and/or penalties related to tax matters in income tax expense. The Company had no unrecognized tax positions at December 31, 2024 or 2023.</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Employee Benefits - </w:t>
      </w:r>
      <w:r>
        <w:rPr>
          <w:rFonts w:ascii="Times New Roman" w:cs="Times New Roman" w:eastAsia="Times New Roman" w:hAnsi="Times New Roman"/>
          <w:sz w:val="13"/>
          <w:szCs w:val="13"/>
          <w:color w:val="auto"/>
        </w:rPr>
        <w:t>The Bank maintains two noncontributory pension plans: (i) the Retirement Plan of Dime Community Bank (“Employee Retirement Plan”) and</w:t>
      </w:r>
    </w:p>
    <w:p>
      <w:pPr>
        <w:spacing w:after="0" w:line="26" w:lineRule="exact"/>
        <w:rPr>
          <w:sz w:val="20"/>
          <w:szCs w:val="20"/>
          <w:color w:val="auto"/>
        </w:rPr>
      </w:pPr>
    </w:p>
    <w:p>
      <w:pPr>
        <w:jc w:val="both"/>
        <w:ind w:left="20" w:right="39" w:firstLine="9"/>
        <w:spacing w:after="0" w:line="258" w:lineRule="auto"/>
        <w:tabs>
          <w:tab w:leader="none" w:pos="224"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BNB Bank Pension Plan, covering all eligible employees. As the sponsor of a single employer defined benefit plan, the Company must do the following for the Employee Retirement Plan and BNB Bank Pension Plan: (1) recognize the funded status of the benefit plans in its statements of financial condition, measured as the difference between plan assets at fair value (with limited exceptions) and the benefit obligation. For a pension plan, the benefit obligation is the projected benefit obligation; for any other postretirement benefit plan, such as a retiree health care plan, the benefit obligation is the accumulated postretirement benefit obligation;</w:t>
      </w:r>
    </w:p>
    <w:p>
      <w:pPr>
        <w:spacing w:after="0" w:line="2" w:lineRule="exact"/>
        <w:rPr>
          <w:rFonts w:ascii="Times New Roman" w:cs="Times New Roman" w:eastAsia="Times New Roman" w:hAnsi="Times New Roman"/>
          <w:sz w:val="13"/>
          <w:szCs w:val="13"/>
          <w:color w:val="auto"/>
        </w:rPr>
      </w:pPr>
    </w:p>
    <w:p>
      <w:pPr>
        <w:jc w:val="both"/>
        <w:ind w:left="20" w:right="39"/>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recognize as a component of other comprehensive income, net of tax, the gains or losses and prior service costs or credits that arise during the period but are not recognized as components of net periodic benefit or cost. Amounts recognized in accumulated other comprehensive income, including the gains or losses, prior service costs or credits, and the transition asset or obligation are adjusted as they are subsequently recognized as components of net periodic benefit cost; (3) measure defined benefit plan assets and obligations as of the date of the employer’s fiscal year-end statements of financial condition (with limited exceptions); and (4) disclose in the notes to financial statements additional information about certain effects on net periodic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benefit cost for the next fiscal year that arise from delayed recognition of the gains or losses, prior service costs or credits, and transition asset or obligation.</w:t>
      </w:r>
    </w:p>
    <w:p>
      <w:pPr>
        <w:spacing w:after="0" w:line="167" w:lineRule="exact"/>
        <w:rPr>
          <w:sz w:val="20"/>
          <w:szCs w:val="20"/>
          <w:color w:val="auto"/>
        </w:rPr>
      </w:pPr>
    </w:p>
    <w:p>
      <w:pPr>
        <w:jc w:val="both"/>
        <w:ind w:left="20" w:right="39"/>
        <w:spacing w:after="0" w:line="215" w:lineRule="auto"/>
        <w:rPr>
          <w:sz w:val="20"/>
          <w:szCs w:val="20"/>
          <w:color w:val="auto"/>
        </w:rPr>
      </w:pPr>
      <w:r>
        <w:rPr>
          <w:rFonts w:ascii="Times New Roman" w:cs="Times New Roman" w:eastAsia="Times New Roman" w:hAnsi="Times New Roman"/>
          <w:sz w:val="13"/>
          <w:szCs w:val="13"/>
          <w:color w:val="auto"/>
        </w:rPr>
        <w:t>The Company provides a 401(k) plan, which covers substantially all current employees. Newly hired employees are automatically enrolled in the plan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day of employment, unless they elect not to participate.</w:t>
      </w:r>
    </w:p>
    <w:p>
      <w:pPr>
        <w:spacing w:after="0" w:line="15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The Holding Company and Bank maintain the Dime Community Bancshares, Inc. 2021 Equity Incentive Plan (the “2021 Equity Incentive Plan”), the Dime Community Bancshares, Inc. 2019 Equity Incentive Plan, (the “2019 Equity Incentive Plan”), and the 2012 Stock-Based Compensation Plan (the “2012 Equity Incentive Plan”), (collectively the “Stock Plans”); which are discussed more fully in Note 17 Stock-Based Compensation. Under the Stock Plans, compensation cost is recognized for stock options and restricted stock awards issued to employees based on the fair value of the awards at the date of grant. A Black-Scholes model is utilized to estimate the fair value of stock options, while the market price of the Holding Company’s common stock (“Common Stock”) at the date of grant is used for restricted stock awards.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33"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Basic and Diluted EPS - </w:t>
      </w:r>
      <w:r>
        <w:rPr>
          <w:rFonts w:ascii="Times New Roman" w:cs="Times New Roman" w:eastAsia="Times New Roman" w:hAnsi="Times New Roman"/>
          <w:sz w:val="13"/>
          <w:szCs w:val="13"/>
          <w:color w:val="auto"/>
        </w:rPr>
        <w:t>Basic earnings per share (“EPS”) is computed by dividing net income available to common stockholders by the weighted average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outstanding during the reporting period. Diluted EPS is computed using the same method as basic EPS, but reflects the potential dilution that would occur if "in the money" stock options were exercised and converted into common stock. In determining the weighted average shares outstanding for basic and diluted EPS, treasury shares are excluded. Vested restricted stock award ("RSA") shares are included in the calculation of the weighted average shares outstanding for basic and diluted EPS. Unvested RSA and performance-based share awards (“PSA”) shares are recognized as a special class of participating securities under ASC 260, and are included in the calculation of the weighted average shares outstanding for basic and diluted EPS.</w:t>
      </w:r>
    </w:p>
    <w:p>
      <w:pPr>
        <w:spacing w:after="0" w:line="13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Comprehensive Income </w:t>
      </w:r>
      <w:r>
        <w:rPr>
          <w:rFonts w:ascii="Times New Roman" w:cs="Times New Roman" w:eastAsia="Times New Roman" w:hAnsi="Times New Roman"/>
          <w:sz w:val="13"/>
          <w:szCs w:val="13"/>
          <w:color w:val="auto"/>
        </w:rPr>
        <w:t>- Comprehensive income consists of net income and other comprehensive income (loss). Other comprehensive income includes unrealized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gains and losses on available-for-sale securities, unrealized gains and losses on cash flow hedges, and changes in the funded status of the pension plan, which are also recognized as separate components of equity. Comprehensive and accumulated comprehensive income are summarized in Note 2.</w:t>
      </w:r>
    </w:p>
    <w:p>
      <w:pPr>
        <w:spacing w:after="0" w:line="124"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Disclosures about Segments of an Enterprise and Related Information </w:t>
      </w:r>
      <w:r>
        <w:rPr>
          <w:rFonts w:ascii="Times New Roman" w:cs="Times New Roman" w:eastAsia="Times New Roman" w:hAnsi="Times New Roman"/>
          <w:sz w:val="13"/>
          <w:szCs w:val="13"/>
          <w:color w:val="auto"/>
        </w:rPr>
        <w:t>- The Company has one reportable segment, "Community Banking." All of the Company’s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activities are interrelated, and each activity is dependent and assessed based on the manner in which it supports the other activities of the Company. For example, lending is dependent upon the ability of the Bank to fund itself with retail deposits and other borrowings and to manage interest rate and credit risk. Accordingly, all significant operating decisions are based upon analysis of the Company as one operating segment or unit.</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the years ended December 31, 2024, 2023 and 2022, there was no customer that accounted for more than 10% of the Company's consolidated revenue.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Reclassifications </w:t>
      </w:r>
      <w:r>
        <w:rPr>
          <w:rFonts w:ascii="Times New Roman" w:cs="Times New Roman" w:eastAsia="Times New Roman" w:hAnsi="Times New Roman"/>
          <w:sz w:val="13"/>
          <w:szCs w:val="13"/>
          <w:color w:val="auto"/>
        </w:rPr>
        <w:t>– There have been no material reclassifications to prior year amounts to conform to their current presentation.</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Adoption of New Accounting Standards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Standards Adopted in 2024</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ASU 2023-07, Segment Reporting - Improvements to Reportable Segment Disclosures (Topic 280)</w:t>
      </w:r>
    </w:p>
    <w:p>
      <w:pPr>
        <w:spacing w:after="0" w:line="175"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Financial Accounting Standards Board issued Accounting Standards Update 2023-07 to improve reportable segment disclosures by requiring public business entities to disclose significant expense categories and amounts for each reportable segment, where significant expense categories are defined as those that are regularly reported to an entity’s chief operating decision-maker and included in a segment’s reported measures of profit or loss. ASU 2023-07 became effective for the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Company on January 1, 2024. The adoption of ASU 2023-07 did not have a material effect on the Company’s consolidated financial statements.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Standards That Have Not Yet Been Adopted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ASU No. 2023-09—Income Taxes (Topic 740)—Improvements to Income Tax Disclosures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114"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update is effective for annual periods beginning after December 15, 2024, with early adoption permitted. The transition method is prospective with retrospective method permitted. The adoption of ASU 2023-09 will not have a material impact on the Company's income tax disclosures.</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 ACCUMULATED OTHER COMPREHENSIVE INCOME (LOSS)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Activity in accumulated other comprehensive income (loss), net of tax, was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Defined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Available-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Benefit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0" w:type="dxa"/>
            <w:vAlign w:val="bottom"/>
          </w:tcPr>
          <w:p>
            <w:pPr>
              <w:spacing w:after="0"/>
              <w:rPr>
                <w:sz w:val="1"/>
                <w:szCs w:val="1"/>
                <w:color w:val="auto"/>
              </w:rPr>
            </w:pPr>
          </w:p>
        </w:tc>
      </w:tr>
      <w:tr>
        <w:trPr>
          <w:trHeight w:val="160"/>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for-Sale</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Plans</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(94,379)</w:t>
            </w:r>
          </w:p>
        </w:tc>
        <w:tc>
          <w:tcPr>
            <w:tcW w:w="0" w:type="dxa"/>
            <w:vAlign w:val="bottom"/>
          </w:tcPr>
          <w:p>
            <w:pPr>
              <w:spacing w:after="0"/>
              <w:rPr>
                <w:sz w:val="1"/>
                <w:szCs w:val="1"/>
                <w:color w:val="auto"/>
              </w:rPr>
            </w:pPr>
          </w:p>
        </w:tc>
      </w:tr>
      <w:tr>
        <w:trPr>
          <w:trHeight w:val="151"/>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reclassifications</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0" w:type="dxa"/>
            <w:vAlign w:val="bottom"/>
          </w:tcPr>
          <w:p>
            <w:pPr>
              <w:spacing w:after="0"/>
              <w:rPr>
                <w:sz w:val="1"/>
                <w:szCs w:val="1"/>
                <w:color w:val="auto"/>
              </w:rPr>
            </w:pPr>
          </w:p>
        </w:tc>
      </w:tr>
      <w:tr>
        <w:trPr>
          <w:trHeight w:val="15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income (loss)</w:t>
            </w: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3,130</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1,427</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3,502</w:t>
            </w:r>
          </w:p>
        </w:tc>
        <w:tc>
          <w:tcPr>
            <w:tcW w:w="0" w:type="dxa"/>
            <w:vAlign w:val="bottom"/>
          </w:tcPr>
          <w:p>
            <w:pPr>
              <w:spacing w:after="0"/>
              <w:rPr>
                <w:sz w:val="1"/>
                <w:szCs w:val="1"/>
                <w:color w:val="auto"/>
              </w:rPr>
            </w:pPr>
          </w:p>
        </w:tc>
      </w:tr>
      <w:tr>
        <w:trPr>
          <w:trHeight w:val="141"/>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other comprehensive income (loss) during the period</w:t>
            </w:r>
          </w:p>
        </w:tc>
        <w:tc>
          <w:tcPr>
            <w:tcW w:w="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10,628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0" w:type="dxa"/>
            <w:vAlign w:val="bottom"/>
          </w:tcPr>
          <w:p>
            <w:pPr>
              <w:spacing w:after="0"/>
              <w:rPr>
                <w:sz w:val="1"/>
                <w:szCs w:val="1"/>
                <w:color w:val="auto"/>
              </w:rPr>
            </w:pPr>
          </w:p>
        </w:tc>
      </w:tr>
      <w:tr>
        <w:trPr>
          <w:trHeight w:val="14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(90,242)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(91,579)</w:t>
            </w:r>
          </w:p>
        </w:tc>
        <w:tc>
          <w:tcPr>
            <w:tcW w:w="0" w:type="dxa"/>
            <w:vAlign w:val="bottom"/>
          </w:tcPr>
          <w:p>
            <w:pPr>
              <w:spacing w:after="0"/>
              <w:rPr>
                <w:sz w:val="1"/>
                <w:szCs w:val="1"/>
                <w:color w:val="auto"/>
              </w:rPr>
            </w:pPr>
          </w:p>
        </w:tc>
      </w:tr>
      <w:tr>
        <w:trPr>
          <w:trHeight w:val="141"/>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reclassifications</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7,834</w:t>
            </w:r>
          </w:p>
        </w:tc>
        <w:tc>
          <w:tcPr>
            <w:tcW w:w="0" w:type="dxa"/>
            <w:vAlign w:val="bottom"/>
          </w:tcPr>
          <w:p>
            <w:pPr>
              <w:spacing w:after="0"/>
              <w:rPr>
                <w:sz w:val="1"/>
                <w:szCs w:val="1"/>
                <w:color w:val="auto"/>
              </w:rPr>
            </w:pPr>
          </w:p>
        </w:tc>
      </w:tr>
      <w:tr>
        <w:trPr>
          <w:trHeight w:val="15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income</w:t>
            </w: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31,772</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6,937</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38,727</w:t>
            </w:r>
          </w:p>
        </w:tc>
        <w:tc>
          <w:tcPr>
            <w:tcW w:w="0" w:type="dxa"/>
            <w:vAlign w:val="bottom"/>
          </w:tcPr>
          <w:p>
            <w:pPr>
              <w:spacing w:after="0"/>
              <w:rPr>
                <w:sz w:val="1"/>
                <w:szCs w:val="1"/>
                <w:color w:val="auto"/>
              </w:rPr>
            </w:pPr>
          </w:p>
        </w:tc>
      </w:tr>
      <w:tr>
        <w:trPr>
          <w:trHeight w:val="141"/>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other comprehensive income (loss) during the period</w:t>
            </w:r>
          </w:p>
        </w:tc>
        <w:tc>
          <w:tcPr>
            <w:tcW w:w="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46,475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(1,069)</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46,561</w:t>
            </w:r>
          </w:p>
        </w:tc>
        <w:tc>
          <w:tcPr>
            <w:tcW w:w="0" w:type="dxa"/>
            <w:vAlign w:val="bottom"/>
          </w:tcPr>
          <w:p>
            <w:pPr>
              <w:spacing w:after="0"/>
              <w:rPr>
                <w:sz w:val="1"/>
                <w:szCs w:val="1"/>
                <w:color w:val="auto"/>
              </w:rPr>
            </w:pPr>
          </w:p>
        </w:tc>
      </w:tr>
      <w:tr>
        <w:trPr>
          <w:trHeight w:val="14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9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(43,767)</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(45,018)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8"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before and after tax amounts allocated to each component of other comprehensive income (loss) are presented in the table below for the periods indicated.</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tcPr>
          <w:p>
            <w:pPr>
              <w:jc w:val="right"/>
              <w:ind w:right="11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700" w:type="dxa"/>
            <w:vAlign w:val="bottom"/>
            <w:tcBorders>
              <w:bottom w:val="single" w:sz="8" w:color="auto"/>
            </w:tcBorders>
          </w:tcPr>
          <w:p>
            <w:pPr>
              <w:spacing w:after="0"/>
              <w:rPr>
                <w:sz w:val="13"/>
                <w:szCs w:val="13"/>
                <w:color w:val="auto"/>
              </w:rPr>
            </w:pPr>
          </w:p>
        </w:tc>
      </w:tr>
      <w:tr>
        <w:trPr>
          <w:trHeight w:val="146"/>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unrealized gain (loss) on securities: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1"/>
        </w:trPr>
        <w:tc>
          <w:tcPr>
            <w:tcW w:w="5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net unrealized gain (loss) during the period</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23,218</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10,355</w:t>
            </w:r>
          </w:p>
        </w:tc>
        <w:tc>
          <w:tcPr>
            <w:tcW w:w="160" w:type="dxa"/>
            <w:vAlign w:val="bottom"/>
          </w:tcPr>
          <w:p>
            <w:pPr>
              <w:spacing w:after="0"/>
              <w:rPr>
                <w:sz w:val="13"/>
                <w:szCs w:val="13"/>
                <w:color w:val="auto"/>
              </w:rPr>
            </w:pPr>
          </w:p>
        </w:tc>
        <w:tc>
          <w:tcPr>
            <w:tcW w:w="200" w:type="dxa"/>
            <w:vAlign w:val="bottom"/>
            <w:gridSpan w:val="2"/>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(138,630)</w:t>
            </w:r>
          </w:p>
        </w:tc>
      </w:tr>
      <w:tr>
        <w:trPr>
          <w:trHeight w:val="15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Reclassification adjustment for net losses included in net loss on sale of securities and other assets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42,810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Accretion of net unrealized loss on securities transferred to held-to-maturity</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3,028</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3,142</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2,953</w:t>
            </w:r>
          </w:p>
        </w:tc>
      </w:tr>
      <w:tr>
        <w:trPr>
          <w:trHeight w:val="14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change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69,056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14,944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(135,677)</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Tax expense (benefit)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22,581</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(42,671)</w:t>
            </w:r>
          </w:p>
        </w:tc>
      </w:tr>
      <w:tr>
        <w:trPr>
          <w:trHeight w:val="141"/>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change in unrealized gain (loss) on securities, net of reclassification adjustments and tax</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46,475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(93,006)</w:t>
            </w:r>
          </w:p>
        </w:tc>
      </w:tr>
      <w:tr>
        <w:trPr>
          <w:trHeight w:val="151"/>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Change in pension and other postretirement obligations: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Reclassification adjustment for expense included in other expense</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(3,715)</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Change in the net actuarial gain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(1,426)</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(2,062)</w:t>
            </w:r>
          </w:p>
        </w:tc>
      </w:tr>
      <w:tr>
        <w:trPr>
          <w:trHeight w:val="14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change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(5,777)</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Tax benefit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(1,817)</w:t>
            </w:r>
          </w:p>
        </w:tc>
      </w:tr>
      <w:tr>
        <w:trPr>
          <w:trHeight w:val="141"/>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change in pension and other postretirement obligations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(3,960)</w:t>
            </w:r>
          </w:p>
        </w:tc>
      </w:tr>
      <w:tr>
        <w:trPr>
          <w:trHeight w:val="151"/>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Change in unrealized gain (loss) on derivatives: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Change in net unrealized (loss) gain during the period</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(8,453)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(11,782)</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14,412</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Reclassification adjustment for expense included in interest expense</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10,008</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(1,621)</w:t>
            </w:r>
          </w:p>
        </w:tc>
      </w:tr>
      <w:tr>
        <w:trPr>
          <w:trHeight w:val="141"/>
        </w:trPr>
        <w:tc>
          <w:tcPr>
            <w:tcW w:w="5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change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r>
      <w:tr>
        <w:trPr>
          <w:trHeight w:val="151"/>
        </w:trPr>
        <w:tc>
          <w:tcPr>
            <w:tcW w:w="5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Tax expense (benefit)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(3,026)</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4,023</w:t>
            </w:r>
          </w:p>
        </w:tc>
      </w:tr>
      <w:tr>
        <w:trPr>
          <w:trHeight w:val="141"/>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change in unrealized gain (loss) on derivatives, net of reclassification adjustments and tax</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1,155</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8,768</w:t>
            </w:r>
          </w:p>
        </w:tc>
      </w:tr>
      <w:tr>
        <w:trPr>
          <w:trHeight w:val="141"/>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46,561</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(88,198)</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3. SECURITIES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summarize the major categories of securities as of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6"/>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(393)</w:t>
            </w:r>
          </w:p>
        </w:tc>
        <w:tc>
          <w:tcPr>
            <w:tcW w:w="160" w:type="dxa"/>
            <w:vAlign w:val="bottom"/>
          </w:tcPr>
          <w:p>
            <w:pPr>
              <w:spacing w:after="0"/>
              <w:rPr>
                <w:sz w:val="9"/>
                <w:szCs w:val="9"/>
                <w:color w:val="auto"/>
              </w:rPr>
            </w:pPr>
          </w:p>
        </w:tc>
        <w:tc>
          <w:tcPr>
            <w:tcW w:w="200" w:type="dxa"/>
            <w:vAlign w:val="bottom"/>
            <w:gridSpan w:val="2"/>
          </w:tcPr>
          <w:p>
            <w:pPr>
              <w:jc w:val="right"/>
              <w:ind w:right="113"/>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9,607</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Treasury securities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173,972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755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(10,778)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163,949</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mortgage-backed securities ("MBS") issued by government sponsored entities ("GSEs")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303,303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(3,112)</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300,221</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220,314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(28,442)</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191,888</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State and municipal obligations</w:t>
            </w: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26,545</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(1,517)</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25,028</w:t>
            </w:r>
          </w:p>
        </w:tc>
        <w:tc>
          <w:tcPr>
            <w:tcW w:w="0" w:type="dxa"/>
            <w:vAlign w:val="bottom"/>
          </w:tcPr>
          <w:p>
            <w:pPr>
              <w:spacing w:after="0"/>
              <w:rPr>
                <w:sz w:val="1"/>
                <w:szCs w:val="1"/>
                <w:color w:val="auto"/>
              </w:rPr>
            </w:pPr>
          </w:p>
        </w:tc>
      </w:tr>
      <w:tr>
        <w:trPr>
          <w:trHeight w:val="101"/>
        </w:trPr>
        <w:tc>
          <w:tcPr>
            <w:tcW w:w="464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available-for-sale</w:t>
            </w:r>
          </w:p>
        </w:tc>
        <w:tc>
          <w:tcPr>
            <w:tcW w:w="1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734,134</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801</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(44,242)</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690,693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6"/>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5"/>
              </w:rPr>
              <w:t>Unrecognized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Unrecognized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held-to-maturity:</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89,977</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(10,961)</w:t>
            </w:r>
          </w:p>
        </w:tc>
        <w:tc>
          <w:tcPr>
            <w:tcW w:w="160" w:type="dxa"/>
            <w:vAlign w:val="bottom"/>
          </w:tcPr>
          <w:p>
            <w:pPr>
              <w:spacing w:after="0"/>
              <w:rPr>
                <w:sz w:val="9"/>
                <w:szCs w:val="9"/>
                <w:color w:val="auto"/>
              </w:rPr>
            </w:pPr>
          </w:p>
        </w:tc>
        <w:tc>
          <w:tcPr>
            <w:tcW w:w="200" w:type="dxa"/>
            <w:vAlign w:val="bottom"/>
            <w:gridSpan w:val="2"/>
          </w:tcPr>
          <w:p>
            <w:pPr>
              <w:jc w:val="right"/>
              <w:ind w:right="113"/>
              <w:spacing w:after="0" w:line="11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79,016</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(855)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12,285</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GSEs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298,697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(43,716)</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254,981</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235,665</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(29,699)</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205,995</w:t>
            </w:r>
          </w:p>
        </w:tc>
        <w:tc>
          <w:tcPr>
            <w:tcW w:w="0" w:type="dxa"/>
            <w:vAlign w:val="bottom"/>
          </w:tcPr>
          <w:p>
            <w:pPr>
              <w:spacing w:after="0"/>
              <w:rPr>
                <w:sz w:val="1"/>
                <w:szCs w:val="1"/>
                <w:color w:val="auto"/>
              </w:rPr>
            </w:pPr>
          </w:p>
        </w:tc>
      </w:tr>
      <w:tr>
        <w:trPr>
          <w:trHeight w:val="101"/>
        </w:trPr>
        <w:tc>
          <w:tcPr>
            <w:tcW w:w="464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held-to-maturity</w:t>
            </w:r>
          </w:p>
        </w:tc>
        <w:tc>
          <w:tcPr>
            <w:tcW w:w="1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637,339</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169</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(85,231)</w:t>
            </w: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552,277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6"/>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(629)</w:t>
            </w:r>
          </w:p>
        </w:tc>
        <w:tc>
          <w:tcPr>
            <w:tcW w:w="160" w:type="dxa"/>
            <w:vAlign w:val="bottom"/>
          </w:tcPr>
          <w:p>
            <w:pPr>
              <w:spacing w:after="0"/>
              <w:rPr>
                <w:sz w:val="9"/>
                <w:szCs w:val="9"/>
                <w:color w:val="auto"/>
              </w:rPr>
            </w:pPr>
          </w:p>
        </w:tc>
        <w:tc>
          <w:tcPr>
            <w:tcW w:w="200" w:type="dxa"/>
            <w:vAlign w:val="bottom"/>
            <w:gridSpan w:val="2"/>
          </w:tcPr>
          <w:p>
            <w:pPr>
              <w:jc w:val="right"/>
              <w:ind w:right="113"/>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9,371</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Treasury securities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245,877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(11,687)</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234,190</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174,978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(23,808)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151,170</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GSEs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230,253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ind w:left="660"/>
              <w:spacing w:after="0" w:line="111" w:lineRule="exact"/>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(24,978)</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205,285</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305,860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46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(46,491)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259,415</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State and municipal obligations</w:t>
            </w: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28,741</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(1,932)</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26,809</w:t>
            </w:r>
          </w:p>
        </w:tc>
        <w:tc>
          <w:tcPr>
            <w:tcW w:w="0" w:type="dxa"/>
            <w:vAlign w:val="bottom"/>
          </w:tcPr>
          <w:p>
            <w:pPr>
              <w:spacing w:after="0"/>
              <w:rPr>
                <w:sz w:val="1"/>
                <w:szCs w:val="1"/>
                <w:color w:val="auto"/>
              </w:rPr>
            </w:pPr>
          </w:p>
        </w:tc>
      </w:tr>
      <w:tr>
        <w:trPr>
          <w:trHeight w:val="101"/>
        </w:trPr>
        <w:tc>
          <w:tcPr>
            <w:tcW w:w="464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available-for-sale</w:t>
            </w:r>
          </w:p>
        </w:tc>
        <w:tc>
          <w:tcPr>
            <w:tcW w:w="1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995,709</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ind w:left="660"/>
              <w:spacing w:after="0" w:line="101" w:lineRule="exact"/>
              <w:rPr>
                <w:sz w:val="20"/>
                <w:szCs w:val="20"/>
                <w:color w:val="auto"/>
              </w:rPr>
            </w:pPr>
            <w:r>
              <w:rPr>
                <w:rFonts w:ascii="Times New Roman" w:cs="Times New Roman" w:eastAsia="Times New Roman" w:hAnsi="Times New Roman"/>
                <w:sz w:val="11"/>
                <w:szCs w:val="11"/>
                <w:color w:val="auto"/>
              </w:rPr>
              <w:t>56</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(109,525)</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886,240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6"/>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5"/>
              </w:rPr>
              <w:t>Unrecognized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Unrecognized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held-to-maturity:</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89,563</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3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(11,300)</w:t>
            </w:r>
          </w:p>
        </w:tc>
        <w:tc>
          <w:tcPr>
            <w:tcW w:w="160" w:type="dxa"/>
            <w:vAlign w:val="bottom"/>
          </w:tcPr>
          <w:p>
            <w:pPr>
              <w:spacing w:after="0"/>
              <w:rPr>
                <w:sz w:val="9"/>
                <w:szCs w:val="9"/>
                <w:color w:val="auto"/>
              </w:rPr>
            </w:pPr>
          </w:p>
        </w:tc>
        <w:tc>
          <w:tcPr>
            <w:tcW w:w="200" w:type="dxa"/>
            <w:vAlign w:val="bottom"/>
            <w:gridSpan w:val="2"/>
          </w:tcPr>
          <w:p>
            <w:pPr>
              <w:jc w:val="right"/>
              <w:ind w:right="113"/>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78,263</w:t>
            </w: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(1,825)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7,175</w:t>
            </w:r>
          </w:p>
        </w:tc>
        <w:tc>
          <w:tcPr>
            <w:tcW w:w="0" w:type="dxa"/>
            <w:vAlign w:val="bottom"/>
          </w:tcPr>
          <w:p>
            <w:pPr>
              <w:spacing w:after="0"/>
              <w:rPr>
                <w:sz w:val="1"/>
                <w:szCs w:val="1"/>
                <w:color w:val="auto"/>
              </w:rPr>
            </w:pPr>
          </w:p>
        </w:tc>
      </w:tr>
      <w:tr>
        <w:trPr>
          <w:trHeight w:val="111"/>
        </w:trPr>
        <w:tc>
          <w:tcPr>
            <w:tcW w:w="464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GSEs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279,853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(37,579)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242,274</w:t>
            </w:r>
          </w:p>
        </w:tc>
        <w:tc>
          <w:tcPr>
            <w:tcW w:w="0" w:type="dxa"/>
            <w:vAlign w:val="bottom"/>
          </w:tcPr>
          <w:p>
            <w:pPr>
              <w:spacing w:after="0"/>
              <w:rPr>
                <w:sz w:val="1"/>
                <w:szCs w:val="1"/>
                <w:color w:val="auto"/>
              </w:rPr>
            </w:pPr>
          </w:p>
        </w:tc>
      </w:tr>
      <w:tr>
        <w:trPr>
          <w:trHeight w:val="131"/>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216,223</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16</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(27,021)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189,218</w:t>
            </w:r>
          </w:p>
        </w:tc>
        <w:tc>
          <w:tcPr>
            <w:tcW w:w="0" w:type="dxa"/>
            <w:vAlign w:val="bottom"/>
          </w:tcPr>
          <w:p>
            <w:pPr>
              <w:spacing w:after="0"/>
              <w:rPr>
                <w:sz w:val="1"/>
                <w:szCs w:val="1"/>
                <w:color w:val="auto"/>
              </w:rPr>
            </w:pPr>
          </w:p>
        </w:tc>
      </w:tr>
      <w:tr>
        <w:trPr>
          <w:trHeight w:val="101"/>
        </w:trPr>
        <w:tc>
          <w:tcPr>
            <w:tcW w:w="464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held-to-maturity</w:t>
            </w:r>
          </w:p>
        </w:tc>
        <w:tc>
          <w:tcPr>
            <w:tcW w:w="1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594,639</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ind w:left="660"/>
              <w:spacing w:after="0" w:line="101" w:lineRule="exact"/>
              <w:rPr>
                <w:sz w:val="20"/>
                <w:szCs w:val="20"/>
                <w:color w:val="auto"/>
              </w:rPr>
            </w:pPr>
            <w:r>
              <w:rPr>
                <w:rFonts w:ascii="Times New Roman" w:cs="Times New Roman" w:eastAsia="Times New Roman" w:hAnsi="Times New Roman"/>
                <w:sz w:val="11"/>
                <w:szCs w:val="11"/>
                <w:color w:val="auto"/>
              </w:rPr>
              <w:t>16</w:t>
            </w: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(77,725)</w:t>
            </w: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516,930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There were no transfers of securities from available-for-sale to securities held-to-maturity during the years ended December 31, 2024 or 2023. There were no transfers of securities from held-to-maturity to available-for-sale during the years ended December 31, 2024 or 2023. The Company reassessed classification of certain investments and transferred securities from available-for-sale to securities held-to-maturity during the year ended December 31, 2022. The amount remaining in OCI from this transfer as of December 31, 2024 and 2023 was $19.7 million and $22.7 million, respectively. The unrealized losses recorded in other comprehensive income are amortized out of other comprehensive income through interest income on a level-yield method over the remaining term of securities, with no net change to interest income. No gain or loss was recorded at the time of transfer. There were no transfers from securities held-to-maturity to available-for-sale during the year ended December 31, 2022.</w:t>
      </w:r>
    </w:p>
    <w:p>
      <w:pPr>
        <w:spacing w:after="0" w:line="29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carrying amount of securities pledged at December 31, 2024 and 2023 was $622.7 million and $457.7 million, respectively. The pledged securities are mainly used as collateral for a portion of the Company’s municipal deposit portfolio.</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and 2023, there were no holdings of securities of any one issuer, other than the U.S. Government and its agencies, in an amount greater than 10% of stockholders’ equity.</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jc w:val="right"/>
              <w:ind w:right="307"/>
              <w:spacing w:after="0" w:line="82" w:lineRule="exact"/>
              <w:rPr>
                <w:sz w:val="20"/>
                <w:szCs w:val="20"/>
                <w:color w:val="auto"/>
              </w:rPr>
            </w:pPr>
            <w:r>
              <w:rPr>
                <w:rFonts w:ascii="Times New Roman" w:cs="Times New Roman" w:eastAsia="Times New Roman" w:hAnsi="Times New Roman"/>
                <w:sz w:val="9"/>
                <w:szCs w:val="9"/>
                <w:b w:val="1"/>
                <w:bCs w:val="1"/>
                <w:color w:val="auto"/>
              </w:rPr>
              <w:t>Amortized</w:t>
            </w: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jc w:val="right"/>
              <w:ind w:right="467"/>
              <w:spacing w:after="0" w:line="82" w:lineRule="exact"/>
              <w:rPr>
                <w:sz w:val="20"/>
                <w:szCs w:val="20"/>
                <w:color w:val="auto"/>
              </w:rPr>
            </w:pPr>
            <w:r>
              <w:rPr>
                <w:rFonts w:ascii="Times New Roman" w:cs="Times New Roman" w:eastAsia="Times New Roman" w:hAnsi="Times New Roman"/>
                <w:sz w:val="9"/>
                <w:szCs w:val="9"/>
                <w:b w:val="1"/>
                <w:bCs w:val="1"/>
                <w:color w:val="auto"/>
              </w:rPr>
              <w:t>Fair</w:t>
            </w:r>
          </w:p>
        </w:tc>
        <w:tc>
          <w:tcPr>
            <w:tcW w:w="0" w:type="dxa"/>
            <w:vAlign w:val="bottom"/>
          </w:tcPr>
          <w:p>
            <w:pPr>
              <w:spacing w:after="0"/>
              <w:rPr>
                <w:sz w:val="1"/>
                <w:szCs w:val="1"/>
                <w:color w:val="auto"/>
              </w:rPr>
            </w:pPr>
          </w:p>
        </w:tc>
      </w:tr>
      <w:tr>
        <w:trPr>
          <w:trHeight w:val="130"/>
        </w:trPr>
        <w:tc>
          <w:tcPr>
            <w:tcW w:w="6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right"/>
              <w:ind w:right="427"/>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Available-for-sale</w:t>
            </w:r>
          </w:p>
        </w:tc>
        <w:tc>
          <w:tcPr>
            <w:tcW w:w="2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Within one year</w:t>
            </w:r>
          </w:p>
        </w:tc>
        <w:tc>
          <w:tcPr>
            <w:tcW w:w="44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6,717</w:t>
            </w:r>
          </w:p>
        </w:tc>
        <w:tc>
          <w:tcPr>
            <w:tcW w:w="620" w:type="dxa"/>
            <w:vAlign w:val="bottom"/>
            <w:gridSpan w:val="2"/>
          </w:tcPr>
          <w:p>
            <w:pPr>
              <w:jc w:val="right"/>
              <w:ind w:right="28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6,597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One to five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54,401</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50,984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Five to ten years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149,399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141,003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Beyond ten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Borders>
              <w:bottom w:val="single" w:sz="8" w:color="CCEEFF"/>
            </w:tcBorders>
          </w:tcPr>
          <w:p>
            <w:pPr>
              <w:ind w:left="60"/>
              <w:spacing w:after="0" w:line="111" w:lineRule="exact"/>
              <w:rPr>
                <w:sz w:val="20"/>
                <w:szCs w:val="20"/>
                <w:color w:val="auto"/>
              </w:rPr>
            </w:pPr>
            <w:r>
              <w:rPr>
                <w:rFonts w:ascii="Times New Roman" w:cs="Times New Roman" w:eastAsia="Times New Roman" w:hAnsi="Times New Roman"/>
                <w:sz w:val="11"/>
                <w:szCs w:val="11"/>
                <w:color w:val="auto"/>
              </w:rPr>
              <w:t>Pass-through MBS issued by GSEs and agency CMOs</w:t>
            </w: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523,617</w:t>
            </w:r>
          </w:p>
        </w:tc>
        <w:tc>
          <w:tcPr>
            <w:tcW w:w="22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492,109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bottom w:val="single" w:sz="8" w:color="CCEEFF"/>
            </w:tcBorders>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734,134</w:t>
            </w:r>
          </w:p>
        </w:tc>
        <w:tc>
          <w:tcPr>
            <w:tcW w:w="2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2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690,693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0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Held-to-maturity</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Within one year</w:t>
            </w:r>
          </w:p>
        </w:tc>
        <w:tc>
          <w:tcPr>
            <w:tcW w:w="44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8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One to five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19,829</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18,598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Five to ten years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83,148</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72,703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Beyond ten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Borders>
              <w:bottom w:val="single" w:sz="8" w:color="CCEEFF"/>
            </w:tcBorders>
          </w:tcPr>
          <w:p>
            <w:pPr>
              <w:ind w:left="60"/>
              <w:spacing w:after="0" w:line="111" w:lineRule="exact"/>
              <w:rPr>
                <w:sz w:val="20"/>
                <w:szCs w:val="20"/>
                <w:color w:val="auto"/>
              </w:rPr>
            </w:pPr>
            <w:r>
              <w:rPr>
                <w:rFonts w:ascii="Times New Roman" w:cs="Times New Roman" w:eastAsia="Times New Roman" w:hAnsi="Times New Roman"/>
                <w:sz w:val="11"/>
                <w:szCs w:val="11"/>
                <w:color w:val="auto"/>
              </w:rPr>
              <w:t>Pass-through MBS issued by GSEs and agency CMOs</w:t>
            </w: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534,362</w:t>
            </w:r>
          </w:p>
        </w:tc>
        <w:tc>
          <w:tcPr>
            <w:tcW w:w="22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460,976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bottom w:val="single" w:sz="8" w:color="CCEEFF"/>
            </w:tcBorders>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637,339</w:t>
            </w:r>
          </w:p>
        </w:tc>
        <w:tc>
          <w:tcPr>
            <w:tcW w:w="2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ind w:right="2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552,277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information related to sales of securities available-for-sale for the periods indicated:</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460" w:type="dxa"/>
            <w:vAlign w:val="bottom"/>
          </w:tcPr>
          <w:p>
            <w:pPr>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1"/>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379,053</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77,804</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gains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 expense on gains</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losses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42,810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 benefit on losses</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13,139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r>
    </w:tbl>
    <w:p>
      <w:pPr>
        <w:spacing w:after="0" w:line="229"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Equity securities included in other assets in the consolidated statements of financial condition had a fair value of $2.5 million and $2.2 million as of December 31, 2024 and 2023, respectively. For the years ended December 31, 2024 and 2023, the Company recognized a net gain of $281 thousand and a net loss of $758 thousand, respectively.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sales of securities held-to-maturity during the years ended December 31, 2024, 2023, or 2022.</w:t>
      </w:r>
    </w:p>
    <w:p>
      <w:pPr>
        <w:spacing w:after="0" w:line="17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tables summarize the gross unrealized losses and fair value of securities aggregated by investment category and the length of time the securities were in a continuous unrealized loss position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rPr>
              <w:t>Less than 12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12 Consecutive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Consecutive Months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Months or Longer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700" w:type="dxa"/>
            <w:vAlign w:val="bottom"/>
            <w:tcBorders>
              <w:bottom w:val="single" w:sz="8" w:color="auto"/>
            </w:tcBorders>
          </w:tcPr>
          <w:p>
            <w:pPr>
              <w:spacing w:after="0"/>
              <w:rPr>
                <w:sz w:val="14"/>
                <w:szCs w:val="1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r>
      <w:tr>
        <w:trPr>
          <w:trHeight w:val="160"/>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14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Securities available-for-sale: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9,607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9,607</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393</w:t>
            </w: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2,925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141,124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10,762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144,049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10,778</w:t>
            </w: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Pass-through MBS issued by GSEs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289,095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942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295,214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3,112</w:t>
            </w: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32,101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154,770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28,085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186,871</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28,442</w:t>
            </w:r>
          </w:p>
        </w:tc>
      </w:tr>
      <w:tr>
        <w:trPr>
          <w:trHeight w:val="160"/>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3,469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21,559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1,486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25,028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1,517</w:t>
            </w:r>
          </w:p>
        </w:tc>
      </w:tr>
      <w:tr>
        <w:trPr>
          <w:trHeight w:val="312"/>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rPr>
              <w:t>Less than 12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12 Consecutive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Consecutive Months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Months or Longer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700" w:type="dxa"/>
            <w:vAlign w:val="bottom"/>
            <w:tcBorders>
              <w:bottom w:val="single" w:sz="8" w:color="auto"/>
            </w:tcBorders>
          </w:tcPr>
          <w:p>
            <w:pPr>
              <w:spacing w:after="0"/>
              <w:rPr>
                <w:sz w:val="14"/>
                <w:szCs w:val="1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9"/>
              </w:rPr>
              <w:t>Unrealized</w:t>
            </w:r>
          </w:p>
        </w:tc>
      </w:tr>
      <w:tr>
        <w:trPr>
          <w:trHeight w:val="160"/>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14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Securities available-for-sale: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w:t>
            </w: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Treasury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234,190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234,190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11,687</w:t>
            </w: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130,235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22,891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151,170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23,808</w:t>
            </w: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Pass-through MBS issued by GSEs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203,469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203,469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24,978</w:t>
            </w: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251,900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46,491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251,900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46,491</w:t>
            </w: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w:t>
            </w:r>
          </w:p>
        </w:tc>
      </w:tr>
    </w:tbl>
    <w:p>
      <w:pPr>
        <w:spacing w:after="0" w:line="148"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As of December 31, 2024, none of the Company’s available-for-sale debt securities were in an unrealized loss position due to credit and therefore no allowance for credit losses on available-for-sale debt securities was required. Additionally, given the high-quality composition of the Company’s held-to-maturity portfolio,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totaled $5.7 million and $5.3 million at December 31, 2024 and 2023 respectively, and was excluded from the amortized cost and estimated fair value totals in the table above.</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of the Company to retain its investment in the security for a period of time sufficient to allow for any anticipated recovery in fair value.</w:t>
      </w:r>
    </w:p>
    <w:p>
      <w:pPr>
        <w:spacing w:after="0" w:line="173"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At December 31, 2024,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GSEs, Agency Collateralized Mortgage Obligations. None of the unrealized losses are related to credit losses. The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4. LOANS HELD FOR INVESTMENT, NET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loan categories for the period ended as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01"/>
        </w:trPr>
        <w:tc>
          <w:tcPr>
            <w:tcW w:w="61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1"/>
                <w:szCs w:val="11"/>
                <w:color w:val="auto"/>
                <w:vertAlign w:val="superscript"/>
              </w:rPr>
              <w:t>(1)</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2,725,726</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2,308,171</w:t>
            </w:r>
          </w:p>
        </w:tc>
      </w:tr>
      <w:tr>
        <w:trPr>
          <w:trHeight w:val="111"/>
        </w:trPr>
        <w:tc>
          <w:tcPr>
            <w:tcW w:w="614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cooperative/condominium apartment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951,528</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887,555</w:t>
            </w:r>
          </w:p>
        </w:tc>
      </w:tr>
      <w:tr>
        <w:trPr>
          <w:trHeight w:val="111"/>
        </w:trPr>
        <w:tc>
          <w:tcPr>
            <w:tcW w:w="61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3,820,283</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4,017,176</w:t>
            </w:r>
          </w:p>
        </w:tc>
      </w:tr>
      <w:tr>
        <w:trPr>
          <w:trHeight w:val="111"/>
        </w:trPr>
        <w:tc>
          <w:tcPr>
            <w:tcW w:w="614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3,230,535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3,379,667</w:t>
            </w:r>
          </w:p>
        </w:tc>
      </w:tr>
      <w:tr>
        <w:trPr>
          <w:trHeight w:val="111"/>
        </w:trPr>
        <w:tc>
          <w:tcPr>
            <w:tcW w:w="61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Acquisition, development, and construction ("ADC")</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136,172</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168,513</w:t>
            </w:r>
          </w:p>
        </w:tc>
      </w:tr>
      <w:tr>
        <w:trPr>
          <w:trHeight w:val="111"/>
        </w:trPr>
        <w:tc>
          <w:tcPr>
            <w:tcW w:w="614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5,084</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5,755</w:t>
            </w:r>
          </w:p>
        </w:tc>
      </w:tr>
      <w:tr>
        <w:trPr>
          <w:trHeight w:val="101"/>
        </w:trPr>
        <w:tc>
          <w:tcPr>
            <w:tcW w:w="61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10,869,328</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10,766,837</w:t>
            </w:r>
          </w:p>
        </w:tc>
      </w:tr>
      <w:tr>
        <w:trPr>
          <w:trHeight w:val="111"/>
        </w:trPr>
        <w:tc>
          <w:tcPr>
            <w:tcW w:w="614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8"/>
                <w:szCs w:val="8"/>
                <w:color w:val="auto"/>
              </w:rPr>
              <w:t xml:space="preserve">Fair value hedge basis point adjustments </w:t>
            </w:r>
            <w:r>
              <w:rPr>
                <w:rFonts w:ascii="Times New Roman" w:cs="Times New Roman" w:eastAsia="Times New Roman" w:hAnsi="Times New Roman"/>
                <w:sz w:val="12"/>
                <w:szCs w:val="12"/>
                <w:color w:val="auto"/>
                <w:vertAlign w:val="superscript"/>
              </w:rPr>
              <w:t>(2)</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2,615</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6,591</w:t>
            </w:r>
          </w:p>
        </w:tc>
      </w:tr>
      <w:tr>
        <w:trPr>
          <w:trHeight w:val="101"/>
        </w:trPr>
        <w:tc>
          <w:tcPr>
            <w:tcW w:w="61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loans, net of fair value hedge basis point adjustments</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10,871,943</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10,773,428</w:t>
            </w:r>
          </w:p>
        </w:tc>
      </w:tr>
      <w:tr>
        <w:trPr>
          <w:trHeight w:val="111"/>
        </w:trPr>
        <w:tc>
          <w:tcPr>
            <w:tcW w:w="614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(88,751)</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(71,743)</w:t>
            </w:r>
          </w:p>
        </w:tc>
      </w:tr>
      <w:tr>
        <w:trPr>
          <w:trHeight w:val="101"/>
        </w:trPr>
        <w:tc>
          <w:tcPr>
            <w:tcW w:w="614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Loans held for investment, net</w:t>
            </w: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10,783,192</w:t>
            </w: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10,701,685</w:t>
            </w: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bl>
    <w:p>
      <w:pPr>
        <w:ind w:left="280" w:hanging="251"/>
        <w:spacing w:after="0" w:line="216" w:lineRule="auto"/>
        <w:tabs>
          <w:tab w:leader="none" w:pos="280"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Business loans include C&amp;I loans, owner-occupied commercial real estate loans and PPP loans.</w:t>
      </w:r>
    </w:p>
    <w:p>
      <w:pPr>
        <w:spacing w:after="0" w:line="7" w:lineRule="exact"/>
        <w:rPr>
          <w:rFonts w:ascii="Times New Roman" w:cs="Times New Roman" w:eastAsia="Times New Roman" w:hAnsi="Times New Roman"/>
          <w:sz w:val="20"/>
          <w:szCs w:val="20"/>
          <w:color w:val="auto"/>
          <w:vertAlign w:val="superscript"/>
        </w:rPr>
      </w:pPr>
    </w:p>
    <w:p>
      <w:pPr>
        <w:ind w:left="280" w:right="39" w:hanging="251"/>
        <w:spacing w:after="0" w:line="192" w:lineRule="auto"/>
        <w:tabs>
          <w:tab w:leader="none" w:pos="280"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loan portfolio included a fair value hedge basis point adjustment to the carrying amount of hedged owner-occupied commercial real estate in business loans, one-to-four family residential mortgage loans, multifamily residential mortgage loans and non-owner occupied commercial real estate loans.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data regarding the allowance for credit losses activity for the periods indicated: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One-to-Four</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Multifamily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1"/>
                <w:szCs w:val="11"/>
                <w:b w:val="1"/>
                <w:bCs w:val="1"/>
                <w:color w:val="auto"/>
                <w:w w:val="96"/>
              </w:rPr>
              <w:t>Family</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Non-Owner</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Residential and</w:t>
            </w:r>
          </w:p>
        </w:tc>
        <w:tc>
          <w:tcPr>
            <w:tcW w:w="100" w:type="dxa"/>
            <w:vAlign w:val="bottom"/>
          </w:tcPr>
          <w:p>
            <w:pPr>
              <w:spacing w:after="0"/>
              <w:rPr>
                <w:sz w:val="9"/>
                <w:szCs w:val="9"/>
                <w:color w:val="auto"/>
              </w:rPr>
            </w:pPr>
          </w:p>
        </w:tc>
        <w:tc>
          <w:tcPr>
            <w:tcW w:w="80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Residential</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Business</w:t>
            </w:r>
          </w:p>
        </w:tc>
        <w:tc>
          <w:tcPr>
            <w:tcW w:w="12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5"/>
              </w:rPr>
              <w:t>Cooperative/</w:t>
            </w:r>
          </w:p>
        </w:tc>
        <w:tc>
          <w:tcPr>
            <w:tcW w:w="100" w:type="dxa"/>
            <w:vAlign w:val="bottom"/>
          </w:tcPr>
          <w:p>
            <w:pPr>
              <w:spacing w:after="0"/>
              <w:rPr>
                <w:sz w:val="9"/>
                <w:szCs w:val="9"/>
                <w:color w:val="auto"/>
              </w:rPr>
            </w:pPr>
          </w:p>
        </w:tc>
        <w:tc>
          <w:tcPr>
            <w:tcW w:w="80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rPr>
              <w:t>and</w:t>
            </w:r>
          </w:p>
        </w:tc>
        <w:tc>
          <w:tcPr>
            <w:tcW w:w="100" w:type="dxa"/>
            <w:vAlign w:val="bottom"/>
          </w:tcPr>
          <w:p>
            <w:pPr>
              <w:spacing w:after="0"/>
              <w:rPr>
                <w:sz w:val="9"/>
                <w:szCs w:val="9"/>
                <w:color w:val="auto"/>
              </w:rPr>
            </w:pPr>
          </w:p>
        </w:tc>
        <w:tc>
          <w:tcPr>
            <w:tcW w:w="82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Occupied</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7"/>
              </w:rPr>
              <w:t>Condominium</w:t>
            </w:r>
          </w:p>
        </w:tc>
        <w:tc>
          <w:tcPr>
            <w:tcW w:w="100" w:type="dxa"/>
            <w:vAlign w:val="bottom"/>
          </w:tcPr>
          <w:p>
            <w:pPr>
              <w:spacing w:after="0"/>
              <w:rPr>
                <w:sz w:val="9"/>
                <w:szCs w:val="9"/>
                <w:color w:val="auto"/>
              </w:rPr>
            </w:pPr>
          </w:p>
        </w:tc>
        <w:tc>
          <w:tcPr>
            <w:tcW w:w="80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Residential</w:t>
            </w:r>
          </w:p>
        </w:tc>
        <w:tc>
          <w:tcPr>
            <w:tcW w:w="100" w:type="dxa"/>
            <w:vAlign w:val="bottom"/>
          </w:tcPr>
          <w:p>
            <w:pPr>
              <w:spacing w:after="0"/>
              <w:rPr>
                <w:sz w:val="9"/>
                <w:szCs w:val="9"/>
                <w:color w:val="auto"/>
              </w:rPr>
            </w:pPr>
          </w:p>
        </w:tc>
        <w:tc>
          <w:tcPr>
            <w:tcW w:w="82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6"/>
              </w:rPr>
              <w:t>Commercial</w:t>
            </w:r>
          </w:p>
        </w:tc>
        <w:tc>
          <w:tcPr>
            <w:tcW w:w="60" w:type="dxa"/>
            <w:vAlign w:val="bottom"/>
          </w:tcPr>
          <w:p>
            <w:pPr>
              <w:spacing w:after="0"/>
              <w:rPr>
                <w:sz w:val="9"/>
                <w:szCs w:val="9"/>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ADC</w:t>
            </w: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Apartment</w:t>
            </w:r>
          </w:p>
        </w:tc>
        <w:tc>
          <w:tcPr>
            <w:tcW w:w="100" w:type="dxa"/>
            <w:vAlign w:val="bottom"/>
          </w:tcPr>
          <w:p>
            <w:pPr>
              <w:spacing w:after="0"/>
              <w:rPr>
                <w:sz w:val="11"/>
                <w:szCs w:val="11"/>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Mixed-Use</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Real Estate</w:t>
            </w: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Beginning balance as of January 1, 2022</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62,366</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5,932</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7,816</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2,131</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4,857</w:t>
            </w: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751</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83,853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(Credit) provision for credit losses</w:t>
            </w:r>
          </w:p>
        </w:tc>
        <w:tc>
          <w:tcPr>
            <w:tcW w:w="1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(8,073)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542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17,968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(3,134)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(430)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6,910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(11,401)</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(11,454)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4,137</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54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4,198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80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Ending balance as of December 31, 2022</w:t>
            </w:r>
          </w:p>
        </w:tc>
        <w:tc>
          <w:tcPr>
            <w:tcW w:w="14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47,029</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5,969</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8,360</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20,153</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1,723</w:t>
            </w: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273</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83,507</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280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Provision (credit) for credit losses</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3,273</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858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(1,121)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(530)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266</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129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2,875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(15,364)</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(15,680)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1,024</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1,041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80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Ending balance as of December 31, 2023</w:t>
            </w:r>
          </w:p>
        </w:tc>
        <w:tc>
          <w:tcPr>
            <w:tcW w:w="140" w:type="dxa"/>
            <w:vAlign w:val="bottom"/>
            <w:tcBorders>
              <w:top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35,962</w:t>
            </w:r>
          </w:p>
        </w:tc>
        <w:tc>
          <w:tcPr>
            <w:tcW w:w="140" w:type="dxa"/>
            <w:vAlign w:val="bottom"/>
          </w:tcPr>
          <w:p>
            <w:pPr>
              <w:spacing w:after="0"/>
              <w:rPr>
                <w:sz w:val="8"/>
                <w:szCs w:val="8"/>
                <w:color w:val="auto"/>
              </w:rPr>
            </w:pPr>
          </w:p>
        </w:tc>
        <w:tc>
          <w:tcPr>
            <w:tcW w:w="12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6,813</w:t>
            </w:r>
          </w:p>
        </w:tc>
        <w:tc>
          <w:tcPr>
            <w:tcW w:w="140" w:type="dxa"/>
            <w:vAlign w:val="bottom"/>
          </w:tcPr>
          <w:p>
            <w:pPr>
              <w:spacing w:after="0"/>
              <w:rPr>
                <w:sz w:val="8"/>
                <w:szCs w:val="8"/>
                <w:color w:val="auto"/>
              </w:rPr>
            </w:pPr>
          </w:p>
        </w:tc>
        <w:tc>
          <w:tcPr>
            <w:tcW w:w="1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7,237</w:t>
            </w:r>
          </w:p>
        </w:tc>
        <w:tc>
          <w:tcPr>
            <w:tcW w:w="140" w:type="dxa"/>
            <w:vAlign w:val="bottom"/>
          </w:tcPr>
          <w:p>
            <w:pPr>
              <w:spacing w:after="0"/>
              <w:rPr>
                <w:sz w:val="8"/>
                <w:szCs w:val="8"/>
                <w:color w:val="auto"/>
              </w:rPr>
            </w:pPr>
          </w:p>
        </w:tc>
        <w:tc>
          <w:tcPr>
            <w:tcW w:w="1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19,623</w:t>
            </w:r>
          </w:p>
        </w:tc>
        <w:tc>
          <w:tcPr>
            <w:tcW w:w="140" w:type="dxa"/>
            <w:vAlign w:val="bottom"/>
          </w:tcPr>
          <w:p>
            <w:pPr>
              <w:spacing w:after="0"/>
              <w:rPr>
                <w:sz w:val="8"/>
                <w:szCs w:val="8"/>
                <w:color w:val="auto"/>
              </w:rPr>
            </w:pPr>
          </w:p>
        </w:tc>
        <w:tc>
          <w:tcPr>
            <w:tcW w:w="6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1,989</w:t>
            </w:r>
          </w:p>
        </w:tc>
        <w:tc>
          <w:tcPr>
            <w:tcW w:w="120" w:type="dxa"/>
            <w:vAlign w:val="bottom"/>
          </w:tcPr>
          <w:p>
            <w:pPr>
              <w:spacing w:after="0"/>
              <w:rPr>
                <w:sz w:val="8"/>
                <w:szCs w:val="8"/>
                <w:color w:val="auto"/>
              </w:rPr>
            </w:pPr>
          </w:p>
        </w:tc>
        <w:tc>
          <w:tcPr>
            <w:tcW w:w="140" w:type="dxa"/>
            <w:vAlign w:val="bottom"/>
            <w:tcBorders>
              <w:top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119</w:t>
            </w:r>
          </w:p>
        </w:tc>
        <w:tc>
          <w:tcPr>
            <w:tcW w:w="14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71,743</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28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Provision for credit losses</w:t>
            </w:r>
          </w:p>
        </w:tc>
        <w:tc>
          <w:tcPr>
            <w:tcW w:w="1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14,435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2,688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9,385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9,176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334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36,197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Charge-offs</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(8,051)</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(4,677)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(6,926)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(19,764)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Recoveries</w:t>
            </w:r>
          </w:p>
        </w:tc>
        <w:tc>
          <w:tcPr>
            <w:tcW w:w="1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552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800" w:type="dxa"/>
            <w:vAlign w:val="bottom"/>
            <w:tcBorders>
              <w:top w:val="single" w:sz="8" w:color="CCEEFF"/>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Ending balance as of December 31, 2024</w:t>
            </w:r>
          </w:p>
        </w:tc>
        <w:tc>
          <w:tcPr>
            <w:tcW w:w="14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42,898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9,501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11,946</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21,876</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2,323</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88,751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the amortized cost basis of loans on non-accrual status as of the periods indicated: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30"/>
        </w:trPr>
        <w:tc>
          <w:tcPr>
            <w:tcW w:w="5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Non-accrual with</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Non-accrual with</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Related</w:t>
            </w:r>
          </w:p>
        </w:tc>
      </w:tr>
      <w:tr>
        <w:trPr>
          <w:trHeight w:val="16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No Allowance</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Allowance</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Allowance</w:t>
            </w:r>
          </w:p>
        </w:tc>
      </w:tr>
      <w:tr>
        <w:trPr>
          <w:trHeight w:val="14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loans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5,196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17,428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15,810</w:t>
            </w:r>
          </w:p>
        </w:tc>
      </w:tr>
      <w:tr>
        <w:trPr>
          <w:trHeight w:val="151"/>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One-to-four family residential and cooperative/condominium apartment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r>
      <w:tr>
        <w:trPr>
          <w:trHeight w:val="15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Non-owner-occupied commercial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16,456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6,504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432</w:t>
            </w:r>
          </w:p>
        </w:tc>
      </w:tr>
      <w:tr>
        <w:trPr>
          <w:trHeight w:val="151"/>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ADC</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287</w:t>
            </w:r>
          </w:p>
        </w:tc>
      </w:tr>
      <w:tr>
        <w:trPr>
          <w:trHeight w:val="15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loans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141"/>
        </w:trPr>
        <w:tc>
          <w:tcPr>
            <w:tcW w:w="5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21,652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27,827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16,585</w:t>
            </w: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91"/>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30"/>
        </w:trPr>
        <w:tc>
          <w:tcPr>
            <w:tcW w:w="5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Non-accrual with</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Non-accrual with</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Related</w:t>
            </w:r>
          </w:p>
        </w:tc>
      </w:tr>
      <w:tr>
        <w:trPr>
          <w:trHeight w:val="160"/>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No Allowance</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Allowance</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Allowance</w:t>
            </w:r>
          </w:p>
        </w:tc>
      </w:tr>
      <w:tr>
        <w:trPr>
          <w:trHeight w:val="14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Business loans</w:t>
            </w:r>
          </w:p>
        </w:tc>
        <w:tc>
          <w:tcPr>
            <w:tcW w:w="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3,780</w:t>
            </w:r>
          </w:p>
        </w:tc>
        <w:tc>
          <w:tcPr>
            <w:tcW w:w="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14,794</w:t>
            </w:r>
          </w:p>
        </w:tc>
        <w:tc>
          <w:tcPr>
            <w:tcW w:w="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13,228</w:t>
            </w:r>
          </w:p>
        </w:tc>
      </w:tr>
      <w:tr>
        <w:trPr>
          <w:trHeight w:val="151"/>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One-to-four family residential and cooperative/condominium apartment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5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Non-owner-occupied commercial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w:t>
            </w:r>
          </w:p>
        </w:tc>
      </w:tr>
      <w:tr>
        <w:trPr>
          <w:trHeight w:val="151"/>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ADC</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141"/>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25,319</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14,202</w:t>
            </w: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did not recognize interest income on non-accrual loans held for investment during the years ended December 31, 2024 or 2023.</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summarize the past due status of the Company’s investment in loans as of the dates indicated: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left="96"/>
              <w:spacing w:after="0"/>
              <w:rPr>
                <w:sz w:val="20"/>
                <w:szCs w:val="20"/>
                <w:color w:val="auto"/>
              </w:rPr>
            </w:pPr>
            <w:r>
              <w:rPr>
                <w:rFonts w:ascii="Times New Roman" w:cs="Times New Roman" w:eastAsia="Times New Roman" w:hAnsi="Times New Roman"/>
                <w:sz w:val="10"/>
                <w:szCs w:val="10"/>
                <w:b w:val="1"/>
                <w:bCs w:val="1"/>
                <w:color w:val="auto"/>
              </w:rPr>
              <w:t>Loans 90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left="76"/>
              <w:spacing w:after="0"/>
              <w:rPr>
                <w:sz w:val="20"/>
                <w:szCs w:val="20"/>
                <w:color w:val="auto"/>
              </w:rPr>
            </w:pPr>
            <w:r>
              <w:rPr>
                <w:rFonts w:ascii="Times New Roman" w:cs="Times New Roman" w:eastAsia="Times New Roman" w:hAnsi="Times New Roman"/>
                <w:sz w:val="10"/>
                <w:szCs w:val="10"/>
                <w:b w:val="1"/>
                <w:bCs w:val="1"/>
                <w:color w:val="auto"/>
              </w:rPr>
              <w:t>Days or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30 to 59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0"/>
                <w:szCs w:val="10"/>
                <w:b w:val="1"/>
                <w:bCs w:val="1"/>
                <w:color w:val="auto"/>
                <w:w w:val="95"/>
              </w:rPr>
              <w:t>60 to 89</w:t>
            </w:r>
          </w:p>
        </w:tc>
        <w:tc>
          <w:tcPr>
            <w:tcW w:w="140" w:type="dxa"/>
            <w:vAlign w:val="bottom"/>
          </w:tcPr>
          <w:p>
            <w:pPr>
              <w:spacing w:after="0"/>
              <w:rPr>
                <w:sz w:val="9"/>
                <w:szCs w:val="9"/>
                <w:color w:val="auto"/>
              </w:rPr>
            </w:pPr>
          </w:p>
        </w:tc>
        <w:tc>
          <w:tcPr>
            <w:tcW w:w="900" w:type="dxa"/>
            <w:vAlign w:val="bottom"/>
          </w:tcPr>
          <w:p>
            <w:pPr>
              <w:jc w:val="center"/>
              <w:ind w:left="96"/>
              <w:spacing w:after="0" w:line="111" w:lineRule="exact"/>
              <w:rPr>
                <w:sz w:val="20"/>
                <w:szCs w:val="20"/>
                <w:color w:val="auto"/>
              </w:rPr>
            </w:pPr>
            <w:r>
              <w:rPr>
                <w:rFonts w:ascii="Times New Roman" w:cs="Times New Roman" w:eastAsia="Times New Roman" w:hAnsi="Times New Roman"/>
                <w:sz w:val="10"/>
                <w:szCs w:val="10"/>
                <w:b w:val="1"/>
                <w:bCs w:val="1"/>
                <w:color w:val="auto"/>
              </w:rPr>
              <w:t>More Past Due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w w:val="99"/>
              </w:rPr>
              <w:t>Past Due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80" w:type="dxa"/>
            <w:vAlign w:val="bottom"/>
          </w:tcPr>
          <w:p>
            <w:pPr>
              <w:spacing w:after="0"/>
              <w:rPr>
                <w:sz w:val="9"/>
                <w:szCs w:val="9"/>
                <w:color w:val="auto"/>
              </w:rPr>
            </w:pPr>
          </w:p>
        </w:tc>
        <w:tc>
          <w:tcPr>
            <w:tcW w:w="50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Days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0"/>
                <w:szCs w:val="10"/>
                <w:b w:val="1"/>
                <w:bCs w:val="1"/>
                <w:color w:val="auto"/>
                <w:w w:val="94"/>
              </w:rPr>
              <w:t>Days</w:t>
            </w:r>
          </w:p>
        </w:tc>
        <w:tc>
          <w:tcPr>
            <w:tcW w:w="140" w:type="dxa"/>
            <w:vAlign w:val="bottom"/>
          </w:tcPr>
          <w:p>
            <w:pPr>
              <w:spacing w:after="0"/>
              <w:rPr>
                <w:sz w:val="9"/>
                <w:szCs w:val="9"/>
                <w:color w:val="auto"/>
              </w:rPr>
            </w:pPr>
          </w:p>
        </w:tc>
        <w:tc>
          <w:tcPr>
            <w:tcW w:w="900" w:type="dxa"/>
            <w:vAlign w:val="bottom"/>
          </w:tcPr>
          <w:p>
            <w:pPr>
              <w:jc w:val="center"/>
              <w:ind w:left="96"/>
              <w:spacing w:after="0" w:line="111" w:lineRule="exact"/>
              <w:rPr>
                <w:sz w:val="20"/>
                <w:szCs w:val="20"/>
                <w:color w:val="auto"/>
              </w:rPr>
            </w:pPr>
            <w:r>
              <w:rPr>
                <w:rFonts w:ascii="Times New Roman" w:cs="Times New Roman" w:eastAsia="Times New Roman" w:hAnsi="Times New Roman"/>
                <w:sz w:val="10"/>
                <w:szCs w:val="10"/>
                <w:b w:val="1"/>
                <w:bCs w:val="1"/>
                <w:color w:val="auto"/>
              </w:rPr>
              <w:t>and Still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and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center"/>
              <w:ind w:right="127"/>
              <w:spacing w:after="0" w:line="111"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2"/>
        </w:trPr>
        <w:tc>
          <w:tcPr>
            <w:tcW w:w="2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9"/>
              </w:rPr>
              <w:t>Past Due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Past Due</w:t>
            </w:r>
          </w:p>
        </w:tc>
        <w:tc>
          <w:tcPr>
            <w:tcW w:w="140" w:type="dxa"/>
            <w:vAlign w:val="bottom"/>
          </w:tcPr>
          <w:p>
            <w:pPr>
              <w:spacing w:after="0"/>
              <w:rPr>
                <w:sz w:val="10"/>
                <w:szCs w:val="10"/>
                <w:color w:val="auto"/>
              </w:rPr>
            </w:pPr>
          </w:p>
        </w:tc>
        <w:tc>
          <w:tcPr>
            <w:tcW w:w="900" w:type="dxa"/>
            <w:vAlign w:val="bottom"/>
          </w:tcPr>
          <w:p>
            <w:pPr>
              <w:jc w:val="center"/>
              <w:ind w:left="96"/>
              <w:spacing w:after="0"/>
              <w:rPr>
                <w:sz w:val="20"/>
                <w:szCs w:val="20"/>
                <w:color w:val="auto"/>
              </w:rPr>
            </w:pPr>
            <w:r>
              <w:rPr>
                <w:rFonts w:ascii="Times New Roman" w:cs="Times New Roman" w:eastAsia="Times New Roman" w:hAnsi="Times New Roman"/>
                <w:sz w:val="10"/>
                <w:szCs w:val="10"/>
                <w:b w:val="1"/>
                <w:bCs w:val="1"/>
                <w:color w:val="auto"/>
              </w:rPr>
              <w:t>Accruing 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Non-accrual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Non-accrual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127"/>
              <w:spacing w:after="0"/>
              <w:rPr>
                <w:sz w:val="20"/>
                <w:szCs w:val="20"/>
                <w:color w:val="auto"/>
              </w:rPr>
            </w:pPr>
            <w:r>
              <w:rPr>
                <w:rFonts w:ascii="Times New Roman" w:cs="Times New Roman" w:eastAsia="Times New Roman" w:hAnsi="Times New Roman"/>
                <w:sz w:val="10"/>
                <w:szCs w:val="10"/>
                <w:b w:val="1"/>
                <w:bCs w:val="1"/>
                <w:color w:val="auto"/>
                <w:w w:val="99"/>
              </w:rPr>
              <w:t>Loans</w:t>
            </w:r>
          </w:p>
        </w:tc>
        <w:tc>
          <w:tcPr>
            <w:tcW w:w="0" w:type="dxa"/>
            <w:vAlign w:val="bottom"/>
          </w:tcPr>
          <w:p>
            <w:pPr>
              <w:spacing w:after="0"/>
              <w:rPr>
                <w:sz w:val="1"/>
                <w:szCs w:val="1"/>
                <w:color w:val="auto"/>
              </w:rPr>
            </w:pPr>
          </w:p>
        </w:tc>
      </w:tr>
      <w:tr>
        <w:trPr>
          <w:trHeight w:val="101"/>
        </w:trPr>
        <w:tc>
          <w:tcPr>
            <w:tcW w:w="270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3,385</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2,441</w:t>
            </w:r>
          </w:p>
        </w:tc>
        <w:tc>
          <w:tcPr>
            <w:tcW w:w="14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22,624</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28,450</w:t>
            </w: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2,697,276</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2,725,726</w:t>
            </w:r>
          </w:p>
        </w:tc>
        <w:tc>
          <w:tcPr>
            <w:tcW w:w="0" w:type="dxa"/>
            <w:vAlign w:val="bottom"/>
          </w:tcPr>
          <w:p>
            <w:pPr>
              <w:spacing w:after="0"/>
              <w:rPr>
                <w:sz w:val="1"/>
                <w:szCs w:val="1"/>
                <w:color w:val="auto"/>
              </w:rPr>
            </w:pPr>
          </w:p>
        </w:tc>
      </w:tr>
      <w:tr>
        <w:trPr>
          <w:trHeight w:val="94"/>
        </w:trPr>
        <w:tc>
          <w:tcPr>
            <w:tcW w:w="284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One-to-four family residential, including condominium and</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1,919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1,271</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3,213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6,403</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945,125</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951,528</w:t>
            </w:r>
          </w:p>
        </w:tc>
        <w:tc>
          <w:tcPr>
            <w:tcW w:w="0" w:type="dxa"/>
            <w:vAlign w:val="bottom"/>
          </w:tcPr>
          <w:p>
            <w:pPr>
              <w:spacing w:after="0"/>
              <w:rPr>
                <w:sz w:val="1"/>
                <w:szCs w:val="1"/>
                <w:color w:val="auto"/>
              </w:rPr>
            </w:pPr>
          </w:p>
        </w:tc>
      </w:tr>
      <w:tr>
        <w:trPr>
          <w:trHeight w:val="128"/>
        </w:trPr>
        <w:tc>
          <w:tcPr>
            <w:tcW w:w="2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cooperative apartment</w:t>
            </w: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8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3,759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27,601</w:t>
            </w: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31,360</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3,788,923</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3,820,283</w:t>
            </w:r>
          </w:p>
        </w:tc>
        <w:tc>
          <w:tcPr>
            <w:tcW w:w="0" w:type="dxa"/>
            <w:vAlign w:val="bottom"/>
          </w:tcPr>
          <w:p>
            <w:pPr>
              <w:spacing w:after="0"/>
              <w:rPr>
                <w:sz w:val="1"/>
                <w:szCs w:val="1"/>
                <w:color w:val="auto"/>
              </w:rPr>
            </w:pPr>
          </w:p>
        </w:tc>
      </w:tr>
      <w:tr>
        <w:trPr>
          <w:trHeight w:val="111"/>
        </w:trPr>
        <w:tc>
          <w:tcPr>
            <w:tcW w:w="284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1,265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22,960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24,225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3,206,310</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3,230,535</w:t>
            </w:r>
          </w:p>
        </w:tc>
        <w:tc>
          <w:tcPr>
            <w:tcW w:w="0" w:type="dxa"/>
            <w:vAlign w:val="bottom"/>
          </w:tcPr>
          <w:p>
            <w:pPr>
              <w:spacing w:after="0"/>
              <w:rPr>
                <w:sz w:val="1"/>
                <w:szCs w:val="1"/>
                <w:color w:val="auto"/>
              </w:rPr>
            </w:pPr>
          </w:p>
        </w:tc>
      </w:tr>
      <w:tr>
        <w:trPr>
          <w:trHeight w:val="111"/>
        </w:trPr>
        <w:tc>
          <w:tcPr>
            <w:tcW w:w="28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657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657</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135,515</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136,172</w:t>
            </w:r>
          </w:p>
        </w:tc>
        <w:tc>
          <w:tcPr>
            <w:tcW w:w="0" w:type="dxa"/>
            <w:vAlign w:val="bottom"/>
          </w:tcPr>
          <w:p>
            <w:pPr>
              <w:spacing w:after="0"/>
              <w:rPr>
                <w:sz w:val="1"/>
                <w:szCs w:val="1"/>
                <w:color w:val="auto"/>
              </w:rPr>
            </w:pPr>
          </w:p>
        </w:tc>
      </w:tr>
      <w:tr>
        <w:trPr>
          <w:trHeight w:val="111"/>
        </w:trPr>
        <w:tc>
          <w:tcPr>
            <w:tcW w:w="284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5,057</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5,084</w:t>
            </w:r>
          </w:p>
        </w:tc>
        <w:tc>
          <w:tcPr>
            <w:tcW w:w="0" w:type="dxa"/>
            <w:vAlign w:val="bottom"/>
          </w:tcPr>
          <w:p>
            <w:pPr>
              <w:spacing w:after="0"/>
              <w:rPr>
                <w:sz w:val="1"/>
                <w:szCs w:val="1"/>
                <w:color w:val="auto"/>
              </w:rPr>
            </w:pPr>
          </w:p>
        </w:tc>
      </w:tr>
      <w:tr>
        <w:trPr>
          <w:trHeight w:val="101"/>
        </w:trPr>
        <w:tc>
          <w:tcPr>
            <w:tcW w:w="284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10,330</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31,313</w:t>
            </w:r>
          </w:p>
        </w:tc>
        <w:tc>
          <w:tcPr>
            <w:tcW w:w="1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40" w:type="dxa"/>
            <w:vAlign w:val="bottom"/>
            <w:tcBorders>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49,479</w:t>
            </w: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91,122</w:t>
            </w: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10,778,206</w:t>
            </w:r>
          </w:p>
        </w:tc>
        <w:tc>
          <w:tcPr>
            <w:tcW w:w="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10,869,328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left="96"/>
              <w:spacing w:after="0"/>
              <w:rPr>
                <w:sz w:val="20"/>
                <w:szCs w:val="20"/>
                <w:color w:val="auto"/>
              </w:rPr>
            </w:pPr>
            <w:r>
              <w:rPr>
                <w:rFonts w:ascii="Times New Roman" w:cs="Times New Roman" w:eastAsia="Times New Roman" w:hAnsi="Times New Roman"/>
                <w:sz w:val="10"/>
                <w:szCs w:val="10"/>
                <w:b w:val="1"/>
                <w:bCs w:val="1"/>
                <w:color w:val="auto"/>
              </w:rPr>
              <w:t>Loans 90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left="76"/>
              <w:spacing w:after="0"/>
              <w:rPr>
                <w:sz w:val="20"/>
                <w:szCs w:val="20"/>
                <w:color w:val="auto"/>
              </w:rPr>
            </w:pPr>
            <w:r>
              <w:rPr>
                <w:rFonts w:ascii="Times New Roman" w:cs="Times New Roman" w:eastAsia="Times New Roman" w:hAnsi="Times New Roman"/>
                <w:sz w:val="10"/>
                <w:szCs w:val="10"/>
                <w:b w:val="1"/>
                <w:bCs w:val="1"/>
                <w:color w:val="auto"/>
              </w:rPr>
              <w:t>Days or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30 to 59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0"/>
                <w:szCs w:val="10"/>
                <w:b w:val="1"/>
                <w:bCs w:val="1"/>
                <w:color w:val="auto"/>
                <w:w w:val="95"/>
              </w:rPr>
              <w:t>60 to 89</w:t>
            </w:r>
          </w:p>
        </w:tc>
        <w:tc>
          <w:tcPr>
            <w:tcW w:w="140" w:type="dxa"/>
            <w:vAlign w:val="bottom"/>
          </w:tcPr>
          <w:p>
            <w:pPr>
              <w:spacing w:after="0"/>
              <w:rPr>
                <w:sz w:val="9"/>
                <w:szCs w:val="9"/>
                <w:color w:val="auto"/>
              </w:rPr>
            </w:pPr>
          </w:p>
        </w:tc>
        <w:tc>
          <w:tcPr>
            <w:tcW w:w="900" w:type="dxa"/>
            <w:vAlign w:val="bottom"/>
          </w:tcPr>
          <w:p>
            <w:pPr>
              <w:jc w:val="center"/>
              <w:ind w:left="96"/>
              <w:spacing w:after="0" w:line="111" w:lineRule="exact"/>
              <w:rPr>
                <w:sz w:val="20"/>
                <w:szCs w:val="20"/>
                <w:color w:val="auto"/>
              </w:rPr>
            </w:pPr>
            <w:r>
              <w:rPr>
                <w:rFonts w:ascii="Times New Roman" w:cs="Times New Roman" w:eastAsia="Times New Roman" w:hAnsi="Times New Roman"/>
                <w:sz w:val="10"/>
                <w:szCs w:val="10"/>
                <w:b w:val="1"/>
                <w:bCs w:val="1"/>
                <w:color w:val="auto"/>
              </w:rPr>
              <w:t>More Past Due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w w:val="99"/>
              </w:rPr>
              <w:t>Past Due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80" w:type="dxa"/>
            <w:vAlign w:val="bottom"/>
          </w:tcPr>
          <w:p>
            <w:pPr>
              <w:spacing w:after="0"/>
              <w:rPr>
                <w:sz w:val="9"/>
                <w:szCs w:val="9"/>
                <w:color w:val="auto"/>
              </w:rPr>
            </w:pPr>
          </w:p>
        </w:tc>
        <w:tc>
          <w:tcPr>
            <w:tcW w:w="50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Days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0"/>
                <w:szCs w:val="10"/>
                <w:b w:val="1"/>
                <w:bCs w:val="1"/>
                <w:color w:val="auto"/>
                <w:w w:val="94"/>
              </w:rPr>
              <w:t>Days</w:t>
            </w:r>
          </w:p>
        </w:tc>
        <w:tc>
          <w:tcPr>
            <w:tcW w:w="140" w:type="dxa"/>
            <w:vAlign w:val="bottom"/>
          </w:tcPr>
          <w:p>
            <w:pPr>
              <w:spacing w:after="0"/>
              <w:rPr>
                <w:sz w:val="9"/>
                <w:szCs w:val="9"/>
                <w:color w:val="auto"/>
              </w:rPr>
            </w:pPr>
          </w:p>
        </w:tc>
        <w:tc>
          <w:tcPr>
            <w:tcW w:w="900" w:type="dxa"/>
            <w:vAlign w:val="bottom"/>
          </w:tcPr>
          <w:p>
            <w:pPr>
              <w:jc w:val="center"/>
              <w:ind w:left="96"/>
              <w:spacing w:after="0" w:line="111" w:lineRule="exact"/>
              <w:rPr>
                <w:sz w:val="20"/>
                <w:szCs w:val="20"/>
                <w:color w:val="auto"/>
              </w:rPr>
            </w:pPr>
            <w:r>
              <w:rPr>
                <w:rFonts w:ascii="Times New Roman" w:cs="Times New Roman" w:eastAsia="Times New Roman" w:hAnsi="Times New Roman"/>
                <w:sz w:val="10"/>
                <w:szCs w:val="10"/>
                <w:b w:val="1"/>
                <w:bCs w:val="1"/>
                <w:color w:val="auto"/>
              </w:rPr>
              <w:t>and Still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7"/>
              <w:spacing w:after="0" w:line="111" w:lineRule="exact"/>
              <w:rPr>
                <w:sz w:val="20"/>
                <w:szCs w:val="20"/>
                <w:color w:val="auto"/>
              </w:rPr>
            </w:pPr>
            <w:r>
              <w:rPr>
                <w:rFonts w:ascii="Times New Roman" w:cs="Times New Roman" w:eastAsia="Times New Roman" w:hAnsi="Times New Roman"/>
                <w:sz w:val="10"/>
                <w:szCs w:val="10"/>
                <w:b w:val="1"/>
                <w:bCs w:val="1"/>
                <w:color w:val="auto"/>
              </w:rPr>
              <w:t>and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center"/>
              <w:ind w:right="127"/>
              <w:spacing w:after="0" w:line="111"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22"/>
        </w:trPr>
        <w:tc>
          <w:tcPr>
            <w:tcW w:w="2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9"/>
              </w:rPr>
              <w:t>Past Due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Past Due</w:t>
            </w:r>
          </w:p>
        </w:tc>
        <w:tc>
          <w:tcPr>
            <w:tcW w:w="140" w:type="dxa"/>
            <w:vAlign w:val="bottom"/>
          </w:tcPr>
          <w:p>
            <w:pPr>
              <w:spacing w:after="0"/>
              <w:rPr>
                <w:sz w:val="10"/>
                <w:szCs w:val="10"/>
                <w:color w:val="auto"/>
              </w:rPr>
            </w:pPr>
          </w:p>
        </w:tc>
        <w:tc>
          <w:tcPr>
            <w:tcW w:w="900" w:type="dxa"/>
            <w:vAlign w:val="bottom"/>
          </w:tcPr>
          <w:p>
            <w:pPr>
              <w:jc w:val="center"/>
              <w:ind w:left="96"/>
              <w:spacing w:after="0"/>
              <w:rPr>
                <w:sz w:val="20"/>
                <w:szCs w:val="20"/>
                <w:color w:val="auto"/>
              </w:rPr>
            </w:pPr>
            <w:r>
              <w:rPr>
                <w:rFonts w:ascii="Times New Roman" w:cs="Times New Roman" w:eastAsia="Times New Roman" w:hAnsi="Times New Roman"/>
                <w:sz w:val="10"/>
                <w:szCs w:val="10"/>
                <w:b w:val="1"/>
                <w:bCs w:val="1"/>
                <w:color w:val="auto"/>
              </w:rPr>
              <w:t>Accruing 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Non-accrual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rPr>
              <w:t>Non-accrual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127"/>
              <w:spacing w:after="0"/>
              <w:rPr>
                <w:sz w:val="20"/>
                <w:szCs w:val="20"/>
                <w:color w:val="auto"/>
              </w:rPr>
            </w:pPr>
            <w:r>
              <w:rPr>
                <w:rFonts w:ascii="Times New Roman" w:cs="Times New Roman" w:eastAsia="Times New Roman" w:hAnsi="Times New Roman"/>
                <w:sz w:val="10"/>
                <w:szCs w:val="10"/>
                <w:b w:val="1"/>
                <w:bCs w:val="1"/>
                <w:color w:val="auto"/>
                <w:w w:val="99"/>
              </w:rPr>
              <w:t>Loans</w:t>
            </w:r>
          </w:p>
        </w:tc>
        <w:tc>
          <w:tcPr>
            <w:tcW w:w="0" w:type="dxa"/>
            <w:vAlign w:val="bottom"/>
          </w:tcPr>
          <w:p>
            <w:pPr>
              <w:spacing w:after="0"/>
              <w:rPr>
                <w:sz w:val="1"/>
                <w:szCs w:val="1"/>
                <w:color w:val="auto"/>
              </w:rPr>
            </w:pPr>
          </w:p>
        </w:tc>
      </w:tr>
      <w:tr>
        <w:trPr>
          <w:trHeight w:val="101"/>
        </w:trPr>
        <w:tc>
          <w:tcPr>
            <w:tcW w:w="270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7,139</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1,217</w:t>
            </w:r>
          </w:p>
        </w:tc>
        <w:tc>
          <w:tcPr>
            <w:tcW w:w="14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18,574</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26,930</w:t>
            </w: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2,281,241</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2,308,171</w:t>
            </w:r>
          </w:p>
        </w:tc>
        <w:tc>
          <w:tcPr>
            <w:tcW w:w="0" w:type="dxa"/>
            <w:vAlign w:val="bottom"/>
          </w:tcPr>
          <w:p>
            <w:pPr>
              <w:spacing w:after="0"/>
              <w:rPr>
                <w:sz w:val="1"/>
                <w:szCs w:val="1"/>
                <w:color w:val="auto"/>
              </w:rPr>
            </w:pPr>
          </w:p>
        </w:tc>
      </w:tr>
      <w:tr>
        <w:trPr>
          <w:trHeight w:val="94"/>
        </w:trPr>
        <w:tc>
          <w:tcPr>
            <w:tcW w:w="2840" w:type="dxa"/>
            <w:vAlign w:val="bottom"/>
            <w:gridSpan w:val="2"/>
          </w:tcPr>
          <w:p>
            <w:pPr>
              <w:spacing w:after="0" w:line="94" w:lineRule="exact"/>
              <w:rPr>
                <w:sz w:val="20"/>
                <w:szCs w:val="20"/>
                <w:color w:val="auto"/>
              </w:rPr>
            </w:pPr>
            <w:r>
              <w:rPr>
                <w:rFonts w:ascii="Times New Roman" w:cs="Times New Roman" w:eastAsia="Times New Roman" w:hAnsi="Times New Roman"/>
                <w:sz w:val="10"/>
                <w:szCs w:val="10"/>
                <w:color w:val="auto"/>
              </w:rPr>
              <w:t>One-to-four family residential, including condominium and</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4,071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3,248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7,392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880,163</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887,555</w:t>
            </w:r>
          </w:p>
        </w:tc>
        <w:tc>
          <w:tcPr>
            <w:tcW w:w="0" w:type="dxa"/>
            <w:vAlign w:val="bottom"/>
          </w:tcPr>
          <w:p>
            <w:pPr>
              <w:spacing w:after="0"/>
              <w:rPr>
                <w:sz w:val="1"/>
                <w:szCs w:val="1"/>
                <w:color w:val="auto"/>
              </w:rPr>
            </w:pPr>
          </w:p>
        </w:tc>
      </w:tr>
      <w:tr>
        <w:trPr>
          <w:trHeight w:val="128"/>
        </w:trPr>
        <w:tc>
          <w:tcPr>
            <w:tcW w:w="2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cooperative apartment</w:t>
            </w: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8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4,017,176</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4,017,176</w:t>
            </w:r>
          </w:p>
        </w:tc>
        <w:tc>
          <w:tcPr>
            <w:tcW w:w="0" w:type="dxa"/>
            <w:vAlign w:val="bottom"/>
          </w:tcPr>
          <w:p>
            <w:pPr>
              <w:spacing w:after="0"/>
              <w:rPr>
                <w:sz w:val="1"/>
                <w:szCs w:val="1"/>
                <w:color w:val="auto"/>
              </w:rPr>
            </w:pPr>
          </w:p>
        </w:tc>
      </w:tr>
      <w:tr>
        <w:trPr>
          <w:trHeight w:val="111"/>
        </w:trPr>
        <w:tc>
          <w:tcPr>
            <w:tcW w:w="284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8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6,620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6,957</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3,372,710</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3,379,667</w:t>
            </w:r>
          </w:p>
        </w:tc>
        <w:tc>
          <w:tcPr>
            <w:tcW w:w="0" w:type="dxa"/>
            <w:vAlign w:val="bottom"/>
          </w:tcPr>
          <w:p>
            <w:pPr>
              <w:spacing w:after="0"/>
              <w:rPr>
                <w:sz w:val="1"/>
                <w:szCs w:val="1"/>
                <w:color w:val="auto"/>
              </w:rPr>
            </w:pPr>
          </w:p>
        </w:tc>
      </w:tr>
      <w:tr>
        <w:trPr>
          <w:trHeight w:val="111"/>
        </w:trPr>
        <w:tc>
          <w:tcPr>
            <w:tcW w:w="28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430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657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1,087</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167,426</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168,513</w:t>
            </w:r>
          </w:p>
        </w:tc>
        <w:tc>
          <w:tcPr>
            <w:tcW w:w="0" w:type="dxa"/>
            <w:vAlign w:val="bottom"/>
          </w:tcPr>
          <w:p>
            <w:pPr>
              <w:spacing w:after="0"/>
              <w:rPr>
                <w:sz w:val="1"/>
                <w:szCs w:val="1"/>
                <w:color w:val="auto"/>
              </w:rPr>
            </w:pPr>
          </w:p>
        </w:tc>
      </w:tr>
      <w:tr>
        <w:trPr>
          <w:trHeight w:val="111"/>
        </w:trPr>
        <w:tc>
          <w:tcPr>
            <w:tcW w:w="284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5,755</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5,755</w:t>
            </w:r>
          </w:p>
        </w:tc>
        <w:tc>
          <w:tcPr>
            <w:tcW w:w="0" w:type="dxa"/>
            <w:vAlign w:val="bottom"/>
          </w:tcPr>
          <w:p>
            <w:pPr>
              <w:spacing w:after="0"/>
              <w:rPr>
                <w:sz w:val="1"/>
                <w:szCs w:val="1"/>
                <w:color w:val="auto"/>
              </w:rPr>
            </w:pPr>
          </w:p>
        </w:tc>
      </w:tr>
      <w:tr>
        <w:trPr>
          <w:trHeight w:val="101"/>
        </w:trPr>
        <w:tc>
          <w:tcPr>
            <w:tcW w:w="284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11,977</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1,290</w:t>
            </w:r>
          </w:p>
        </w:tc>
        <w:tc>
          <w:tcPr>
            <w:tcW w:w="1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29,099</w:t>
            </w: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42,366</w:t>
            </w: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10,724,471</w:t>
            </w:r>
          </w:p>
        </w:tc>
        <w:tc>
          <w:tcPr>
            <w:tcW w:w="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10,766,837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Accruing Loans 90 Days or More Past Due: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did not have accruing loans 90 days or more past due at December 31, 2024 and 2023.</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Collateral Dependent Loans: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had collateral dependent loans which were individually evaluated to determine expected credit losses as of the dates indicated: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tcPr>
          <w:p>
            <w:pPr>
              <w:jc w:val="right"/>
              <w:ind w:right="88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5"/>
          </w:tcPr>
          <w:p>
            <w:pPr>
              <w:jc w:val="right"/>
              <w:ind w:right="866"/>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42"/>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Associated Allowance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Real Estate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Associated Allowance</w:t>
            </w:r>
          </w:p>
        </w:tc>
        <w:tc>
          <w:tcPr>
            <w:tcW w:w="0" w:type="dxa"/>
            <w:vAlign w:val="bottom"/>
          </w:tcPr>
          <w:p>
            <w:pPr>
              <w:spacing w:after="0"/>
              <w:rPr>
                <w:sz w:val="1"/>
                <w:szCs w:val="1"/>
                <w:color w:val="auto"/>
              </w:rPr>
            </w:pPr>
          </w:p>
        </w:tc>
      </w:tr>
      <w:tr>
        <w:trPr>
          <w:trHeight w:val="130"/>
        </w:trPr>
        <w:tc>
          <w:tcPr>
            <w:tcW w:w="3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Collateral Dependent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for Credit Losses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Collateral Dependent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for Credit Losses</w:t>
            </w:r>
          </w:p>
        </w:tc>
        <w:tc>
          <w:tcPr>
            <w:tcW w:w="0" w:type="dxa"/>
            <w:vAlign w:val="bottom"/>
          </w:tcPr>
          <w:p>
            <w:pPr>
              <w:spacing w:after="0"/>
              <w:rPr>
                <w:sz w:val="1"/>
                <w:szCs w:val="1"/>
                <w:color w:val="auto"/>
              </w:rPr>
            </w:pPr>
          </w:p>
        </w:tc>
      </w:tr>
      <w:tr>
        <w:trPr>
          <w:trHeight w:val="101"/>
        </w:trPr>
        <w:tc>
          <w:tcPr>
            <w:tcW w:w="32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9,290</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1,408</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3,742</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32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22,944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6,605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621</w:t>
            </w:r>
          </w:p>
        </w:tc>
        <w:tc>
          <w:tcPr>
            <w:tcW w:w="0" w:type="dxa"/>
            <w:vAlign w:val="bottom"/>
          </w:tcPr>
          <w:p>
            <w:pPr>
              <w:spacing w:after="0"/>
              <w:rPr>
                <w:sz w:val="1"/>
                <w:szCs w:val="1"/>
                <w:color w:val="auto"/>
              </w:rPr>
            </w:pPr>
          </w:p>
        </w:tc>
      </w:tr>
      <w:tr>
        <w:trPr>
          <w:trHeight w:val="111"/>
        </w:trPr>
        <w:tc>
          <w:tcPr>
            <w:tcW w:w="32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657</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287</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657</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305</w:t>
            </w:r>
          </w:p>
        </w:tc>
        <w:tc>
          <w:tcPr>
            <w:tcW w:w="0" w:type="dxa"/>
            <w:vAlign w:val="bottom"/>
          </w:tcPr>
          <w:p>
            <w:pPr>
              <w:spacing w:after="0"/>
              <w:rPr>
                <w:sz w:val="1"/>
                <w:szCs w:val="1"/>
                <w:color w:val="auto"/>
              </w:rPr>
            </w:pPr>
          </w:p>
        </w:tc>
      </w:tr>
      <w:tr>
        <w:trPr>
          <w:trHeight w:val="101"/>
        </w:trPr>
        <w:tc>
          <w:tcPr>
            <w:tcW w:w="3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10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32,891</w:t>
            </w: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2,111</w:t>
            </w:r>
          </w:p>
        </w:tc>
        <w:tc>
          <w:tcPr>
            <w:tcW w:w="120" w:type="dxa"/>
            <w:vAlign w:val="bottom"/>
          </w:tcPr>
          <w:p>
            <w:pPr>
              <w:spacing w:after="0"/>
              <w:rPr>
                <w:sz w:val="8"/>
                <w:szCs w:val="8"/>
                <w:color w:val="auto"/>
              </w:rPr>
            </w:pPr>
          </w:p>
        </w:tc>
        <w:tc>
          <w:tcPr>
            <w:tcW w:w="120" w:type="dxa"/>
            <w:vAlign w:val="bottom"/>
            <w:tcBorders>
              <w:bottom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11,004</w:t>
            </w: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926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Related Party Loans</w:t>
      </w:r>
    </w:p>
    <w:p>
      <w:pPr>
        <w:spacing w:after="0" w:line="9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Certain directors, executive officers, and their related parties, including their immediate families and companies in which they are principal owners, were loan customers of the Bank during 2024.</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sets forth selected information about related party loans: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4"/>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1"/>
        </w:trPr>
        <w:tc>
          <w:tcPr>
            <w:tcW w:w="626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06"/>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26"/>
              <w:spacing w:after="0" w:line="101"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1"/>
        </w:trPr>
        <w:tc>
          <w:tcPr>
            <w:tcW w:w="6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Beginning balance</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4,922</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4,956</w:t>
            </w:r>
          </w:p>
        </w:tc>
        <w:tc>
          <w:tcPr>
            <w:tcW w:w="0" w:type="dxa"/>
            <w:vAlign w:val="bottom"/>
          </w:tcPr>
          <w:p>
            <w:pPr>
              <w:spacing w:after="0"/>
              <w:rPr>
                <w:sz w:val="1"/>
                <w:szCs w:val="1"/>
                <w:color w:val="auto"/>
              </w:rPr>
            </w:pPr>
          </w:p>
        </w:tc>
      </w:tr>
      <w:tr>
        <w:trPr>
          <w:trHeight w:val="111"/>
        </w:trPr>
        <w:tc>
          <w:tcPr>
            <w:tcW w:w="62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New loans</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531</w:t>
            </w:r>
          </w:p>
        </w:tc>
        <w:tc>
          <w:tcPr>
            <w:tcW w:w="0" w:type="dxa"/>
            <w:vAlign w:val="bottom"/>
          </w:tcPr>
          <w:p>
            <w:pPr>
              <w:spacing w:after="0"/>
              <w:rPr>
                <w:sz w:val="1"/>
                <w:szCs w:val="1"/>
                <w:color w:val="auto"/>
              </w:rPr>
            </w:pPr>
          </w:p>
        </w:tc>
      </w:tr>
      <w:tr>
        <w:trPr>
          <w:trHeight w:val="111"/>
        </w:trPr>
        <w:tc>
          <w:tcPr>
            <w:tcW w:w="62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Effect of changes in composition of related parties</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(1,146)</w:t>
            </w: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626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Repayments</w:t>
            </w:r>
          </w:p>
        </w:tc>
        <w:tc>
          <w:tcPr>
            <w:tcW w:w="1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(39)</w:t>
            </w:r>
          </w:p>
        </w:tc>
        <w:tc>
          <w:tcPr>
            <w:tcW w:w="1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(565)</w:t>
            </w:r>
          </w:p>
        </w:tc>
        <w:tc>
          <w:tcPr>
            <w:tcW w:w="0" w:type="dxa"/>
            <w:vAlign w:val="bottom"/>
          </w:tcPr>
          <w:p>
            <w:pPr>
              <w:spacing w:after="0"/>
              <w:rPr>
                <w:sz w:val="1"/>
                <w:szCs w:val="1"/>
                <w:color w:val="auto"/>
              </w:rPr>
            </w:pPr>
          </w:p>
        </w:tc>
      </w:tr>
      <w:tr>
        <w:trPr>
          <w:trHeight w:val="101"/>
        </w:trPr>
        <w:tc>
          <w:tcPr>
            <w:tcW w:w="626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Balance at end of period</w:t>
            </w:r>
          </w:p>
        </w:tc>
        <w:tc>
          <w:tcPr>
            <w:tcW w:w="1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3,745</w:t>
            </w:r>
          </w:p>
        </w:tc>
        <w:tc>
          <w:tcPr>
            <w:tcW w:w="1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4,922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Loan Restructurings</w:t>
      </w:r>
    </w:p>
    <w:p>
      <w:pPr>
        <w:spacing w:after="0" w:line="9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Company applies the loan refinancing and restructuring guidance to determine whether a modification or other forms of restructuring result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3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tables show the amortized cost basis as of December 31, 2024 and 2023 of the loans modified to borrowers experiencing financial difficulty, disaggregated by loan category and type of concession granted: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For the Year Ended December 31, 2024</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jc w:val="center"/>
              <w:ind w:right="213"/>
              <w:spacing w:after="0" w:line="76"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rPr>
              <w:t>Delay,</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2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Delay</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20" w:type="dxa"/>
            <w:vAlign w:val="bottom"/>
          </w:tcPr>
          <w:p>
            <w:pPr>
              <w:spacing w:after="0"/>
              <w:rPr>
                <w:sz w:val="8"/>
                <w:szCs w:val="8"/>
                <w:color w:val="auto"/>
              </w:rPr>
            </w:pPr>
          </w:p>
        </w:tc>
        <w:tc>
          <w:tcPr>
            <w:tcW w:w="760" w:type="dxa"/>
            <w:vAlign w:val="bottom"/>
          </w:tcPr>
          <w:p>
            <w:pPr>
              <w:jc w:val="center"/>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w w:val="95"/>
              </w:rPr>
              <w:t>% of</w:t>
            </w: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12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Interest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12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w w:val="99"/>
              </w:rPr>
              <w:t>Class of</w:t>
            </w:r>
          </w:p>
        </w:tc>
        <w:tc>
          <w:tcPr>
            <w:tcW w:w="0" w:type="dxa"/>
            <w:vAlign w:val="bottom"/>
          </w:tcPr>
          <w:p>
            <w:pPr>
              <w:spacing w:after="0"/>
              <w:rPr>
                <w:sz w:val="1"/>
                <w:szCs w:val="1"/>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w w:val="99"/>
              </w:rPr>
              <w:t>Payment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Rate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12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Financing</w:t>
            </w:r>
          </w:p>
        </w:tc>
        <w:tc>
          <w:tcPr>
            <w:tcW w:w="0" w:type="dxa"/>
            <w:vAlign w:val="bottom"/>
          </w:tcPr>
          <w:p>
            <w:pPr>
              <w:spacing w:after="0"/>
              <w:rPr>
                <w:sz w:val="1"/>
                <w:szCs w:val="1"/>
                <w:color w:val="auto"/>
              </w:rPr>
            </w:pPr>
          </w:p>
        </w:tc>
      </w:tr>
      <w:tr>
        <w:trPr>
          <w:trHeight w:val="116"/>
        </w:trPr>
        <w:tc>
          <w:tcPr>
            <w:tcW w:w="2560" w:type="dxa"/>
            <w:vAlign w:val="bottom"/>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Extension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3"/>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120" w:type="dxa"/>
            <w:vAlign w:val="bottom"/>
          </w:tcPr>
          <w:p>
            <w:pPr>
              <w:spacing w:after="0"/>
              <w:rPr>
                <w:sz w:val="10"/>
                <w:szCs w:val="10"/>
                <w:color w:val="auto"/>
              </w:rPr>
            </w:pPr>
          </w:p>
        </w:tc>
        <w:tc>
          <w:tcPr>
            <w:tcW w:w="760" w:type="dxa"/>
            <w:vAlign w:val="bottom"/>
          </w:tcPr>
          <w:p>
            <w:pPr>
              <w:jc w:val="center"/>
              <w:ind w:right="21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56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120" w:type="dxa"/>
            <w:vAlign w:val="bottom"/>
          </w:tcPr>
          <w:p>
            <w:pPr>
              <w:spacing w:after="0"/>
              <w:rPr>
                <w:sz w:val="10"/>
                <w:szCs w:val="10"/>
                <w:color w:val="auto"/>
              </w:rPr>
            </w:pPr>
          </w:p>
        </w:tc>
        <w:tc>
          <w:tcPr>
            <w:tcW w:w="720" w:type="dxa"/>
            <w:vAlign w:val="bottom"/>
            <w:gridSpan w:val="2"/>
          </w:tcPr>
          <w:p>
            <w:pPr>
              <w:jc w:val="center"/>
              <w:ind w:right="53"/>
              <w:spacing w:after="0"/>
              <w:rPr>
                <w:sz w:val="20"/>
                <w:szCs w:val="20"/>
                <w:color w:val="auto"/>
              </w:rPr>
            </w:pPr>
            <w:r>
              <w:rPr>
                <w:rFonts w:ascii="Times New Roman" w:cs="Times New Roman" w:eastAsia="Times New Roman" w:hAnsi="Times New Roman"/>
                <w:sz w:val="9"/>
                <w:szCs w:val="9"/>
                <w:b w:val="1"/>
                <w:bCs w:val="1"/>
                <w:color w:val="auto"/>
              </w:rPr>
              <w:t>Receivable</w:t>
            </w:r>
          </w:p>
        </w:tc>
        <w:tc>
          <w:tcPr>
            <w:tcW w:w="0" w:type="dxa"/>
            <w:vAlign w:val="bottom"/>
          </w:tcPr>
          <w:p>
            <w:pPr>
              <w:spacing w:after="0"/>
              <w:rPr>
                <w:sz w:val="1"/>
                <w:szCs w:val="1"/>
                <w:color w:val="auto"/>
              </w:rPr>
            </w:pPr>
          </w:p>
        </w:tc>
      </w:tr>
      <w:tr>
        <w:trPr>
          <w:trHeight w:val="91"/>
        </w:trPr>
        <w:tc>
          <w:tcPr>
            <w:tcW w:w="256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19,668</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182</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187</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27</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gridSpan w:val="2"/>
            <w:shd w:val="clear" w:color="auto" w:fill="CCEEFF"/>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rPr>
              <w:t>— $</w:t>
            </w:r>
          </w:p>
        </w:tc>
        <w:tc>
          <w:tcPr>
            <w:tcW w:w="760" w:type="dxa"/>
            <w:vAlign w:val="bottom"/>
            <w:tcBorders>
              <w:top w:val="single" w:sz="8" w:color="auto"/>
            </w:tcBorders>
            <w:shd w:val="clear" w:color="auto" w:fill="CCEEFF"/>
          </w:tcPr>
          <w:p>
            <w:pPr>
              <w:ind w:left="480"/>
              <w:spacing w:after="0" w:line="91" w:lineRule="exact"/>
              <w:rPr>
                <w:sz w:val="20"/>
                <w:szCs w:val="20"/>
                <w:color w:val="auto"/>
              </w:rPr>
            </w:pPr>
            <w:r>
              <w:rPr>
                <w:rFonts w:ascii="Times New Roman" w:cs="Times New Roman" w:eastAsia="Times New Roman" w:hAnsi="Times New Roman"/>
                <w:sz w:val="9"/>
                <w:szCs w:val="9"/>
                <w:b w:val="1"/>
                <w:bCs w:val="1"/>
                <w:color w:val="auto"/>
              </w:rPr>
              <w:t>— $</w:t>
            </w:r>
          </w:p>
        </w:tc>
        <w:tc>
          <w:tcPr>
            <w:tcW w:w="5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20,064</w:t>
            </w: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ind w:left="460"/>
              <w:spacing w:after="0" w:line="91" w:lineRule="exact"/>
              <w:rPr>
                <w:sz w:val="20"/>
                <w:szCs w:val="20"/>
                <w:color w:val="auto"/>
              </w:rPr>
            </w:pPr>
            <w:r>
              <w:rPr>
                <w:rFonts w:ascii="Times New Roman" w:cs="Times New Roman" w:eastAsia="Times New Roman" w:hAnsi="Times New Roman"/>
                <w:sz w:val="9"/>
                <w:szCs w:val="9"/>
                <w:color w:val="auto"/>
              </w:rPr>
              <w:t>0.7</w:t>
            </w:r>
          </w:p>
        </w:tc>
        <w:tc>
          <w:tcPr>
            <w:tcW w:w="100" w:type="dxa"/>
            <w:vAlign w:val="bottom"/>
            <w:tcBorders>
              <w:top w:val="single" w:sz="8" w:color="CCEEFF"/>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w w:val="79"/>
              </w:rPr>
              <w:t>%</w:t>
            </w:r>
          </w:p>
        </w:tc>
        <w:tc>
          <w:tcPr>
            <w:tcW w:w="0" w:type="dxa"/>
            <w:vAlign w:val="bottom"/>
          </w:tcPr>
          <w:p>
            <w:pPr>
              <w:spacing w:after="0"/>
              <w:rPr>
                <w:sz w:val="1"/>
                <w:szCs w:val="1"/>
                <w:color w:val="auto"/>
              </w:rPr>
            </w:pPr>
          </w:p>
        </w:tc>
      </w:tr>
      <w:tr>
        <w:trPr>
          <w:trHeight w:val="88"/>
        </w:trPr>
        <w:tc>
          <w:tcPr>
            <w:tcW w:w="256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rPr>
              <w:t>One-to-four family residential, including condominium and</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896</w:t>
            </w:r>
          </w:p>
        </w:tc>
        <w:tc>
          <w:tcPr>
            <w:tcW w:w="120" w:type="dxa"/>
            <w:vAlign w:val="bottom"/>
          </w:tcPr>
          <w:p>
            <w:pPr>
              <w:spacing w:after="0"/>
              <w:rPr>
                <w:sz w:val="7"/>
                <w:szCs w:val="7"/>
                <w:color w:val="auto"/>
              </w:rPr>
            </w:pP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896</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560" w:type="dxa"/>
            <w:vAlign w:val="bottom"/>
          </w:tcPr>
          <w:p>
            <w:pPr>
              <w:spacing w:after="0"/>
              <w:rPr>
                <w:sz w:val="20"/>
                <w:szCs w:val="20"/>
                <w:color w:val="auto"/>
              </w:rPr>
            </w:pPr>
            <w:r>
              <w:rPr>
                <w:rFonts w:ascii="Times New Roman" w:cs="Times New Roman" w:eastAsia="Times New Roman" w:hAnsi="Times New Roman"/>
                <w:sz w:val="9"/>
                <w:szCs w:val="9"/>
                <w:color w:val="auto"/>
              </w:rPr>
              <w:t>cooperative apartment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34,087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ind w:left="48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34,087</w:t>
            </w:r>
          </w:p>
        </w:tc>
        <w:tc>
          <w:tcPr>
            <w:tcW w:w="740" w:type="dxa"/>
            <w:vAlign w:val="bottom"/>
            <w:gridSpan w:val="2"/>
            <w:shd w:val="clear" w:color="auto" w:fill="CCEEFF"/>
          </w:tcPr>
          <w:p>
            <w:pPr>
              <w:ind w:left="580"/>
              <w:spacing w:after="0" w:line="101" w:lineRule="exact"/>
              <w:rPr>
                <w:sz w:val="20"/>
                <w:szCs w:val="20"/>
                <w:color w:val="auto"/>
              </w:rPr>
            </w:pPr>
            <w:r>
              <w:rPr>
                <w:rFonts w:ascii="Times New Roman" w:cs="Times New Roman" w:eastAsia="Times New Roman" w:hAnsi="Times New Roman"/>
                <w:sz w:val="9"/>
                <w:szCs w:val="9"/>
                <w:color w:val="auto"/>
              </w:rPr>
              <w:t>0.9</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56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31,102</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ind w:left="48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31,102</w:t>
            </w:r>
          </w:p>
        </w:tc>
        <w:tc>
          <w:tcPr>
            <w:tcW w:w="740" w:type="dxa"/>
            <w:vAlign w:val="bottom"/>
            <w:tcBorders>
              <w:bottom w:val="single" w:sz="8" w:color="CCEEFF"/>
            </w:tcBorders>
            <w:gridSpan w:val="2"/>
          </w:tcPr>
          <w:p>
            <w:pPr>
              <w:ind w:left="580"/>
              <w:spacing w:after="0" w:line="101" w:lineRule="exact"/>
              <w:rPr>
                <w:sz w:val="20"/>
                <w:szCs w:val="20"/>
                <w:color w:val="auto"/>
              </w:rPr>
            </w:pPr>
            <w:r>
              <w:rPr>
                <w:rFonts w:ascii="Times New Roman" w:cs="Times New Roman" w:eastAsia="Times New Roman" w:hAnsi="Times New Roman"/>
                <w:sz w:val="9"/>
                <w:szCs w:val="9"/>
                <w:color w:val="auto"/>
              </w:rPr>
              <w:t>1.0</w:t>
            </w: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56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b w:val="1"/>
                <w:bCs w:val="1"/>
                <w:color w:val="auto"/>
              </w:rPr>
              <w:t>Total</w:t>
            </w:r>
          </w:p>
        </w:tc>
        <w:tc>
          <w:tcPr>
            <w:tcW w:w="20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19,668</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65,371</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187</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27</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896</w:t>
            </w:r>
          </w:p>
        </w:tc>
        <w:tc>
          <w:tcPr>
            <w:tcW w:w="120" w:type="dxa"/>
            <w:vAlign w:val="bottom"/>
            <w:shd w:val="clear" w:color="auto" w:fill="CCEEFF"/>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shd w:val="clear" w:color="auto" w:fill="CCEEFF"/>
          </w:tcPr>
          <w:p>
            <w:pPr>
              <w:ind w:left="480"/>
              <w:spacing w:after="0" w:line="91" w:lineRule="exact"/>
              <w:rPr>
                <w:sz w:val="20"/>
                <w:szCs w:val="20"/>
                <w:color w:val="auto"/>
              </w:rPr>
            </w:pPr>
            <w:r>
              <w:rPr>
                <w:rFonts w:ascii="Times New Roman" w:cs="Times New Roman" w:eastAsia="Times New Roman" w:hAnsi="Times New Roman"/>
                <w:sz w:val="9"/>
                <w:szCs w:val="9"/>
                <w:b w:val="1"/>
                <w:bCs w:val="1"/>
                <w:color w:val="auto"/>
              </w:rPr>
              <w:t>— $</w:t>
            </w: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86,149</w:t>
            </w:r>
          </w:p>
        </w:tc>
        <w:tc>
          <w:tcPr>
            <w:tcW w:w="840" w:type="dxa"/>
            <w:vAlign w:val="bottom"/>
            <w:gridSpan w:val="3"/>
            <w:shd w:val="clear" w:color="auto" w:fill="CCEEFF"/>
          </w:tcPr>
          <w:p>
            <w:pPr>
              <w:ind w:left="580"/>
              <w:spacing w:after="0" w:line="91" w:lineRule="exact"/>
              <w:rPr>
                <w:sz w:val="20"/>
                <w:szCs w:val="20"/>
                <w:color w:val="auto"/>
              </w:rPr>
            </w:pPr>
            <w:r>
              <w:rPr>
                <w:rFonts w:ascii="Times New Roman" w:cs="Times New Roman" w:eastAsia="Times New Roman" w:hAnsi="Times New Roman"/>
                <w:sz w:val="9"/>
                <w:szCs w:val="9"/>
                <w:color w:val="auto"/>
              </w:rPr>
              <w:t>0.8 %</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9"/>
                <w:szCs w:val="9"/>
                <w:b w:val="1"/>
                <w:bCs w:val="1"/>
                <w:color w:val="auto"/>
              </w:rPr>
              <w:t>For the Year Ended December 31, 2023</w:t>
            </w:r>
          </w:p>
        </w:tc>
        <w:tc>
          <w:tcPr>
            <w:tcW w:w="7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76"/>
        </w:trPr>
        <w:tc>
          <w:tcPr>
            <w:tcW w:w="2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jc w:val="center"/>
              <w:ind w:right="213"/>
              <w:spacing w:after="0" w:line="76"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jc w:val="center"/>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rPr>
              <w:t>Delay,</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Delay</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17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760" w:type="dxa"/>
            <w:vAlign w:val="bottom"/>
          </w:tcPr>
          <w:p>
            <w:pPr>
              <w:jc w:val="center"/>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w w:val="95"/>
              </w:rPr>
              <w:t>% of</w:t>
            </w: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Total</w:t>
            </w: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Interest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w w:val="99"/>
              </w:rPr>
              <w:t>Class of</w:t>
            </w:r>
          </w:p>
        </w:tc>
      </w:tr>
      <w:tr>
        <w:trPr>
          <w:trHeight w:val="101"/>
        </w:trPr>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9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w w:val="99"/>
              </w:rPr>
              <w:t>Payment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9"/>
                <w:szCs w:val="9"/>
                <w:b w:val="1"/>
                <w:bCs w:val="1"/>
                <w:color w:val="auto"/>
              </w:rPr>
              <w:t>Rate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153"/>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760" w:type="dxa"/>
            <w:vAlign w:val="bottom"/>
          </w:tcPr>
          <w:p>
            <w:pPr>
              <w:jc w:val="center"/>
              <w:ind w:right="213"/>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Financing</w:t>
            </w:r>
          </w:p>
        </w:tc>
      </w:tr>
      <w:tr>
        <w:trPr>
          <w:trHeight w:val="116"/>
        </w:trPr>
        <w:tc>
          <w:tcPr>
            <w:tcW w:w="2560" w:type="dxa"/>
            <w:vAlign w:val="bottom"/>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Extension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3"/>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5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760" w:type="dxa"/>
            <w:vAlign w:val="bottom"/>
          </w:tcPr>
          <w:p>
            <w:pPr>
              <w:jc w:val="center"/>
              <w:ind w:right="21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56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120" w:type="dxa"/>
            <w:vAlign w:val="bottom"/>
          </w:tcPr>
          <w:p>
            <w:pPr>
              <w:spacing w:after="0"/>
              <w:rPr>
                <w:sz w:val="10"/>
                <w:szCs w:val="10"/>
                <w:color w:val="auto"/>
              </w:rPr>
            </w:pPr>
          </w:p>
        </w:tc>
        <w:tc>
          <w:tcPr>
            <w:tcW w:w="720" w:type="dxa"/>
            <w:vAlign w:val="bottom"/>
            <w:gridSpan w:val="2"/>
          </w:tcPr>
          <w:p>
            <w:pPr>
              <w:jc w:val="center"/>
              <w:ind w:right="53"/>
              <w:spacing w:after="0"/>
              <w:rPr>
                <w:sz w:val="20"/>
                <w:szCs w:val="20"/>
                <w:color w:val="auto"/>
              </w:rPr>
            </w:pPr>
            <w:r>
              <w:rPr>
                <w:rFonts w:ascii="Times New Roman" w:cs="Times New Roman" w:eastAsia="Times New Roman" w:hAnsi="Times New Roman"/>
                <w:sz w:val="9"/>
                <w:szCs w:val="9"/>
                <w:b w:val="1"/>
                <w:bCs w:val="1"/>
                <w:color w:val="auto"/>
              </w:rPr>
              <w:t>Receivable</w:t>
            </w:r>
          </w:p>
        </w:tc>
      </w:tr>
      <w:tr>
        <w:trPr>
          <w:trHeight w:val="91"/>
        </w:trPr>
        <w:tc>
          <w:tcPr>
            <w:tcW w:w="256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1,789</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12,020</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520</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298</w:t>
            </w: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top w:val="single" w:sz="8" w:color="auto"/>
            </w:tcBorders>
            <w:shd w:val="clear" w:color="auto" w:fill="CCEEFF"/>
          </w:tcPr>
          <w:p>
            <w:pPr>
              <w:ind w:left="480"/>
              <w:spacing w:after="0" w:line="91" w:lineRule="exact"/>
              <w:rPr>
                <w:sz w:val="20"/>
                <w:szCs w:val="20"/>
                <w:color w:val="auto"/>
              </w:rPr>
            </w:pPr>
            <w:r>
              <w:rPr>
                <w:rFonts w:ascii="Times New Roman" w:cs="Times New Roman" w:eastAsia="Times New Roman" w:hAnsi="Times New Roman"/>
                <w:sz w:val="9"/>
                <w:szCs w:val="9"/>
                <w:color w:val="auto"/>
              </w:rPr>
              <w:t>— $</w:t>
            </w:r>
          </w:p>
        </w:tc>
        <w:tc>
          <w:tcPr>
            <w:tcW w:w="760" w:type="dxa"/>
            <w:vAlign w:val="bottom"/>
            <w:tcBorders>
              <w:top w:val="single" w:sz="8" w:color="auto"/>
            </w:tcBorders>
            <w:shd w:val="clear" w:color="auto" w:fill="CCEEFF"/>
          </w:tcPr>
          <w:p>
            <w:pPr>
              <w:ind w:left="480"/>
              <w:spacing w:after="0" w:line="9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14,627</w:t>
            </w: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ind w:left="460"/>
              <w:spacing w:after="0" w:line="91" w:lineRule="exact"/>
              <w:rPr>
                <w:sz w:val="20"/>
                <w:szCs w:val="20"/>
                <w:color w:val="auto"/>
              </w:rPr>
            </w:pPr>
            <w:r>
              <w:rPr>
                <w:rFonts w:ascii="Times New Roman" w:cs="Times New Roman" w:eastAsia="Times New Roman" w:hAnsi="Times New Roman"/>
                <w:sz w:val="9"/>
                <w:szCs w:val="9"/>
                <w:color w:val="auto"/>
              </w:rPr>
              <w:t>0.6</w:t>
            </w:r>
          </w:p>
        </w:tc>
        <w:tc>
          <w:tcPr>
            <w:tcW w:w="100" w:type="dxa"/>
            <w:vAlign w:val="bottom"/>
            <w:tcBorders>
              <w:top w:val="single" w:sz="8" w:color="CCEEFF"/>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w w:val="79"/>
              </w:rPr>
              <w:t>%</w:t>
            </w:r>
          </w:p>
        </w:tc>
      </w:tr>
      <w:tr>
        <w:trPr>
          <w:trHeight w:val="88"/>
        </w:trPr>
        <w:tc>
          <w:tcPr>
            <w:tcW w:w="256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rPr>
              <w:t>One-to-four family residential, including condominium and</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4"/>
        </w:trPr>
        <w:tc>
          <w:tcPr>
            <w:tcW w:w="2560" w:type="dxa"/>
            <w:vAlign w:val="bottom"/>
          </w:tcPr>
          <w:p>
            <w:pPr>
              <w:spacing w:after="0"/>
              <w:rPr>
                <w:sz w:val="20"/>
                <w:szCs w:val="20"/>
                <w:color w:val="auto"/>
              </w:rPr>
            </w:pPr>
            <w:r>
              <w:rPr>
                <w:rFonts w:ascii="Times New Roman" w:cs="Times New Roman" w:eastAsia="Times New Roman" w:hAnsi="Times New Roman"/>
                <w:sz w:val="9"/>
                <w:szCs w:val="9"/>
                <w:color w:val="auto"/>
              </w:rPr>
              <w:t>cooperative apartment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2,856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2,948</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0.3</w:t>
            </w:r>
          </w:p>
        </w:tc>
        <w:tc>
          <w:tcPr>
            <w:tcW w:w="100" w:type="dxa"/>
            <w:vAlign w:val="bottom"/>
          </w:tcPr>
          <w:p>
            <w:pPr>
              <w:spacing w:after="0"/>
              <w:rPr>
                <w:sz w:val="9"/>
                <w:szCs w:val="9"/>
                <w:color w:val="auto"/>
              </w:rPr>
            </w:pPr>
          </w:p>
        </w:tc>
      </w:tr>
      <w:tr>
        <w:trPr>
          <w:trHeight w:val="101"/>
        </w:trPr>
        <w:tc>
          <w:tcPr>
            <w:tcW w:w="25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24,706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10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ind w:left="480"/>
              <w:spacing w:after="0" w:line="101"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shd w:val="clear" w:color="auto" w:fill="CCEEFF"/>
          </w:tcPr>
          <w:p>
            <w:pPr>
              <w:ind w:left="480"/>
              <w:spacing w:after="0" w:line="101"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24,706</w:t>
            </w:r>
          </w:p>
        </w:tc>
        <w:tc>
          <w:tcPr>
            <w:tcW w:w="740" w:type="dxa"/>
            <w:vAlign w:val="bottom"/>
            <w:gridSpan w:val="2"/>
            <w:shd w:val="clear" w:color="auto" w:fill="CCEEFF"/>
          </w:tcPr>
          <w:p>
            <w:pPr>
              <w:ind w:left="580"/>
              <w:spacing w:after="0" w:line="101" w:lineRule="exact"/>
              <w:rPr>
                <w:sz w:val="20"/>
                <w:szCs w:val="20"/>
                <w:color w:val="auto"/>
              </w:rPr>
            </w:pPr>
            <w:r>
              <w:rPr>
                <w:rFonts w:ascii="Times New Roman" w:cs="Times New Roman" w:eastAsia="Times New Roman" w:hAnsi="Times New Roman"/>
                <w:sz w:val="9"/>
                <w:szCs w:val="9"/>
                <w:color w:val="auto"/>
              </w:rPr>
              <w:t>0.7</w:t>
            </w:r>
          </w:p>
        </w:tc>
        <w:tc>
          <w:tcPr>
            <w:tcW w:w="100" w:type="dxa"/>
            <w:vAlign w:val="bottom"/>
            <w:shd w:val="clear" w:color="auto" w:fill="CCEEFF"/>
          </w:tcPr>
          <w:p>
            <w:pPr>
              <w:spacing w:after="0"/>
              <w:rPr>
                <w:sz w:val="8"/>
                <w:szCs w:val="8"/>
                <w:color w:val="auto"/>
              </w:rPr>
            </w:pPr>
          </w:p>
        </w:tc>
      </w:tr>
      <w:tr>
        <w:trPr>
          <w:trHeight w:val="91"/>
        </w:trPr>
        <w:tc>
          <w:tcPr>
            <w:tcW w:w="2560" w:type="dxa"/>
            <w:vAlign w:val="bottom"/>
          </w:tcPr>
          <w:p>
            <w:pPr>
              <w:spacing w:after="0" w:line="91" w:lineRule="exact"/>
              <w:rPr>
                <w:sz w:val="20"/>
                <w:szCs w:val="20"/>
                <w:color w:val="auto"/>
              </w:rPr>
            </w:pPr>
            <w:r>
              <w:rPr>
                <w:rFonts w:ascii="Times New Roman" w:cs="Times New Roman" w:eastAsia="Times New Roman" w:hAnsi="Times New Roman"/>
                <w:sz w:val="9"/>
                <w:szCs w:val="9"/>
                <w:b w:val="1"/>
                <w:bCs w:val="1"/>
                <w:color w:val="auto"/>
              </w:rPr>
              <w:t>Total</w:t>
            </w:r>
          </w:p>
        </w:tc>
        <w:tc>
          <w:tcPr>
            <w:tcW w:w="14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1,789</w:t>
            </w:r>
          </w:p>
        </w:tc>
        <w:tc>
          <w:tcPr>
            <w:tcW w:w="1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39,582</w:t>
            </w:r>
          </w:p>
        </w:tc>
        <w:tc>
          <w:tcPr>
            <w:tcW w:w="12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612</w:t>
            </w:r>
          </w:p>
        </w:tc>
        <w:tc>
          <w:tcPr>
            <w:tcW w:w="12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298</w:t>
            </w: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top w:val="single" w:sz="8" w:color="auto"/>
              <w:bottom w:val="single" w:sz="8" w:color="auto"/>
            </w:tcBorders>
          </w:tcPr>
          <w:p>
            <w:pPr>
              <w:ind w:left="480"/>
              <w:spacing w:after="0" w:line="91" w:lineRule="exact"/>
              <w:rPr>
                <w:sz w:val="20"/>
                <w:szCs w:val="20"/>
                <w:color w:val="auto"/>
              </w:rPr>
            </w:pPr>
            <w:r>
              <w:rPr>
                <w:rFonts w:ascii="Times New Roman" w:cs="Times New Roman" w:eastAsia="Times New Roman" w:hAnsi="Times New Roman"/>
                <w:sz w:val="9"/>
                <w:szCs w:val="9"/>
                <w:color w:val="auto"/>
              </w:rPr>
              <w:t>— $</w:t>
            </w:r>
          </w:p>
        </w:tc>
        <w:tc>
          <w:tcPr>
            <w:tcW w:w="760" w:type="dxa"/>
            <w:vAlign w:val="bottom"/>
            <w:tcBorders>
              <w:top w:val="single" w:sz="8" w:color="auto"/>
              <w:bottom w:val="single" w:sz="8" w:color="auto"/>
            </w:tcBorders>
          </w:tcPr>
          <w:p>
            <w:pPr>
              <w:ind w:left="480"/>
              <w:spacing w:after="0" w:line="9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Borders>
              <w:top w:val="single" w:sz="8" w:color="auto"/>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42,281</w:t>
            </w:r>
          </w:p>
        </w:tc>
        <w:tc>
          <w:tcPr>
            <w:tcW w:w="840" w:type="dxa"/>
            <w:vAlign w:val="bottom"/>
            <w:gridSpan w:val="3"/>
          </w:tcPr>
          <w:p>
            <w:pPr>
              <w:ind w:left="580"/>
              <w:spacing w:after="0" w:line="91" w:lineRule="exact"/>
              <w:rPr>
                <w:sz w:val="20"/>
                <w:szCs w:val="20"/>
                <w:color w:val="auto"/>
              </w:rPr>
            </w:pPr>
            <w:r>
              <w:rPr>
                <w:rFonts w:ascii="Times New Roman" w:cs="Times New Roman" w:eastAsia="Times New Roman" w:hAnsi="Times New Roman"/>
                <w:sz w:val="9"/>
                <w:szCs w:val="9"/>
                <w:color w:val="auto"/>
              </w:rPr>
              <w:t>0.4 %</w:t>
            </w: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describe the financial effect of the modifications made to borrowers experiencing financial difficulty as of the dates indicated:</w:t>
      </w:r>
    </w:p>
    <w:p>
      <w:pPr>
        <w:sectPr>
          <w:pgSz w:w="11900" w:h="16838" w:orient="portrait"/>
          <w:cols w:equalWidth="0" w:num="1">
            <w:col w:w="9019"/>
          </w:cols>
          <w:pgMar w:left="1440" w:top="318"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(Dollars in thousands)</w:t>
      </w:r>
    </w:p>
    <w:p>
      <w:pPr>
        <w:ind w:left="20"/>
        <w:spacing w:after="0" w:line="222" w:lineRule="auto"/>
        <w:rPr>
          <w:sz w:val="20"/>
          <w:szCs w:val="20"/>
          <w:color w:val="auto"/>
        </w:rPr>
      </w:pPr>
      <w:r>
        <w:rPr>
          <w:rFonts w:ascii="Times New Roman" w:cs="Times New Roman" w:eastAsia="Times New Roman" w:hAnsi="Times New Roman"/>
          <w:sz w:val="11"/>
          <w:szCs w:val="11"/>
          <w:color w:val="auto"/>
        </w:rPr>
        <w:t>Business loans</w:t>
      </w:r>
    </w:p>
    <w:p>
      <w:pPr>
        <w:ind w:left="20"/>
        <w:spacing w:after="0" w:line="231" w:lineRule="auto"/>
        <w:rPr>
          <w:sz w:val="20"/>
          <w:szCs w:val="20"/>
          <w:color w:val="auto"/>
        </w:rPr>
      </w:pPr>
      <w:r>
        <w:rPr>
          <w:rFonts w:ascii="Times New Roman" w:cs="Times New Roman" w:eastAsia="Times New Roman" w:hAnsi="Times New Roman"/>
          <w:sz w:val="10"/>
          <w:szCs w:val="10"/>
          <w:color w:val="auto"/>
        </w:rPr>
        <w:t>One-to-four family residential, including condominium and cooperative apartment</w:t>
      </w:r>
    </w:p>
    <w:p>
      <w:pPr>
        <w:ind w:left="20"/>
        <w:spacing w:after="0" w:line="211" w:lineRule="auto"/>
        <w:rPr>
          <w:sz w:val="20"/>
          <w:szCs w:val="20"/>
          <w:color w:val="auto"/>
        </w:rPr>
      </w:pPr>
      <w:r>
        <w:rPr>
          <w:rFonts w:ascii="Times New Roman" w:cs="Times New Roman" w:eastAsia="Times New Roman" w:hAnsi="Times New Roman"/>
          <w:sz w:val="11"/>
          <w:szCs w:val="11"/>
          <w:color w:val="auto"/>
        </w:rPr>
        <w:t>Multifamily residential and residential mixed-use</w:t>
      </w:r>
    </w:p>
    <w:p>
      <w:pPr>
        <w:ind w:left="20"/>
        <w:spacing w:after="0"/>
        <w:rPr>
          <w:sz w:val="20"/>
          <w:szCs w:val="20"/>
          <w:color w:val="auto"/>
        </w:rPr>
      </w:pPr>
      <w:r>
        <w:rPr>
          <w:rFonts w:ascii="Times New Roman" w:cs="Times New Roman" w:eastAsia="Times New Roman" w:hAnsi="Times New Roman"/>
          <w:sz w:val="11"/>
          <w:szCs w:val="11"/>
          <w:color w:val="auto"/>
        </w:rPr>
        <w:t>Non-owner-occupied commercial real estate</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(Dollars in thousands)</w:t>
      </w:r>
    </w:p>
    <w:p>
      <w:pPr>
        <w:ind w:left="20"/>
        <w:spacing w:after="0" w:line="222" w:lineRule="auto"/>
        <w:rPr>
          <w:sz w:val="20"/>
          <w:szCs w:val="20"/>
          <w:color w:val="auto"/>
        </w:rPr>
      </w:pPr>
      <w:r>
        <w:rPr>
          <w:rFonts w:ascii="Times New Roman" w:cs="Times New Roman" w:eastAsia="Times New Roman" w:hAnsi="Times New Roman"/>
          <w:sz w:val="11"/>
          <w:szCs w:val="11"/>
          <w:color w:val="auto"/>
        </w:rPr>
        <w:t>Business loans</w:t>
      </w:r>
    </w:p>
    <w:p>
      <w:pPr>
        <w:ind w:left="20"/>
        <w:spacing w:after="0" w:line="231" w:lineRule="auto"/>
        <w:rPr>
          <w:sz w:val="20"/>
          <w:szCs w:val="20"/>
          <w:color w:val="auto"/>
        </w:rPr>
      </w:pPr>
      <w:r>
        <w:rPr>
          <w:rFonts w:ascii="Times New Roman" w:cs="Times New Roman" w:eastAsia="Times New Roman" w:hAnsi="Times New Roman"/>
          <w:sz w:val="10"/>
          <w:szCs w:val="10"/>
          <w:color w:val="auto"/>
        </w:rPr>
        <w:t>One-to-four family residential, including condominium and cooperative apartment</w:t>
      </w:r>
    </w:p>
    <w:p>
      <w:pPr>
        <w:ind w:left="20"/>
        <w:spacing w:after="0"/>
        <w:rPr>
          <w:sz w:val="20"/>
          <w:szCs w:val="20"/>
          <w:color w:val="auto"/>
        </w:rPr>
      </w:pPr>
      <w:r>
        <w:rPr>
          <w:rFonts w:ascii="Times New Roman" w:cs="Times New Roman" w:eastAsia="Times New Roman" w:hAnsi="Times New Roman"/>
          <w:sz w:val="11"/>
          <w:szCs w:val="11"/>
          <w:color w:val="auto"/>
        </w:rPr>
        <w:t>Non-owner-occupied commercial real estate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4638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63800" cy="63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2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11"/>
        </w:trPr>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240" w:type="dxa"/>
            <w:vAlign w:val="bottom"/>
          </w:tcPr>
          <w:p>
            <w:pPr>
              <w:spacing w:after="0"/>
              <w:rPr>
                <w:sz w:val="9"/>
                <w:szCs w:val="9"/>
                <w:color w:val="auto"/>
              </w:rPr>
            </w:pP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Months of</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Reductions</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Term Extensions</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1"/>
                <w:szCs w:val="11"/>
                <w:b w:val="1"/>
                <w:bCs w:val="1"/>
                <w:color w:val="auto"/>
                <w:w w:val="98"/>
              </w:rPr>
              <w:t>Payment Delay</w:t>
            </w:r>
          </w:p>
        </w:tc>
        <w:tc>
          <w:tcPr>
            <w:tcW w:w="0" w:type="dxa"/>
            <w:vAlign w:val="bottom"/>
          </w:tcPr>
          <w:p>
            <w:pPr>
              <w:spacing w:after="0"/>
              <w:rPr>
                <w:sz w:val="1"/>
                <w:szCs w:val="1"/>
                <w:color w:val="auto"/>
              </w:rPr>
            </w:pPr>
          </w:p>
        </w:tc>
      </w:tr>
      <w:tr>
        <w:trPr>
          <w:trHeight w:val="82"/>
        </w:trPr>
        <w:tc>
          <w:tcPr>
            <w:tcW w:w="116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5.00</w:t>
            </w:r>
          </w:p>
        </w:tc>
        <w:tc>
          <w:tcPr>
            <w:tcW w:w="240" w:type="dxa"/>
            <w:vAlign w:val="bottom"/>
            <w:vMerge w:val="continue"/>
          </w:tcPr>
          <w:p>
            <w:pPr>
              <w:spacing w:after="0"/>
              <w:rPr>
                <w:sz w:val="7"/>
                <w:szCs w:val="7"/>
                <w:color w:val="auto"/>
              </w:rPr>
            </w:pPr>
          </w:p>
        </w:tc>
        <w:tc>
          <w:tcPr>
            <w:tcW w:w="116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8</w:t>
            </w:r>
          </w:p>
        </w:tc>
        <w:tc>
          <w:tcPr>
            <w:tcW w:w="140" w:type="dxa"/>
            <w:vAlign w:val="bottom"/>
          </w:tcPr>
          <w:p>
            <w:pPr>
              <w:spacing w:after="0"/>
              <w:rPr>
                <w:sz w:val="7"/>
                <w:szCs w:val="7"/>
                <w:color w:val="auto"/>
              </w:rPr>
            </w:pPr>
          </w:p>
        </w:tc>
        <w:tc>
          <w:tcPr>
            <w:tcW w:w="160" w:type="dxa"/>
            <w:vAlign w:val="bottom"/>
          </w:tcPr>
          <w:p>
            <w:pPr>
              <w:jc w:val="right"/>
              <w:ind w:right="57"/>
              <w:spacing w:after="0" w:line="82"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1020" w:type="dxa"/>
            <w:vAlign w:val="bottom"/>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59</w:t>
            </w:r>
          </w:p>
        </w:tc>
        <w:tc>
          <w:tcPr>
            <w:tcW w:w="0" w:type="dxa"/>
            <w:vAlign w:val="bottom"/>
          </w:tcPr>
          <w:p>
            <w:pPr>
              <w:spacing w:after="0"/>
              <w:rPr>
                <w:sz w:val="1"/>
                <w:szCs w:val="1"/>
                <w:color w:val="auto"/>
              </w:rPr>
            </w:pPr>
          </w:p>
        </w:tc>
      </w:tr>
      <w:tr>
        <w:trPr>
          <w:trHeight w:val="111"/>
        </w:trPr>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w:t>
            </w:r>
          </w:p>
        </w:tc>
        <w:tc>
          <w:tcPr>
            <w:tcW w:w="240" w:type="dxa"/>
            <w:vAlign w:val="bottom"/>
          </w:tcPr>
          <w:p>
            <w:pPr>
              <w:spacing w:after="0"/>
              <w:rPr>
                <w:sz w:val="9"/>
                <w:szCs w:val="9"/>
                <w:color w:val="auto"/>
              </w:rPr>
            </w:pP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231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9"/>
                <w:szCs w:val="9"/>
                <w:color w:val="auto"/>
              </w:rPr>
            </w:pP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256</w:t>
            </w:r>
          </w:p>
        </w:tc>
        <w:tc>
          <w:tcPr>
            <w:tcW w:w="0" w:type="dxa"/>
            <w:vAlign w:val="bottom"/>
          </w:tcPr>
          <w:p>
            <w:pPr>
              <w:spacing w:after="0"/>
              <w:rPr>
                <w:sz w:val="1"/>
                <w:szCs w:val="1"/>
                <w:color w:val="auto"/>
              </w:rPr>
            </w:pPr>
          </w:p>
        </w:tc>
      </w:tr>
      <w:tr>
        <w:trPr>
          <w:trHeight w:val="142"/>
        </w:trPr>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560</w:t>
            </w:r>
          </w:p>
        </w:tc>
        <w:tc>
          <w:tcPr>
            <w:tcW w:w="0" w:type="dxa"/>
            <w:vAlign w:val="bottom"/>
          </w:tcPr>
          <w:p>
            <w:pPr>
              <w:spacing w:after="0"/>
              <w:rPr>
                <w:sz w:val="1"/>
                <w:szCs w:val="1"/>
                <w:color w:val="auto"/>
              </w:rPr>
            </w:pPr>
          </w:p>
        </w:tc>
      </w:tr>
      <w:tr>
        <w:trPr>
          <w:trHeight w:val="270"/>
        </w:trPr>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 Ended December 31, 2023</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11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240" w:type="dxa"/>
            <w:vAlign w:val="bottom"/>
          </w:tcPr>
          <w:p>
            <w:pPr>
              <w:spacing w:after="0"/>
              <w:rPr>
                <w:sz w:val="7"/>
                <w:szCs w:val="7"/>
                <w:color w:val="auto"/>
              </w:rPr>
            </w:pPr>
          </w:p>
        </w:tc>
        <w:tc>
          <w:tcPr>
            <w:tcW w:w="11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restart"/>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11"/>
        </w:trPr>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240" w:type="dxa"/>
            <w:vAlign w:val="bottom"/>
          </w:tcPr>
          <w:p>
            <w:pPr>
              <w:spacing w:after="0"/>
              <w:rPr>
                <w:sz w:val="9"/>
                <w:szCs w:val="9"/>
                <w:color w:val="auto"/>
              </w:rPr>
            </w:pP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Months of</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Reductions</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Term Extensions</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1"/>
                <w:szCs w:val="11"/>
                <w:b w:val="1"/>
                <w:bCs w:val="1"/>
                <w:color w:val="auto"/>
                <w:w w:val="98"/>
              </w:rPr>
              <w:t>Payment Delay</w:t>
            </w:r>
          </w:p>
        </w:tc>
        <w:tc>
          <w:tcPr>
            <w:tcW w:w="0" w:type="dxa"/>
            <w:vAlign w:val="bottom"/>
          </w:tcPr>
          <w:p>
            <w:pPr>
              <w:spacing w:after="0"/>
              <w:rPr>
                <w:sz w:val="1"/>
                <w:szCs w:val="1"/>
                <w:color w:val="auto"/>
              </w:rPr>
            </w:pPr>
          </w:p>
        </w:tc>
      </w:tr>
      <w:tr>
        <w:trPr>
          <w:trHeight w:val="84"/>
        </w:trPr>
        <w:tc>
          <w:tcPr>
            <w:tcW w:w="11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4.27</w:t>
            </w:r>
          </w:p>
        </w:tc>
        <w:tc>
          <w:tcPr>
            <w:tcW w:w="240" w:type="dxa"/>
            <w:vAlign w:val="bottom"/>
            <w:vMerge w:val="continue"/>
          </w:tcPr>
          <w:p>
            <w:pPr>
              <w:spacing w:after="0"/>
              <w:rPr>
                <w:sz w:val="7"/>
                <w:szCs w:val="7"/>
                <w:color w:val="auto"/>
              </w:rPr>
            </w:pPr>
          </w:p>
        </w:tc>
        <w:tc>
          <w:tcPr>
            <w:tcW w:w="116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13</w:t>
            </w:r>
          </w:p>
        </w:tc>
        <w:tc>
          <w:tcPr>
            <w:tcW w:w="140" w:type="dxa"/>
            <w:vAlign w:val="bottom"/>
          </w:tcPr>
          <w:p>
            <w:pPr>
              <w:spacing w:after="0"/>
              <w:rPr>
                <w:sz w:val="7"/>
                <w:szCs w:val="7"/>
                <w:color w:val="auto"/>
              </w:rPr>
            </w:pPr>
          </w:p>
        </w:tc>
        <w:tc>
          <w:tcPr>
            <w:tcW w:w="160" w:type="dxa"/>
            <w:vAlign w:val="bottom"/>
          </w:tcPr>
          <w:p>
            <w:pPr>
              <w:jc w:val="right"/>
              <w:ind w:right="57"/>
              <w:spacing w:after="0" w:line="84" w:lineRule="exact"/>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color w:val="auto"/>
              </w:rPr>
              <w:t>2,406</w:t>
            </w:r>
          </w:p>
        </w:tc>
        <w:tc>
          <w:tcPr>
            <w:tcW w:w="0" w:type="dxa"/>
            <w:vAlign w:val="bottom"/>
          </w:tcPr>
          <w:p>
            <w:pPr>
              <w:spacing w:after="0"/>
              <w:rPr>
                <w:sz w:val="1"/>
                <w:szCs w:val="1"/>
                <w:color w:val="auto"/>
              </w:rPr>
            </w:pPr>
          </w:p>
        </w:tc>
      </w:tr>
      <w:tr>
        <w:trPr>
          <w:trHeight w:val="111"/>
        </w:trPr>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189</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40"/>
        </w:trPr>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-762000</wp:posOffset>
            </wp:positionV>
            <wp:extent cx="5682615" cy="70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82615" cy="704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-909320</wp:posOffset>
            </wp:positionV>
            <wp:extent cx="5682615" cy="768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82615" cy="7683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-77470</wp:posOffset>
            </wp:positionV>
            <wp:extent cx="5682615" cy="70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2615" cy="7048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-224155</wp:posOffset>
            </wp:positionV>
            <wp:extent cx="5682615" cy="76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2615" cy="7683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4380" w:space="720"/>
            <w:col w:w="3919"/>
          </w:cols>
          <w:pgMar w:left="1440" w:top="318" w:right="1440" w:bottom="1440" w:gutter="0" w:footer="0" w:header="0"/>
          <w:type w:val="continuous"/>
        </w:sect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monitors the performance of loans modified to borrowers experiencing financial difficulty to understand the effectiveness of its modification efforts. The following tables describe the performance of loans that have been modified during the years ended December 31, 2024 and 2023.</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30-59</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60-89</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center"/>
              <w:ind w:right="8"/>
              <w:spacing w:after="0" w:line="82" w:lineRule="exact"/>
              <w:rPr>
                <w:sz w:val="20"/>
                <w:szCs w:val="20"/>
                <w:color w:val="auto"/>
              </w:rPr>
            </w:pPr>
            <w:r>
              <w:rPr>
                <w:rFonts w:ascii="Times New Roman" w:cs="Times New Roman" w:eastAsia="Times New Roman" w:hAnsi="Times New Roman"/>
                <w:sz w:val="9"/>
                <w:szCs w:val="9"/>
                <w:b w:val="1"/>
                <w:bCs w:val="1"/>
                <w:color w:val="auto"/>
              </w:rPr>
              <w:t>90+</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Days Past Due</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19,668</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129</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267</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20,064</w:t>
            </w:r>
          </w:p>
        </w:tc>
        <w:tc>
          <w:tcPr>
            <w:tcW w:w="0" w:type="dxa"/>
            <w:vAlign w:val="bottom"/>
          </w:tcPr>
          <w:p>
            <w:pPr>
              <w:spacing w:after="0"/>
              <w:rPr>
                <w:sz w:val="1"/>
                <w:szCs w:val="1"/>
                <w:color w:val="auto"/>
              </w:rPr>
            </w:pPr>
          </w:p>
        </w:tc>
      </w:tr>
      <w:tr>
        <w:trPr>
          <w:trHeight w:val="94"/>
        </w:trPr>
        <w:tc>
          <w:tcPr>
            <w:tcW w:w="29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One-to-four family residential, including condominium and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896</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896</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cooperative apartment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6,486</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27,601</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34,087</w:t>
            </w:r>
          </w:p>
        </w:tc>
        <w:tc>
          <w:tcPr>
            <w:tcW w:w="0" w:type="dxa"/>
            <w:vAlign w:val="bottom"/>
          </w:tcPr>
          <w:p>
            <w:pPr>
              <w:spacing w:after="0"/>
              <w:rPr>
                <w:sz w:val="1"/>
                <w:szCs w:val="1"/>
                <w:color w:val="auto"/>
              </w:rPr>
            </w:pPr>
          </w:p>
        </w:tc>
      </w:tr>
      <w:tr>
        <w:trPr>
          <w:trHeight w:val="111"/>
        </w:trPr>
        <w:tc>
          <w:tcPr>
            <w:tcW w:w="29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31,102</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31,102</w:t>
            </w:r>
          </w:p>
        </w:tc>
        <w:tc>
          <w:tcPr>
            <w:tcW w:w="0" w:type="dxa"/>
            <w:vAlign w:val="bottom"/>
          </w:tcPr>
          <w:p>
            <w:pPr>
              <w:spacing w:after="0"/>
              <w:rPr>
                <w:sz w:val="1"/>
                <w:szCs w:val="1"/>
                <w:color w:val="auto"/>
              </w:rPr>
            </w:pPr>
          </w:p>
        </w:tc>
      </w:tr>
      <w:tr>
        <w:trPr>
          <w:trHeight w:val="101"/>
        </w:trPr>
        <w:tc>
          <w:tcPr>
            <w:tcW w:w="294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57,256</w:t>
            </w: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129</w:t>
            </w: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27,601</w:t>
            </w:r>
          </w:p>
        </w:tc>
        <w:tc>
          <w:tcPr>
            <w:tcW w:w="1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bottom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1,163</w:t>
            </w:r>
          </w:p>
        </w:tc>
        <w:tc>
          <w:tcPr>
            <w:tcW w:w="1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86,149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30-59</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60-89</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center"/>
              <w:ind w:right="8"/>
              <w:spacing w:after="0" w:line="82" w:lineRule="exact"/>
              <w:rPr>
                <w:sz w:val="20"/>
                <w:szCs w:val="20"/>
                <w:color w:val="auto"/>
              </w:rPr>
            </w:pPr>
            <w:r>
              <w:rPr>
                <w:rFonts w:ascii="Times New Roman" w:cs="Times New Roman" w:eastAsia="Times New Roman" w:hAnsi="Times New Roman"/>
                <w:sz w:val="9"/>
                <w:szCs w:val="9"/>
                <w:b w:val="1"/>
                <w:bCs w:val="1"/>
                <w:color w:val="auto"/>
              </w:rPr>
              <w:t>90+</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94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Days Past Due</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9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12,496</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2,131</w:t>
            </w:r>
          </w:p>
        </w:tc>
        <w:tc>
          <w:tcPr>
            <w:tcW w:w="160" w:type="dxa"/>
            <w:vAlign w:val="bottom"/>
            <w:gridSpan w:val="2"/>
            <w:shd w:val="clear" w:color="auto" w:fill="CCEEFF"/>
          </w:tcPr>
          <w:p>
            <w:pPr>
              <w:spacing w:after="0"/>
              <w:rPr>
                <w:sz w:val="8"/>
                <w:szCs w:val="8"/>
                <w:color w:val="auto"/>
              </w:rPr>
            </w:pP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14,627</w:t>
            </w:r>
          </w:p>
        </w:tc>
        <w:tc>
          <w:tcPr>
            <w:tcW w:w="0" w:type="dxa"/>
            <w:vAlign w:val="bottom"/>
          </w:tcPr>
          <w:p>
            <w:pPr>
              <w:spacing w:after="0"/>
              <w:rPr>
                <w:sz w:val="1"/>
                <w:szCs w:val="1"/>
                <w:color w:val="auto"/>
              </w:rPr>
            </w:pPr>
          </w:p>
        </w:tc>
      </w:tr>
      <w:tr>
        <w:trPr>
          <w:trHeight w:val="94"/>
        </w:trPr>
        <w:tc>
          <w:tcPr>
            <w:tcW w:w="29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One-to-four family residential, including condominium and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2,856</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restart"/>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2,948</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20"/>
                <w:szCs w:val="20"/>
                <w:color w:val="auto"/>
              </w:rPr>
            </w:pPr>
            <w:r>
              <w:rPr>
                <w:rFonts w:ascii="Times New Roman" w:cs="Times New Roman" w:eastAsia="Times New Roman" w:hAnsi="Times New Roman"/>
                <w:sz w:val="11"/>
                <w:szCs w:val="11"/>
                <w:color w:val="auto"/>
              </w:rPr>
              <w:t>cooperative apartment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24,706</w:t>
            </w: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24,706</w:t>
            </w:r>
          </w:p>
        </w:tc>
        <w:tc>
          <w:tcPr>
            <w:tcW w:w="0" w:type="dxa"/>
            <w:vAlign w:val="bottom"/>
          </w:tcPr>
          <w:p>
            <w:pPr>
              <w:spacing w:after="0"/>
              <w:rPr>
                <w:sz w:val="1"/>
                <w:szCs w:val="1"/>
                <w:color w:val="auto"/>
              </w:rPr>
            </w:pPr>
          </w:p>
        </w:tc>
      </w:tr>
      <w:tr>
        <w:trPr>
          <w:trHeight w:val="101"/>
        </w:trPr>
        <w:tc>
          <w:tcPr>
            <w:tcW w:w="294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8"/>
                <w:szCs w:val="8"/>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40,058</w:t>
            </w:r>
          </w:p>
        </w:tc>
        <w:tc>
          <w:tcPr>
            <w:tcW w:w="160" w:type="dxa"/>
            <w:vAlign w:val="bottom"/>
          </w:tcPr>
          <w:p>
            <w:pPr>
              <w:spacing w:after="0"/>
              <w:rPr>
                <w:sz w:val="8"/>
                <w:szCs w:val="8"/>
                <w:color w:val="auto"/>
              </w:rPr>
            </w:pPr>
          </w:p>
        </w:tc>
        <w:tc>
          <w:tcPr>
            <w:tcW w:w="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2,223</w:t>
            </w:r>
          </w:p>
        </w:tc>
        <w:tc>
          <w:tcPr>
            <w:tcW w:w="160" w:type="dxa"/>
            <w:vAlign w:val="bottom"/>
            <w:gridSpan w:val="2"/>
          </w:tcPr>
          <w:p>
            <w:pPr>
              <w:spacing w:after="0"/>
              <w:rPr>
                <w:sz w:val="8"/>
                <w:szCs w:val="8"/>
                <w:color w:val="auto"/>
              </w:rPr>
            </w:pPr>
          </w:p>
        </w:tc>
        <w:tc>
          <w:tcPr>
            <w:tcW w:w="160" w:type="dxa"/>
            <w:vAlign w:val="bottom"/>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42,281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There were no loans held for investment made to borrowers experiencing financial difficulty that were modified during the year ended December 31, 2024 and 2023,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type w:val="continuous"/>
        </w:sectPr>
      </w:pPr>
    </w:p>
    <w:bookmarkStart w:id="67" w:name="page68"/>
    <w:bookmarkEnd w:id="6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Credit Quality Indicators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as to credit risk. The Company uses the following definitions for risk ratings:</w:t>
      </w:r>
    </w:p>
    <w:p>
      <w:pPr>
        <w:spacing w:after="0" w:line="123"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Special Mention. </w:t>
      </w:r>
      <w:r>
        <w:rPr>
          <w:rFonts w:ascii="Times New Roman" w:cs="Times New Roman" w:eastAsia="Times New Roman" w:hAnsi="Times New Roman"/>
          <w:sz w:val="13"/>
          <w:szCs w:val="13"/>
          <w:color w:val="auto"/>
        </w:rPr>
        <w:t>Loans classified as special mention have a potential weakness that deserves management’s close attention. If left uncorrected, these potential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weaknesses may result in deterioration of the repayment prospects for the loan or of the Bank’s credit position at some future date.</w:t>
      </w:r>
    </w:p>
    <w:p>
      <w:pPr>
        <w:spacing w:after="0" w:line="110" w:lineRule="exact"/>
        <w:rPr>
          <w:sz w:val="20"/>
          <w:szCs w:val="20"/>
          <w:color w:val="auto"/>
        </w:rPr>
      </w:pPr>
    </w:p>
    <w:p>
      <w:pPr>
        <w:jc w:val="both"/>
        <w:ind w:left="20" w:right="39" w:firstLine="290"/>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Substandard. </w:t>
      </w:r>
      <w:r>
        <w:rPr>
          <w:rFonts w:ascii="Times New Roman" w:cs="Times New Roman" w:eastAsia="Times New Roman" w:hAnsi="Times New Roman"/>
          <w:sz w:val="13"/>
          <w:szCs w:val="13"/>
          <w:color w:val="auto"/>
        </w:rPr>
        <w:t>Loans classified as substandard are inadequately protected by the current net worth and paying capacity of the obligor or of the collateral pledged,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any. Loans so classified have a well-defined weakness or weaknesses that jeopardize the liquidation of the debt. They are characterized by the distinct possibility that the Bank will sustain some loss if the deficiencies are not corrected.</w:t>
      </w:r>
    </w:p>
    <w:p>
      <w:pPr>
        <w:spacing w:after="0" w:line="124"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Doubtful. </w:t>
      </w:r>
      <w:r>
        <w:rPr>
          <w:rFonts w:ascii="Times New Roman" w:cs="Times New Roman" w:eastAsia="Times New Roman" w:hAnsi="Times New Roman"/>
          <w:sz w:val="13"/>
          <w:szCs w:val="13"/>
          <w:color w:val="auto"/>
        </w:rPr>
        <w:t>Loans classified as doubtful have all the weaknesses inherent in those classified as substandard, with the added characteristic that the weaknesses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make collection or liquidation in full, on the basis of then existing facts, conditions, and values, highly questionable and improbable.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is a summary of the credit risk profile of loans by internally assigned grade as of the periods indicated, the years represent the year of origination for non-revolving loans: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December 31, 2024</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right"/>
              <w:ind w:right="33"/>
              <w:spacing w:after="0" w:line="76" w:lineRule="exact"/>
              <w:rPr>
                <w:sz w:val="20"/>
                <w:szCs w:val="20"/>
                <w:color w:val="auto"/>
              </w:rPr>
            </w:pPr>
            <w:r>
              <w:rPr>
                <w:rFonts w:ascii="Times New Roman" w:cs="Times New Roman" w:eastAsia="Times New Roman" w:hAnsi="Times New Roman"/>
                <w:sz w:val="8"/>
                <w:szCs w:val="8"/>
                <w:b w:val="1"/>
                <w:bCs w:val="1"/>
                <w:color w:val="auto"/>
              </w:rPr>
              <w:t>Revolving-</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6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(In thousands)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2023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2019 and Prior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Revolving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Term</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22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400,607</w:t>
            </w:r>
          </w:p>
        </w:tc>
        <w:tc>
          <w:tcPr>
            <w:tcW w:w="200" w:type="dxa"/>
            <w:vAlign w:val="bottom"/>
            <w:gridSpan w:val="2"/>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232,017</w:t>
            </w:r>
          </w:p>
        </w:tc>
        <w:tc>
          <w:tcPr>
            <w:tcW w:w="22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327,174</w:t>
            </w:r>
          </w:p>
        </w:tc>
        <w:tc>
          <w:tcPr>
            <w:tcW w:w="22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201,799</w:t>
            </w:r>
          </w:p>
        </w:tc>
        <w:tc>
          <w:tcPr>
            <w:tcW w:w="220" w:type="dxa"/>
            <w:vAlign w:val="bottom"/>
            <w:gridSpan w:val="2"/>
          </w:tcPr>
          <w:p>
            <w:pPr>
              <w:jc w:val="right"/>
              <w:ind w:right="69"/>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164,834</w:t>
            </w:r>
          </w:p>
        </w:tc>
        <w:tc>
          <w:tcPr>
            <w:tcW w:w="240" w:type="dxa"/>
            <w:vAlign w:val="bottom"/>
            <w:gridSpan w:val="2"/>
          </w:tcPr>
          <w:p>
            <w:pPr>
              <w:jc w:val="right"/>
              <w:ind w:right="55"/>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348,388</w:t>
            </w:r>
          </w:p>
        </w:tc>
        <w:tc>
          <w:tcPr>
            <w:tcW w:w="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828,287</w:t>
            </w:r>
          </w:p>
        </w:tc>
        <w:tc>
          <w:tcPr>
            <w:tcW w:w="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67,238</w:t>
            </w:r>
          </w:p>
        </w:tc>
        <w:tc>
          <w:tcPr>
            <w:tcW w:w="240" w:type="dxa"/>
            <w:vAlign w:val="bottom"/>
            <w:gridSpan w:val="2"/>
          </w:tcPr>
          <w:p>
            <w:pPr>
              <w:jc w:val="right"/>
              <w:ind w:right="9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2,570,344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754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36,740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4,220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4,333</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17,226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26,292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14,497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104,197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398</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1,985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2,482</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3,944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11,298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30,467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50,574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business loans</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400,742</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233,169</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365,899</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208,501</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173,111</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377,523</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854,579</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112,202</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2,725,726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158</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166</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267</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586</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89</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6,785</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8,051</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2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One-to-four family residential, and condominium/cooperative</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apartment: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134,804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159,300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202,706</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98,491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63,093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247,952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26,724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8,364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941,434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711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870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984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7,326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914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9,224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Total one-to-four family residential, and condominium/cooperative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6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apartment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134,804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159,300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202,706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98,491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64,077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255,989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26,883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9,278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951,528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top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21,810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252,975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1,285,619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560,039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286,653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1,239,261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4,285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4,267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3,654,909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1,202</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12,369</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14,172</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73,778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101,521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63,853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63,853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multifamily residential and residential mixed-use</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21,810</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252,975</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1,286,821</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572,408</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300,825</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1,376,892</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4,285</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4,267</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3,820,283</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400</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1,292</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2,985</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4,677</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57,280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215,279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724,041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601,508</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408,361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1,020,137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11,937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8,966</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3,047,509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658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75,802</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29,564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106,024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16,471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34,236</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26,295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77,002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non-owner-occupied commercial real estate</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57,280</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215,279</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724,041</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618,637</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518,399</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1,075,996</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11,937</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8,966</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3,230,535</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2,797</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4,033</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96</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6,926</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ADC:</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16,154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34,169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25,950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4,810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2,468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24,868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12,122</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120,541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14,974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14,974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ADC</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16,154</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34,169</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25,950</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19,784</w:t>
            </w: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2,468</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24,868</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12,779</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136,172</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0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Total:</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630,655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893,740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2,565,490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1,466,647</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922,941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2,858,206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896,101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100,957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10,334,737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754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37,942</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32,221</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94,307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121,279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26,451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14,497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327,586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398</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1,985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18,953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39,164</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108,772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32,038</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201,310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Loans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630,790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6"/>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894,892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2,605,417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1,517,821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1,056,412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5"/>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3,088,868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922,552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147,492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10,864,244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00" w:type="dxa"/>
            <w:vAlign w:val="bottom"/>
            <w:tcBorders>
              <w:bottom w:val="single" w:sz="8" w:color="CCEEFF"/>
            </w:tcBorders>
            <w:shd w:val="clear" w:color="auto" w:fill="CCEEFF"/>
          </w:tcPr>
          <w:p>
            <w:pPr>
              <w:ind w:left="60"/>
              <w:spacing w:after="0" w:line="71" w:lineRule="exact"/>
              <w:rPr>
                <w:sz w:val="20"/>
                <w:szCs w:val="20"/>
                <w:color w:val="auto"/>
              </w:rPr>
            </w:pPr>
            <w:r>
              <w:rPr>
                <w:rFonts w:ascii="Times New Roman" w:cs="Times New Roman" w:eastAsia="Times New Roman" w:hAnsi="Times New Roman"/>
                <w:sz w:val="8"/>
                <w:szCs w:val="8"/>
                <w:color w:val="auto"/>
              </w:rPr>
              <w:t>YTD Gross Charge-Offs</w:t>
            </w: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400</w:t>
            </w: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16"/>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158</w:t>
            </w: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2,963</w:t>
            </w: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5,592</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55"/>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3,571</w:t>
            </w: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89</w:t>
            </w: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6,881</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19,654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December 31, 2023</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right"/>
              <w:ind w:right="33"/>
              <w:spacing w:after="0" w:line="76" w:lineRule="exact"/>
              <w:rPr>
                <w:sz w:val="20"/>
                <w:szCs w:val="20"/>
                <w:color w:val="auto"/>
              </w:rPr>
            </w:pPr>
            <w:r>
              <w:rPr>
                <w:rFonts w:ascii="Times New Roman" w:cs="Times New Roman" w:eastAsia="Times New Roman" w:hAnsi="Times New Roman"/>
                <w:sz w:val="8"/>
                <w:szCs w:val="8"/>
                <w:b w:val="1"/>
                <w:bCs w:val="1"/>
                <w:color w:val="auto"/>
              </w:rPr>
              <w:t>Revolving-</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6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(In thousands)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2018 and Prior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Revolving</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Term</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8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258,699</w:t>
            </w:r>
          </w:p>
        </w:tc>
        <w:tc>
          <w:tcPr>
            <w:tcW w:w="20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390,760</w:t>
            </w:r>
          </w:p>
        </w:tc>
        <w:tc>
          <w:tcPr>
            <w:tcW w:w="20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196,790</w:t>
            </w:r>
          </w:p>
        </w:tc>
        <w:tc>
          <w:tcPr>
            <w:tcW w:w="20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144,796</w:t>
            </w:r>
          </w:p>
        </w:tc>
        <w:tc>
          <w:tcPr>
            <w:tcW w:w="20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150,871</w:t>
            </w:r>
          </w:p>
        </w:tc>
        <w:tc>
          <w:tcPr>
            <w:tcW w:w="200" w:type="dxa"/>
            <w:vAlign w:val="bottom"/>
            <w:gridSpan w:val="2"/>
          </w:tcPr>
          <w:p>
            <w:pPr>
              <w:jc w:val="right"/>
              <w:ind w:right="69"/>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305,258</w:t>
            </w:r>
          </w:p>
        </w:tc>
        <w:tc>
          <w:tcPr>
            <w:tcW w:w="12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633,719</w:t>
            </w:r>
          </w:p>
        </w:tc>
        <w:tc>
          <w:tcPr>
            <w:tcW w:w="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35,079</w:t>
            </w:r>
          </w:p>
        </w:tc>
        <w:tc>
          <w:tcPr>
            <w:tcW w:w="240" w:type="dxa"/>
            <w:vAlign w:val="bottom"/>
            <w:gridSpan w:val="2"/>
          </w:tcPr>
          <w:p>
            <w:pPr>
              <w:jc w:val="right"/>
              <w:ind w:right="9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2,115,972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481</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41,682</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1,199</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13,567</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7,125</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3,150</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21,108</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25,306</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113,618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1,857</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2,180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6,729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2,803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30,248</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15,567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18,449</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77,833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748</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748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business loans</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259,180</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434,299</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200,169</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165,092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160,799</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339,404</w:t>
            </w:r>
          </w:p>
        </w:tc>
        <w:tc>
          <w:tcPr>
            <w:tcW w:w="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670,394</w:t>
            </w: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78,834</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2,308,171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77</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38</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4,166</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2,229</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5,464</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3,390</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15,364</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26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One-to-four family residential, and condominium/cooperative</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apartment: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170,601</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213,479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102,684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69,524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62,356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213,131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31,205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12,493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875,473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159</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776</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968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1,005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337</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8,711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1,061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11,114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Total one-to-four family residential, and condominium/cooperative</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6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apartment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170,601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213,479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102,684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70,529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62,693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221,875</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31,364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14,330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887,555</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top w:val="single" w:sz="8" w:color="CCEEFF"/>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w:t>
            </w: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256,822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1,340,197</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578,352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283,633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384,937</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981,820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4,841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4,325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3,834,927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9,334</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3,880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3,886</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64,273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81,373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28,799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5,089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66,988</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100,876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multifamily residential and residential mixed-use</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256,822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1,340,197</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587,686</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316,312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393,912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1,113,081</w:t>
            </w:r>
          </w:p>
        </w:tc>
        <w:tc>
          <w:tcPr>
            <w:tcW w:w="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4,841</w:t>
            </w: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4,325</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4,017,176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220,045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738,133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645,246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447,002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359,201</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756,921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11,919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7,926</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3,186,393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19,872</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75,378</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4,563</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2,763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102,576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60,272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6,254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24,156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90,698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non-owner-occupied commercial real estate</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220,045</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738,133</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665,134</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582,652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370,018</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783,840</w:t>
            </w:r>
          </w:p>
        </w:tc>
        <w:tc>
          <w:tcPr>
            <w:tcW w:w="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11,919</w:t>
            </w: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7,926</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3,379,667</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ADC:</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16,735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17,534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59,202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9,900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2,665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437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22,444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129,142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11,500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14,961</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12,253</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38,714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ADC</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16,735</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29,034</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74,163</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9,900</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14,918</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437</w:t>
            </w:r>
          </w:p>
        </w:tc>
        <w:tc>
          <w:tcPr>
            <w:tcW w:w="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22,444</w:t>
            </w: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882</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168,513</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6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Total:</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922,902</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2,700,103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1,582,274</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954,855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960,030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2,257,567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704,128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60,048</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10,141,907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481</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53,182</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45,366</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92,825</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27,827</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70,219</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21,267</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26,082</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337,249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1,857</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2,196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96,805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14,483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130,103</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15,567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20,167</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281,178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748</w:t>
            </w: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748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6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Loans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923,383</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2,755,142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1,629,836</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6"/>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1,144,485</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1,002,340</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2,458,637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740,962</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106,297</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10,761,082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60" w:type="dxa"/>
            <w:vAlign w:val="bottom"/>
            <w:tcBorders>
              <w:bottom w:val="single" w:sz="8" w:color="CCEEFF"/>
            </w:tcBorders>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YTD Gross Charge-Offs</w:t>
            </w: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77</w:t>
            </w:r>
          </w:p>
        </w:tc>
        <w:tc>
          <w:tcPr>
            <w:tcW w:w="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36"/>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38</w:t>
            </w:r>
          </w:p>
        </w:tc>
        <w:tc>
          <w:tcPr>
            <w:tcW w:w="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4,166</w:t>
            </w:r>
          </w:p>
        </w:tc>
        <w:tc>
          <w:tcPr>
            <w:tcW w:w="6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2,231</w:t>
            </w:r>
          </w:p>
        </w:tc>
        <w:tc>
          <w:tcPr>
            <w:tcW w:w="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5,464</w:t>
            </w:r>
          </w:p>
        </w:tc>
        <w:tc>
          <w:tcPr>
            <w:tcW w:w="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3,404</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Performing</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5,755</w:t>
            </w:r>
          </w:p>
        </w:tc>
      </w:tr>
      <w:tr>
        <w:trPr>
          <w:trHeight w:val="151"/>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Non-accrual</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5,084</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5,755</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5. LOAN SERVICING ACTIVITIES</w:t>
      </w:r>
    </w:p>
    <w:p>
      <w:pPr>
        <w:spacing w:after="0" w:line="17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Bank services real estate and C&amp;I loans for others having principal balances outstanding of approximately $329.1 million and $346.1 million at December 31, 2024 and 2023, respectively. Loans serviced for others are not reported as assets. Servicing loans for others generally consists of collecting loan payments, maintaining escrow accounts, disbursing payments to investors, paying taxes and insurance and processing foreclosures. In connection with loans serviced for others, the Bank held borrowers’ escrow balances of $1.3 million at December 31, 2024 and 2023.</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59"/>
        <w:spacing w:after="0" w:line="278" w:lineRule="auto"/>
        <w:rPr>
          <w:sz w:val="20"/>
          <w:szCs w:val="20"/>
          <w:color w:val="auto"/>
        </w:rPr>
      </w:pPr>
      <w:r>
        <w:rPr>
          <w:rFonts w:ascii="Times New Roman" w:cs="Times New Roman" w:eastAsia="Times New Roman" w:hAnsi="Times New Roman"/>
          <w:sz w:val="13"/>
          <w:szCs w:val="13"/>
          <w:color w:val="auto"/>
        </w:rPr>
        <w:t>There are no restrictions on the Company’s consolidated assets or liabilities related to loans sold with servicing rights retained. Upon sale of these loans, the Company recorded an SRA in other assets, and has elected to account for the SRA under the "amortization method" prescribed under GAAP. The activity for SRAs for the periods indicated are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Servicing right assets: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Beginning of year</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3,168</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3,349</w:t>
            </w:r>
          </w:p>
        </w:tc>
        <w:tc>
          <w:tcPr>
            <w:tcW w:w="180" w:type="dxa"/>
            <w:vAlign w:val="bottom"/>
          </w:tcPr>
          <w:p>
            <w:pPr>
              <w:spacing w:after="0"/>
              <w:rPr>
                <w:sz w:val="13"/>
                <w:szCs w:val="13"/>
                <w:color w:val="auto"/>
              </w:rPr>
            </w:pP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Amortized to expense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Sold</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End of year</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2,701</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3,349</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Beginning of year</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Additions expensed</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End of year</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0" w:type="dxa"/>
            <w:vAlign w:val="bottom"/>
          </w:tcPr>
          <w:p>
            <w:pPr>
              <w:spacing w:after="0"/>
              <w:rPr>
                <w:sz w:val="1"/>
                <w:szCs w:val="1"/>
                <w:color w:val="auto"/>
              </w:rPr>
            </w:pPr>
          </w:p>
        </w:tc>
      </w:tr>
      <w:tr>
        <w:trPr>
          <w:trHeight w:val="141"/>
        </w:trPr>
        <w:tc>
          <w:tcPr>
            <w:tcW w:w="5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Servicing right assets, net</w:t>
            </w: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2,419</w:t>
            </w: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fair value of SRAs was $3.0 million and $3.4 million, at December 31, 2024 and 2023, respectively. The fair value at December 31, 2024 was determined using discount rates ranging from 10.0% to 13.9%, prepayment speeds ranging from 6.1% to 12.3%, depending on the stratification of the specific servicing right, and a weighted average default rate of 0.62%. The fair value at December 31, 2023 was determined using discount rates ranging from 10.0% to 14.5%, prepayment speeds ranging from 6.5% to 12.2%, depending on the stratification of the specific servicing right, and a weighted average default rate of 0.67%.</w:t>
      </w:r>
    </w:p>
    <w:p>
      <w:pPr>
        <w:spacing w:after="0" w:line="127" w:lineRule="exact"/>
        <w:rPr>
          <w:sz w:val="20"/>
          <w:szCs w:val="20"/>
          <w:color w:val="auto"/>
        </w:rPr>
      </w:pPr>
    </w:p>
    <w:p>
      <w:pPr>
        <w:ind w:left="20" w:right="4359"/>
        <w:spacing w:after="0" w:line="520" w:lineRule="auto"/>
        <w:rPr>
          <w:sz w:val="20"/>
          <w:szCs w:val="20"/>
          <w:color w:val="auto"/>
        </w:rPr>
      </w:pPr>
      <w:r>
        <w:rPr>
          <w:rFonts w:ascii="Times New Roman" w:cs="Times New Roman" w:eastAsia="Times New Roman" w:hAnsi="Times New Roman"/>
          <w:sz w:val="13"/>
          <w:szCs w:val="13"/>
          <w:b w:val="1"/>
          <w:bCs w:val="1"/>
          <w:color w:val="auto"/>
        </w:rPr>
        <w:t xml:space="preserve">6. PREMISES AND FIXED ASSETS, NET AND PREMISES HELD FOR SALE </w:t>
      </w:r>
      <w:r>
        <w:rPr>
          <w:rFonts w:ascii="Times New Roman" w:cs="Times New Roman" w:eastAsia="Times New Roman" w:hAnsi="Times New Roman"/>
          <w:sz w:val="13"/>
          <w:szCs w:val="13"/>
          <w:i w:val="1"/>
          <w:iCs w:val="1"/>
          <w:u w:val="single" w:color="auto"/>
          <w:color w:val="auto"/>
        </w:rPr>
        <w:t>Premises and Fixed Assets, Net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summary of premises and fixed assets, net:</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40" w:type="dxa"/>
            <w:vAlign w:val="bottom"/>
            <w:tcBorders>
              <w:bottom w:val="single" w:sz="8" w:color="auto"/>
            </w:tcBorders>
          </w:tcPr>
          <w:p>
            <w:pPr>
              <w:spacing w:after="0"/>
              <w:rPr>
                <w:sz w:val="13"/>
                <w:szCs w:val="13"/>
                <w:color w:val="auto"/>
              </w:rPr>
            </w:pPr>
          </w:p>
        </w:tc>
      </w:tr>
      <w:tr>
        <w:trPr>
          <w:trHeight w:val="146"/>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40" w:type="dxa"/>
            <w:vAlign w:val="bottom"/>
          </w:tcPr>
          <w:p>
            <w:pPr>
              <w:spacing w:after="0"/>
              <w:rPr>
                <w:sz w:val="12"/>
                <w:szCs w:val="12"/>
                <w:color w:val="auto"/>
              </w:rPr>
            </w:pP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1"/>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5,808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10,824</w:t>
            </w:r>
          </w:p>
        </w:tc>
      </w:tr>
      <w:tr>
        <w:trPr>
          <w:trHeight w:val="151"/>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Buildings</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14,417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21,173</w:t>
            </w:r>
          </w:p>
        </w:tc>
      </w:tr>
      <w:tr>
        <w:trPr>
          <w:trHeight w:val="151"/>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29,817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28,307</w:t>
            </w:r>
          </w:p>
        </w:tc>
      </w:tr>
      <w:tr>
        <w:trPr>
          <w:trHeight w:val="151"/>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Furniture, fixtures and equipment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28,690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25,909</w:t>
            </w:r>
          </w:p>
        </w:tc>
      </w:tr>
      <w:tr>
        <w:trPr>
          <w:trHeight w:val="141"/>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Premises and fixed assets, gross</w:t>
            </w: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78,732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86,213</w:t>
            </w:r>
          </w:p>
        </w:tc>
      </w:tr>
      <w:tr>
        <w:trPr>
          <w:trHeight w:val="141"/>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(43,874)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(41,345)</w:t>
            </w:r>
          </w:p>
        </w:tc>
      </w:tr>
      <w:tr>
        <w:trPr>
          <w:trHeight w:val="141"/>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Premises and fixed assets, net</w:t>
            </w: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34,858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44,868</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Depreciation and amortization expense amounted to $7.0 million, $6.7 million and $7.4 million during the years ended December 31, 2024, 2023 and 2022, respectively.</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Premises Held for Sale</w:t>
      </w:r>
    </w:p>
    <w:p>
      <w:pPr>
        <w:spacing w:after="0" w:line="175"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During the year ended December 31, 2024, the Company transferred two real estate properties utilized as retail branches to premises held for sale totaling $9.2 million. During the year ended December 31, 2023, the Company transferred one real estate property utilized as a retail branch to premises held for sale totaling $905 thousand.</w:t>
      </w:r>
    </w:p>
    <w:p>
      <w:pPr>
        <w:spacing w:after="0" w:line="282"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the Company sold three real estate properties utilized as retail branches for $19.3 million and recorded an associated gain of $9.1 million in gain on sale of other assets in the consolidated statements of operations. There were no premises held for sale as of December 31, 2024.</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7. LEASES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Company’s remaining maturities of undiscounted lease payments, as well as a reconciliation to the discounted operating lease liabilities in the Consolidated Statements of Financial Condition at December 31, 2024:</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r>
      <w:tr>
        <w:trPr>
          <w:trHeight w:val="101"/>
        </w:trPr>
        <w:tc>
          <w:tcPr>
            <w:tcW w:w="75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2025</w:t>
            </w:r>
          </w:p>
        </w:tc>
        <w:tc>
          <w:tcPr>
            <w:tcW w:w="680" w:type="dxa"/>
            <w:vAlign w:val="bottom"/>
            <w:gridSpan w:val="2"/>
            <w:shd w:val="clear" w:color="auto" w:fill="CCEEFF"/>
          </w:tcPr>
          <w:p>
            <w:pPr>
              <w:jc w:val="right"/>
              <w:ind w:right="346"/>
              <w:spacing w:after="0" w:line="101"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13,972</w:t>
            </w:r>
          </w:p>
        </w:tc>
      </w:tr>
      <w:tr>
        <w:trPr>
          <w:trHeight w:val="111"/>
        </w:trPr>
        <w:tc>
          <w:tcPr>
            <w:tcW w:w="7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2026</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13,374</w:t>
            </w:r>
          </w:p>
        </w:tc>
      </w:tr>
      <w:tr>
        <w:trPr>
          <w:trHeight w:val="111"/>
        </w:trPr>
        <w:tc>
          <w:tcPr>
            <w:tcW w:w="7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2027</w:t>
            </w: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11,528</w:t>
            </w:r>
          </w:p>
        </w:tc>
      </w:tr>
      <w:tr>
        <w:trPr>
          <w:trHeight w:val="111"/>
        </w:trPr>
        <w:tc>
          <w:tcPr>
            <w:tcW w:w="75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2028</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5,547</w:t>
            </w:r>
          </w:p>
        </w:tc>
      </w:tr>
      <w:tr>
        <w:trPr>
          <w:trHeight w:val="111"/>
        </w:trPr>
        <w:tc>
          <w:tcPr>
            <w:tcW w:w="7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2029</w:t>
            </w: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3,029</w:t>
            </w:r>
          </w:p>
        </w:tc>
      </w:tr>
      <w:tr>
        <w:trPr>
          <w:trHeight w:val="111"/>
        </w:trPr>
        <w:tc>
          <w:tcPr>
            <w:tcW w:w="75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Thereafter</w:t>
            </w:r>
          </w:p>
        </w:tc>
        <w:tc>
          <w:tcPr>
            <w:tcW w:w="2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4,787</w:t>
            </w:r>
          </w:p>
        </w:tc>
      </w:tr>
      <w:tr>
        <w:trPr>
          <w:trHeight w:val="101"/>
        </w:trPr>
        <w:tc>
          <w:tcPr>
            <w:tcW w:w="7540" w:type="dxa"/>
            <w:vAlign w:val="bottom"/>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Total undiscounted lease payments</w:t>
            </w:r>
          </w:p>
        </w:tc>
        <w:tc>
          <w:tcPr>
            <w:tcW w:w="22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52,237</w:t>
            </w:r>
          </w:p>
        </w:tc>
      </w:tr>
      <w:tr>
        <w:trPr>
          <w:trHeight w:val="101"/>
        </w:trPr>
        <w:tc>
          <w:tcPr>
            <w:tcW w:w="754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color w:val="auto"/>
              </w:rPr>
              <w:t>Less amounts representing interest</w:t>
            </w:r>
          </w:p>
        </w:tc>
        <w:tc>
          <w:tcPr>
            <w:tcW w:w="22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(3,244)</w:t>
            </w:r>
          </w:p>
        </w:tc>
      </w:tr>
      <w:tr>
        <w:trPr>
          <w:trHeight w:val="101"/>
        </w:trPr>
        <w:tc>
          <w:tcPr>
            <w:tcW w:w="7540" w:type="dxa"/>
            <w:vAlign w:val="bottom"/>
            <w:tcBorders>
              <w:bottom w:val="single" w:sz="8" w:color="CCEEFF"/>
            </w:tcBorders>
            <w:shd w:val="clear" w:color="auto" w:fill="CCEEFF"/>
          </w:tcPr>
          <w:p>
            <w:pPr>
              <w:ind w:left="80"/>
              <w:spacing w:after="0" w:line="101" w:lineRule="exact"/>
              <w:rPr>
                <w:sz w:val="20"/>
                <w:szCs w:val="20"/>
                <w:color w:val="auto"/>
              </w:rPr>
            </w:pPr>
            <w:r>
              <w:rPr>
                <w:rFonts w:ascii="Times New Roman" w:cs="Times New Roman" w:eastAsia="Times New Roman" w:hAnsi="Times New Roman"/>
                <w:sz w:val="11"/>
                <w:szCs w:val="11"/>
                <w:color w:val="auto"/>
              </w:rPr>
              <w:t>Operating lease liabilities</w:t>
            </w:r>
          </w:p>
        </w:tc>
        <w:tc>
          <w:tcPr>
            <w:tcW w:w="2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4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48,993</w:t>
            </w:r>
          </w:p>
        </w:tc>
      </w:tr>
      <w:tr>
        <w:trPr>
          <w:trHeight w:val="20"/>
        </w:trPr>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information related to our operating leases was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54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326"/>
              <w:spacing w:after="0" w:line="101"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366"/>
              <w:spacing w:after="0" w:line="101"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66"/>
              <w:spacing w:after="0" w:line="101" w:lineRule="exact"/>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01"/>
        </w:trPr>
        <w:tc>
          <w:tcPr>
            <w:tcW w:w="54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Operating lease cost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13,712</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12,801</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11,428</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amounts included in the measurement of operating lease liabilities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13,684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12,560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10,574</w:t>
            </w:r>
          </w:p>
        </w:tc>
        <w:tc>
          <w:tcPr>
            <w:tcW w:w="0" w:type="dxa"/>
            <w:vAlign w:val="bottom"/>
          </w:tcPr>
          <w:p>
            <w:pPr>
              <w:spacing w:after="0"/>
              <w:rPr>
                <w:sz w:val="1"/>
                <w:szCs w:val="1"/>
                <w:color w:val="auto"/>
              </w:rPr>
            </w:pPr>
          </w:p>
        </w:tc>
      </w:tr>
      <w:tr>
        <w:trPr>
          <w:trHeight w:val="292"/>
        </w:trPr>
        <w:tc>
          <w:tcPr>
            <w:tcW w:w="5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0" w:type="dxa"/>
            <w:vAlign w:val="bottom"/>
          </w:tcPr>
          <w:p>
            <w:pPr>
              <w:spacing w:after="0"/>
              <w:rPr>
                <w:sz w:val="1"/>
                <w:szCs w:val="1"/>
                <w:color w:val="auto"/>
              </w:rPr>
            </w:pPr>
          </w:p>
        </w:tc>
      </w:tr>
      <w:tr>
        <w:trPr>
          <w:trHeight w:val="101"/>
        </w:trPr>
        <w:tc>
          <w:tcPr>
            <w:tcW w:w="54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Weighted average remaining lease term</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4.4 years</w:t>
            </w: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color w:val="auto"/>
              </w:rPr>
              <w:t>5.0 years</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3"/>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w w:val="96"/>
              </w:rPr>
              <w:t>2.72 %</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2.34 %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8. GOODWILL AND OTHER INTANGIBLE ASSETS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Goodwill</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At December 31, 2024 and 2023, the carrying amount of the Company’s goodwill was $155.8 million, respectively.</w:t>
      </w:r>
    </w:p>
    <w:p>
      <w:pPr>
        <w:spacing w:after="0" w:line="173"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The Company performs its annual goodwill impairment test in the fourth quarter of every year, or more frequently if events or changes in circumstance indicate the asset might be impaired. It was determined during the annual impairment testing that no impairment was needed for the years ended December 31, 2024, 2023 and 2022.</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change in Goodwill for the years ended December 31, 2024, 2023 and 2022:</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r>
      <w:tr>
        <w:trPr>
          <w:trHeight w:val="146"/>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40" w:type="dxa"/>
            <w:vAlign w:val="bottom"/>
          </w:tcPr>
          <w:p>
            <w:pPr>
              <w:spacing w:after="0"/>
              <w:rPr>
                <w:sz w:val="12"/>
                <w:szCs w:val="12"/>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Beginning of year</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r>
      <w:tr>
        <w:trPr>
          <w:trHeight w:val="151"/>
        </w:trPr>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Impairment</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End of year</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155,797</w:t>
            </w: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Other Intangible Assets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carrying amount and accumulated amortization of intangible assets that are amortizable, all of which are core deposit intangibles: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carrying value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10,204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10,204</w:t>
            </w:r>
          </w:p>
        </w:tc>
      </w:tr>
      <w:tr>
        <w:trPr>
          <w:trHeight w:val="151"/>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(6,308)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(5,145)</w:t>
            </w:r>
          </w:p>
        </w:tc>
      </w:tr>
      <w:tr>
        <w:trPr>
          <w:trHeight w:val="141"/>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3,896</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5,059</w:t>
            </w:r>
          </w:p>
        </w:tc>
      </w:tr>
      <w:tr>
        <w:trPr>
          <w:trHeight w:val="20"/>
        </w:trPr>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Amortization expense recognized on intangible assets was $1.2 million, $1.4 million and $1.9 million for the years ended December 31, 2024, 2023 and 2022, respectively.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Estimated amortization expense for 2025 through 2029 and thereafter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r>
      <w:tr>
        <w:trPr>
          <w:trHeight w:val="14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70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w:t>
            </w:r>
          </w:p>
        </w:tc>
      </w:tr>
      <w:tr>
        <w:trPr>
          <w:trHeight w:val="151"/>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w:t>
            </w:r>
          </w:p>
        </w:tc>
      </w:tr>
      <w:tr>
        <w:trPr>
          <w:trHeight w:val="151"/>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r>
      <w:tr>
        <w:trPr>
          <w:trHeight w:val="151"/>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r>
      <w:tr>
        <w:trPr>
          <w:trHeight w:val="151"/>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r>
      <w:tr>
        <w:trPr>
          <w:trHeight w:val="151"/>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w:t>
            </w:r>
          </w:p>
        </w:tc>
      </w:tr>
      <w:tr>
        <w:trPr>
          <w:trHeight w:val="141"/>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3,896</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9. RESTRICTED STOCK</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summary of restricted stock:</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61"/>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capital stock</w:t>
            </w:r>
          </w:p>
        </w:tc>
        <w:tc>
          <w:tcPr>
            <w:tcW w:w="44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41,794</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73,475</w:t>
            </w:r>
          </w:p>
        </w:tc>
      </w:tr>
      <w:tr>
        <w:trPr>
          <w:trHeight w:val="179"/>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FRB capital stock</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27,147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25,110</w:t>
            </w:r>
          </w:p>
        </w:tc>
      </w:tr>
      <w:tr>
        <w:trPr>
          <w:trHeight w:val="18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ACBB capital stock</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51"/>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w:t>
            </w:r>
          </w:p>
        </w:tc>
        <w:tc>
          <w:tcPr>
            <w:tcW w:w="200" w:type="dxa"/>
            <w:vAlign w:val="bottom"/>
          </w:tcPr>
          <w:p>
            <w:pPr>
              <w:spacing w:after="0"/>
              <w:rPr>
                <w:sz w:val="13"/>
                <w:szCs w:val="13"/>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69,106</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98,750</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FHLBNY Capital Stock</w:t>
      </w:r>
    </w:p>
    <w:p>
      <w:pPr>
        <w:spacing w:after="0" w:line="9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is a member of the FHLBNY. Membership requires the purchase of shares of FHLBNY capital stock at $100 per share. Members are required to own a particular amount of stock based on the level of borrowings and other factors. The Bank decreased its outstanding FHLBNY advances by $705.0 million during the year ended December 31, 2024, resulting in a decrease of required FHLBNY stock. The Bank owned 417,937 shares and 734,751 shares at December 31, 2024 and 2023, respectively. The Bank recorded dividend income on the FHLBNY capital stock of $5.1 million, $5.4 million and $853 thousand during the years ended December 31, 2024, 2023 and 2022, respectively.</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FRB Capital Stock</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 is a member of the FRB. Membership requires the purchase of shares of FRB capital stock at $50 per share. The Bank owned 542,943 shares at December 31, 2024 and 502,197 shares at December 31, 2023. The Bank recorded dividend income on the FRB capital stock of $1.1 million, $1.0 million, and $828 thousand during the years ended December 31, 2024, 2023, and 2022, respectively.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ACBB Capital Stock</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Bank has a relationship with ACBB. The relationship requires the purchase of shares of ACBB capital stock between $2,500 and $3,250 per share. The Bank owned 60 shares at December 31, 2024 and 2023. The Bank did not record dividend income on the ACBB capital stock during the year ended December 31, 2024. The Bank recorded dividend income on the ACBB capital stock of $2 thousand during the year ended December 31, 2023, and $1 thousand during the year ended December 31, 2022.</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10. DEPOSITS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Deposits are summarized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3"/>
        </w:trPr>
        <w:tc>
          <w:tcPr>
            <w:tcW w:w="2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760" w:type="dxa"/>
            <w:vAlign w:val="bottom"/>
            <w:tcBorders>
              <w:bottom w:val="single" w:sz="8" w:color="auto"/>
            </w:tcBorders>
          </w:tcPr>
          <w:p>
            <w:pPr>
              <w:spacing w:after="0"/>
              <w:rPr>
                <w:sz w:val="12"/>
                <w:szCs w:val="12"/>
                <w:color w:val="auto"/>
              </w:rPr>
            </w:pPr>
          </w:p>
        </w:tc>
      </w:tr>
      <w:tr>
        <w:trPr>
          <w:trHeight w:val="128"/>
        </w:trPr>
        <w:tc>
          <w:tcPr>
            <w:tcW w:w="2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1"/>
        </w:trPr>
        <w:tc>
          <w:tcPr>
            <w:tcW w:w="2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5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18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Liability</w:t>
            </w:r>
          </w:p>
        </w:tc>
      </w:tr>
      <w:tr>
        <w:trPr>
          <w:trHeight w:val="146"/>
        </w:trPr>
        <w:tc>
          <w:tcPr>
            <w:tcW w:w="4840" w:type="dxa"/>
            <w:vAlign w:val="bottom"/>
            <w:tcBorders>
              <w:top w:val="single" w:sz="8" w:color="auto"/>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6"/>
                <w:szCs w:val="16"/>
                <w:color w:val="auto"/>
                <w:vertAlign w:val="superscript"/>
              </w:rPr>
              <w:t>(1)</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2.98</w:t>
            </w:r>
          </w:p>
        </w:tc>
        <w:tc>
          <w:tcPr>
            <w:tcW w:w="26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1,927,909</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2,335,490</w:t>
            </w:r>
          </w:p>
        </w:tc>
      </w:tr>
      <w:tr>
        <w:trPr>
          <w:trHeight w:val="151"/>
        </w:trPr>
        <w:tc>
          <w:tcPr>
            <w:tcW w:w="5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CDs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1,069,081</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1,607,683</w:t>
            </w:r>
          </w:p>
        </w:tc>
      </w:tr>
      <w:tr>
        <w:trPr>
          <w:trHeight w:val="151"/>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Money market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3.01</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4,198,784</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3,125,996</w:t>
            </w:r>
          </w:p>
        </w:tc>
      </w:tr>
      <w:tr>
        <w:trPr>
          <w:trHeight w:val="151"/>
        </w:trPr>
        <w:tc>
          <w:tcPr>
            <w:tcW w:w="5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Interest-bearing checking</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1,079,823</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515,987</w:t>
            </w:r>
          </w:p>
        </w:tc>
      </w:tr>
      <w:tr>
        <w:trPr>
          <w:trHeight w:val="151"/>
        </w:trPr>
        <w:tc>
          <w:tcPr>
            <w:tcW w:w="500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Non-interest-bearing checking </w:t>
            </w:r>
            <w:r>
              <w:rPr>
                <w:rFonts w:ascii="Times New Roman" w:cs="Times New Roman" w:eastAsia="Times New Roman" w:hAnsi="Times New Roman"/>
                <w:sz w:val="17"/>
                <w:szCs w:val="17"/>
                <w:color w:val="auto"/>
                <w:vertAlign w:val="superscript"/>
              </w:rPr>
              <w:t>(1)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3,410,544</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2,945,499</w:t>
            </w:r>
          </w:p>
        </w:tc>
      </w:tr>
      <w:tr>
        <w:trPr>
          <w:trHeight w:val="141"/>
        </w:trPr>
        <w:tc>
          <w:tcPr>
            <w:tcW w:w="5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2.09</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11,686,141</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160" w:type="dxa"/>
            <w:vAlign w:val="bottom"/>
            <w:gridSpan w:val="2"/>
          </w:tcPr>
          <w:p>
            <w:pPr>
              <w:spacing w:after="0"/>
              <w:rPr>
                <w:sz w:val="12"/>
                <w:szCs w:val="12"/>
                <w:color w:val="auto"/>
              </w:rPr>
            </w:pPr>
          </w:p>
        </w:tc>
        <w:tc>
          <w:tcPr>
            <w:tcW w:w="1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10,530,655</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r>
    </w:tbl>
    <w:p>
      <w:pPr>
        <w:spacing w:after="0" w:line="24"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8"/>
          <w:szCs w:val="18"/>
          <w:color w:val="auto"/>
          <w:vertAlign w:val="superscript"/>
        </w:rPr>
        <w:t>(1)</w:t>
      </w:r>
      <w:r>
        <w:rPr>
          <w:sz w:val="20"/>
          <w:szCs w:val="20"/>
          <w:color w:val="auto"/>
        </w:rPr>
        <w:tab/>
      </w:r>
      <w:r>
        <w:rPr>
          <w:rFonts w:ascii="Times New Roman" w:cs="Times New Roman" w:eastAsia="Times New Roman" w:hAnsi="Times New Roman"/>
          <w:sz w:val="12"/>
          <w:szCs w:val="12"/>
          <w:color w:val="auto"/>
        </w:rPr>
        <w:t>Includes mortgage escrow deposits</w:t>
      </w:r>
      <w:r>
        <w:rPr>
          <w:rFonts w:ascii="Times New Roman" w:cs="Times New Roman" w:eastAsia="Times New Roman" w:hAnsi="Times New Roman"/>
          <w:sz w:val="13"/>
          <w:szCs w:val="13"/>
          <w:color w:val="auto"/>
        </w:rPr>
        <w:t>.</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scheduled maturities of CDs outstanding at December 31, 2024:</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7"/>
              </w:rPr>
              <w:t>Maturing</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Weighted Average</w:t>
            </w:r>
          </w:p>
        </w:tc>
      </w:tr>
      <w:tr>
        <w:trPr>
          <w:trHeight w:val="160"/>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Balance</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Interest Rate</w:t>
            </w:r>
          </w:p>
        </w:tc>
      </w:tr>
      <w:tr>
        <w:trPr>
          <w:trHeight w:val="146"/>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873,750</w:t>
            </w:r>
          </w:p>
        </w:tc>
        <w:tc>
          <w:tcPr>
            <w:tcW w:w="2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1"/>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75,616</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40" w:type="dxa"/>
            <w:vAlign w:val="bottom"/>
          </w:tcPr>
          <w:p>
            <w:pPr>
              <w:spacing w:after="0"/>
              <w:rPr>
                <w:sz w:val="13"/>
                <w:szCs w:val="13"/>
                <w:color w:val="auto"/>
              </w:rPr>
            </w:pPr>
          </w:p>
        </w:tc>
      </w:tr>
      <w:tr>
        <w:trPr>
          <w:trHeight w:val="15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12,401</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140" w:type="dxa"/>
            <w:vAlign w:val="bottom"/>
            <w:shd w:val="clear" w:color="auto" w:fill="CCEEFF"/>
          </w:tcPr>
          <w:p>
            <w:pPr>
              <w:spacing w:after="0"/>
              <w:rPr>
                <w:sz w:val="13"/>
                <w:szCs w:val="13"/>
                <w:color w:val="auto"/>
              </w:rPr>
            </w:pPr>
          </w:p>
        </w:tc>
      </w:tr>
      <w:tr>
        <w:trPr>
          <w:trHeight w:val="151"/>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103,163</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40" w:type="dxa"/>
            <w:vAlign w:val="bottom"/>
          </w:tcPr>
          <w:p>
            <w:pPr>
              <w:spacing w:after="0"/>
              <w:rPr>
                <w:sz w:val="13"/>
                <w:szCs w:val="13"/>
                <w:color w:val="auto"/>
              </w:rPr>
            </w:pPr>
          </w:p>
        </w:tc>
      </w:tr>
      <w:tr>
        <w:trPr>
          <w:trHeight w:val="15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4,139</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140" w:type="dxa"/>
            <w:vAlign w:val="bottom"/>
            <w:shd w:val="clear" w:color="auto" w:fill="CCEEFF"/>
          </w:tcPr>
          <w:p>
            <w:pPr>
              <w:spacing w:after="0"/>
              <w:rPr>
                <w:sz w:val="13"/>
                <w:szCs w:val="13"/>
                <w:color w:val="auto"/>
              </w:rPr>
            </w:pPr>
          </w:p>
        </w:tc>
      </w:tr>
      <w:tr>
        <w:trPr>
          <w:trHeight w:val="151"/>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2030 and beyond</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40" w:type="dxa"/>
            <w:vAlign w:val="bottom"/>
            <w:tcBorders>
              <w:bottom w:val="single" w:sz="8" w:color="CCEEFF"/>
            </w:tcBorders>
          </w:tcPr>
          <w:p>
            <w:pPr>
              <w:spacing w:after="0"/>
              <w:rPr>
                <w:sz w:val="13"/>
                <w:szCs w:val="13"/>
                <w:color w:val="auto"/>
              </w:rPr>
            </w:pPr>
          </w:p>
        </w:tc>
      </w:tr>
      <w:tr>
        <w:trPr>
          <w:trHeight w:val="141"/>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1,069,081</w:t>
            </w:r>
          </w:p>
        </w:tc>
        <w:tc>
          <w:tcPr>
            <w:tcW w:w="2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20"/>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CDs that met or exceeded the Federal Deposit Insurance Corporation (“FDIC”) insurance limit of $250 thousand were $93.3 million and $115.3 million at December 31, 2024 and 2023, respectively.</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11. DERIVATIVES AND HEDGING ACTIVITIES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29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Effect of Derivatives on the Consolidated Statements of Financial Condition</w:t>
      </w:r>
    </w:p>
    <w:p>
      <w:pPr>
        <w:spacing w:after="0" w:line="17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tables below present the notional amounts and the fair values of the Company’s derivative financial instruments as of December 31, 2024 and December 31, 2023.</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Cash flow hedges - interest rate products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8,318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12,492</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Derivatives not designated as hedging instruments: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products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1,665,949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1,682,961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hedges - interest rate products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 hedges - interest rate products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350,000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not designated as hedging instruments: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Interest rate products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1,665,949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1,682,961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 participations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141,080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93,891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Effect of Fair Value and Cash Flow Hedge Accounting on the Consolidated Statements of Operations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table below presents the effect of the Company’s derivative financial instruments on the consolidated statements of operations as of December 31, 2024 and December 31, 2023.</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60" w:type="dxa"/>
            <w:vAlign w:val="bottom"/>
          </w:tcPr>
          <w:p>
            <w:pPr>
              <w:spacing w:after="0"/>
              <w:rPr>
                <w:sz w:val="12"/>
                <w:szCs w:val="12"/>
                <w:color w:val="auto"/>
              </w:rPr>
            </w:pPr>
          </w:p>
        </w:tc>
        <w:tc>
          <w:tcPr>
            <w:tcW w:w="780" w:type="dxa"/>
            <w:vAlign w:val="bottom"/>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0" w:type="dxa"/>
            <w:vAlign w:val="bottom"/>
          </w:tcPr>
          <w:p>
            <w:pPr>
              <w:spacing w:after="0"/>
              <w:rPr>
                <w:sz w:val="1"/>
                <w:szCs w:val="1"/>
                <w:color w:val="auto"/>
              </w:rPr>
            </w:pPr>
          </w:p>
        </w:tc>
      </w:tr>
      <w:tr>
        <w:trPr>
          <w:trHeight w:val="165"/>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60" w:type="dxa"/>
            <w:vAlign w:val="bottom"/>
          </w:tcPr>
          <w:p>
            <w:pPr>
              <w:spacing w:after="0"/>
              <w:rPr>
                <w:sz w:val="14"/>
                <w:szCs w:val="14"/>
                <w:color w:val="auto"/>
              </w:rPr>
            </w:pPr>
          </w:p>
        </w:tc>
        <w:tc>
          <w:tcPr>
            <w:tcW w:w="780" w:type="dxa"/>
            <w:vAlign w:val="bottom"/>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0" w:type="dxa"/>
            <w:vAlign w:val="bottom"/>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Effects of fair value or cash flow hedges are recorded</w:t>
            </w: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1,607</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10,008</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effects of fair value and cash flow hedging:</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Gain or (loss) on fair value hedging relationships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contracts:</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Hedged items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(3,976)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5,583</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or (loss) on cash flow hedging relationships</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Interest contracts: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Loss reclassified from AOCI into income</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10,008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Fair Value Hedges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and December 31, 2023, the Company posted $2.7 million and $6.5 million, respectively to the Chicago Mercantile Exchange ("CME") clearing house related to the fair value derivatives settled daily to market. The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Company pays an average fixed rate of 4.82% and receives a floating rate based on the US federal funds effective rate for the life of the agreement without an exchange of the underlying notional amount.</w:t>
      </w:r>
    </w:p>
    <w:p>
      <w:pPr>
        <w:spacing w:after="0" w:line="114"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amortized cost basis of the closed portfolio of the fixed rate mortgage loans on December 31, 2024 totaled $692.2 million. The amount identified as the last-of-layer in the open hedge relationship was $500.0 million, which is the amount of loans in the closed portfolio anticipated to be outstanding for the designated hedge period. The basis adjustment associated with the hedged item was a $2.6 million asset as of December 31, 2024, which would be allocated across the entire remaining closed pool upon termination or maturity of the hedged relationship.</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amortized cost basis of the closed portfolio of the fixed rate mortgage loans on December 31, 2023 totaled $729.5 million. The amount identified as the last-of-layer in the open hedge relationship was $500.0 million, which is the amount of loans in the closed portfolio anticipated to be outstanding for the designated hedge period. The basis adjustment associated with the hedged item was a $6.6 million asset as of December 31, 2023, which would be allocated across the entire remaining closed pool upon termination or maturity of the hedged relationship.</w:t>
      </w:r>
    </w:p>
    <w:p>
      <w:pPr>
        <w:spacing w:after="0" w:line="13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years ended December 31, 2024 and 2023, the Company recorded a $1.6 million and $561 thousand, respectively, credit from the swap transaction as a component of interest income in the consolidated statements of operations, respectively.</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and 2023, the following amounts were recorded on the consolidated statements of financial condition related to cumulative basis adjustment for fair value hedges: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4"/>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1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00" w:type="dxa"/>
            <w:vAlign w:val="bottom"/>
            <w:gridSpan w:val="2"/>
          </w:tcPr>
          <w:p>
            <w:pPr>
              <w:jc w:val="center"/>
              <w:ind w:left="129"/>
              <w:spacing w:after="0" w:line="82" w:lineRule="exact"/>
              <w:rPr>
                <w:sz w:val="20"/>
                <w:szCs w:val="20"/>
                <w:color w:val="auto"/>
              </w:rPr>
            </w:pPr>
            <w:r>
              <w:rPr>
                <w:rFonts w:ascii="Times New Roman" w:cs="Times New Roman" w:eastAsia="Times New Roman" w:hAnsi="Times New Roman"/>
                <w:sz w:val="9"/>
                <w:szCs w:val="9"/>
                <w:b w:val="1"/>
                <w:bCs w:val="1"/>
                <w:color w:val="auto"/>
              </w:rPr>
              <w:t>Cumulative Amount of Fair</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20" w:type="dxa"/>
            <w:vAlign w:val="bottom"/>
            <w:gridSpan w:val="2"/>
          </w:tcPr>
          <w:p>
            <w:pPr>
              <w:jc w:val="center"/>
              <w:ind w:left="149"/>
              <w:spacing w:after="0" w:line="82" w:lineRule="exact"/>
              <w:rPr>
                <w:sz w:val="20"/>
                <w:szCs w:val="20"/>
                <w:color w:val="auto"/>
              </w:rPr>
            </w:pPr>
            <w:r>
              <w:rPr>
                <w:rFonts w:ascii="Times New Roman" w:cs="Times New Roman" w:eastAsia="Times New Roman" w:hAnsi="Times New Roman"/>
                <w:sz w:val="9"/>
                <w:szCs w:val="9"/>
                <w:b w:val="1"/>
                <w:bCs w:val="1"/>
                <w:color w:val="auto"/>
              </w:rPr>
              <w:t>Cumulative Amount of Fair</w:t>
            </w: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00" w:type="dxa"/>
            <w:vAlign w:val="bottom"/>
            <w:gridSpan w:val="2"/>
          </w:tcPr>
          <w:p>
            <w:pPr>
              <w:jc w:val="center"/>
              <w:ind w:left="129"/>
              <w:spacing w:after="0" w:line="111" w:lineRule="exact"/>
              <w:rPr>
                <w:sz w:val="20"/>
                <w:szCs w:val="20"/>
                <w:color w:val="auto"/>
              </w:rPr>
            </w:pPr>
            <w:r>
              <w:rPr>
                <w:rFonts w:ascii="Times New Roman" w:cs="Times New Roman" w:eastAsia="Times New Roman" w:hAnsi="Times New Roman"/>
                <w:sz w:val="11"/>
                <w:szCs w:val="11"/>
                <w:b w:val="1"/>
                <w:bCs w:val="1"/>
                <w:color w:val="auto"/>
                <w:w w:val="96"/>
              </w:rPr>
              <w:t>Value Hedging Adjustment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20" w:type="dxa"/>
            <w:vAlign w:val="bottom"/>
            <w:gridSpan w:val="2"/>
          </w:tcPr>
          <w:p>
            <w:pPr>
              <w:jc w:val="center"/>
              <w:ind w:left="149"/>
              <w:spacing w:after="0" w:line="111" w:lineRule="exact"/>
              <w:rPr>
                <w:sz w:val="20"/>
                <w:szCs w:val="20"/>
                <w:color w:val="auto"/>
              </w:rPr>
            </w:pPr>
            <w:r>
              <w:rPr>
                <w:rFonts w:ascii="Times New Roman" w:cs="Times New Roman" w:eastAsia="Times New Roman" w:hAnsi="Times New Roman"/>
                <w:sz w:val="11"/>
                <w:szCs w:val="11"/>
                <w:b w:val="1"/>
                <w:bCs w:val="1"/>
                <w:color w:val="auto"/>
                <w:w w:val="96"/>
              </w:rPr>
              <w:t>Value Hedging Adjustment</w:t>
            </w: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Carrying Amount of the</w:t>
            </w:r>
          </w:p>
        </w:tc>
        <w:tc>
          <w:tcPr>
            <w:tcW w:w="240" w:type="dxa"/>
            <w:vAlign w:val="bottom"/>
          </w:tcPr>
          <w:p>
            <w:pPr>
              <w:spacing w:after="0"/>
              <w:rPr>
                <w:sz w:val="9"/>
                <w:szCs w:val="9"/>
                <w:color w:val="auto"/>
              </w:rPr>
            </w:pPr>
          </w:p>
        </w:tc>
        <w:tc>
          <w:tcPr>
            <w:tcW w:w="126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9"/>
              </w:rPr>
              <w:t>Included in the Carrying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Carrying Amount of the</w:t>
            </w:r>
          </w:p>
        </w:tc>
        <w:tc>
          <w:tcPr>
            <w:tcW w:w="260" w:type="dxa"/>
            <w:vAlign w:val="bottom"/>
          </w:tcPr>
          <w:p>
            <w:pPr>
              <w:spacing w:after="0"/>
              <w:rPr>
                <w:sz w:val="9"/>
                <w:szCs w:val="9"/>
                <w:color w:val="auto"/>
              </w:rPr>
            </w:pPr>
          </w:p>
        </w:tc>
        <w:tc>
          <w:tcPr>
            <w:tcW w:w="12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Included in the Carrying</w:t>
            </w:r>
          </w:p>
        </w:tc>
        <w:tc>
          <w:tcPr>
            <w:tcW w:w="0" w:type="dxa"/>
            <w:vAlign w:val="bottom"/>
          </w:tcPr>
          <w:p>
            <w:pPr>
              <w:spacing w:after="0"/>
              <w:rPr>
                <w:sz w:val="1"/>
                <w:szCs w:val="1"/>
                <w:color w:val="auto"/>
              </w:rPr>
            </w:pPr>
          </w:p>
        </w:tc>
      </w:tr>
      <w:tr>
        <w:trPr>
          <w:trHeight w:val="111"/>
        </w:trPr>
        <w:tc>
          <w:tcPr>
            <w:tcW w:w="30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Amount of the Hedged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Amount of the Hedged</w:t>
            </w:r>
          </w:p>
        </w:tc>
        <w:tc>
          <w:tcPr>
            <w:tcW w:w="0" w:type="dxa"/>
            <w:vAlign w:val="bottom"/>
          </w:tcPr>
          <w:p>
            <w:pPr>
              <w:spacing w:after="0"/>
              <w:rPr>
                <w:sz w:val="1"/>
                <w:szCs w:val="1"/>
                <w:color w:val="auto"/>
              </w:rPr>
            </w:pPr>
          </w:p>
        </w:tc>
      </w:tr>
      <w:tr>
        <w:trPr>
          <w:trHeight w:val="130"/>
        </w:trPr>
        <w:tc>
          <w:tcPr>
            <w:tcW w:w="30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Hedged Assets</w:t>
            </w: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Assets</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Hedged Assets</w:t>
            </w: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01"/>
        </w:trPr>
        <w:tc>
          <w:tcPr>
            <w:tcW w:w="30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Fixed Rate Loans</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694,774</w:t>
            </w:r>
          </w:p>
        </w:tc>
        <w:tc>
          <w:tcPr>
            <w:tcW w:w="2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2,615</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736,098</w:t>
            </w:r>
          </w:p>
        </w:tc>
        <w:tc>
          <w:tcPr>
            <w:tcW w:w="2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6,591</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Cash Flow Hedges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uses cash flow hedges to protect against variability in cash flows associated with existing or forecasted issuances of short-term borrowing. Cash flow hedges on liabilities involve the receipt of variable amounts from a counterparty in exchange for the Company making fixed-rate payments over the life of the agreements without exchange of the underlying notional amount.</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During the next twelve months, the Company estimates that an additional $6.1 million will be reclassified as a decrease to interest expense.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During the years ended December 31, 2024, 2023 and 2022, the Company did not terminate any derivatives.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table below presents the effect of the cash flow hedge accounting on accumulated other comprehensive loss as of December 31, 2024, 2023 and 2022.</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r>
      <w:tr>
        <w:trPr>
          <w:trHeight w:val="14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gain recognized in other comprehensive income (loss)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(8,453)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14,412</w:t>
            </w:r>
          </w:p>
        </w:tc>
      </w:tr>
      <w:tr>
        <w:trPr>
          <w:trHeight w:val="160"/>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(Loss) gain reclassified from other comprehensive income into interest expense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(10,008)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w:t>
            </w:r>
          </w:p>
        </w:tc>
      </w:tr>
    </w:tbl>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All cash flow hedges are recorded gross on the Consolidated statement of financial condition.</w:t>
      </w:r>
    </w:p>
    <w:p>
      <w:pPr>
        <w:spacing w:after="0" w:line="173"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December 31, 2024 and 2023, the Company did not post collateral to the third-party counterparties. As of December 31, 2024 and 2023, the Company received $9.1 million and $13.5 million, respectively, in collateral from its third-party counterparties under the agreements in a net asset position. Additionally, the Bank entered certain cash flow hedges that are CME exchanged and settled daily to market. As of December 31, 2024, the Company posted $856 thousand to the CME clearing house that are accounted for as settlements of the derivative asset. As of December 31, 2023, the Company posted $4.9 million to the CME clearing house that are accounted for as settlements of the derivative liabilities.</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Freestanding Derivatives</w:t>
      </w:r>
    </w:p>
    <w:p>
      <w:pPr>
        <w:spacing w:after="0" w:line="175"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ASC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0"/>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0"/>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Count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146"/>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Included in derivative assets/liabilities:</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321,745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3,704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1,344,204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104,474</w:t>
            </w: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321,745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3,704</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1,344,204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104,474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20"/>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30"/>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0"/>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Count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146"/>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Included in derivative assets/liabilities:</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491,394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1,121,085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103,570</w:t>
            </w: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floors with borrower</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floors with borrower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40,761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491,394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10,985</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1,121,085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103,570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level interest rate floors with third-party counterparties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floors with third-party counterparties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40,761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620" w:type="dxa"/>
            <w:vAlign w:val="bottom"/>
            <w:tcBorders>
              <w:bottom w:val="single" w:sz="8" w:color="auto"/>
            </w:tcBorders>
          </w:tcPr>
          <w:p>
            <w:pPr>
              <w:spacing w:after="0"/>
              <w:rPr>
                <w:sz w:val="13"/>
                <w:szCs w:val="13"/>
                <w:color w:val="auto"/>
              </w:rPr>
            </w:pPr>
          </w:p>
        </w:tc>
      </w:tr>
      <w:tr>
        <w:trPr>
          <w:trHeight w:val="146"/>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derivative income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3,637</w:t>
            </w:r>
          </w:p>
        </w:tc>
      </w:tr>
    </w:tbl>
    <w:p>
      <w:pPr>
        <w:spacing w:after="0" w:line="148"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December 31, 2024 and 2023, the Company did not post collateral to its third-party</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counterparties. As of December 31, 2024 and 2023, the Company received $103.3 million and $94.7 million, respectively, in collateral from its third-party counterparties under the agreements in a net asset position.</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Risk Participation Agreements</w:t>
      </w:r>
    </w:p>
    <w:p>
      <w:pPr>
        <w:spacing w:after="0" w:line="175"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Company enters into risk participation agreements to manage economic risks but does not designate the instruments in hedge relationships. As of December 31, 2024 and December 31, 2023, the notional amounts of risk participation agreements for derivative liabilities were $141.1 million and $93.9 million, respectively. The related fair values of the Company’s risk participation agreements as of December 31, 2024 and December 31, 2023 were $10 thousand and $24 thousand, respectively.</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Credit Risk Related Contingent Features</w:t>
      </w:r>
    </w:p>
    <w:p>
      <w:pPr>
        <w:spacing w:after="0" w:line="175"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December 31, 2024, there were no derivatives in a net liability position, and therefore the termination value was zero. There were no provisions breached for the year ended December 31, 2024.</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12. FHLBNY ADVANCES</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had borrowings from the FHLBNY (“Advances”) totaling $608.0 million and $1.31 billion at December 31, 2024 and 2023, respectively, all of which were fixed rate. In accordance with its Advances, Collateral Pledge and Security Agreement with the FHLBNY, the Bank was eligible to borrow or secure municipal letters of credit up to $3.87 billion as of December 31, 2024 and $4.09 billion as of December 31, 2023, and maintained sufficient qualifying collateral, as defined by the FHLBNY. We pledge real estate loans including Residential, Multifamily and CRE. At December 31, 2024 there were no callable Advances and the Bank had $1.84 billion of remaining borrowing capacity through the FHLBNY.</w:t>
      </w:r>
    </w:p>
    <w:p>
      <w:pPr>
        <w:spacing w:after="0" w:line="13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the Company had $454 thousand of prepayment penalty expense recognized as a loss on extinguishment of debt. During the years ended December 31, 2023 and 2022, the Company did not have any prepayment penalty expense recognized as a loss on extinguishment of debt.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is a summary of FHLBNY extinguishments for the periods presented: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6"/>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360" w:type="dxa"/>
            <w:vAlign w:val="bottom"/>
          </w:tcPr>
          <w:p>
            <w:pPr>
              <w:spacing w:after="0"/>
              <w:rPr>
                <w:sz w:val="12"/>
                <w:szCs w:val="12"/>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r>
      <w:tr>
        <w:trPr>
          <w:trHeight w:val="141"/>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advances extinguished</w:t>
            </w: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1,805,000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2"/>
                <w:szCs w:val="12"/>
                <w:color w:val="auto"/>
              </w:rPr>
            </w:pPr>
          </w:p>
        </w:tc>
      </w:tr>
      <w:tr>
        <w:trPr>
          <w:trHeight w:val="151"/>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rate</w:t>
            </w:r>
          </w:p>
        </w:tc>
        <w:tc>
          <w:tcPr>
            <w:tcW w:w="3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5.28 %</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r>
      <w:tr>
        <w:trPr>
          <w:trHeight w:val="151"/>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454</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contractual maturities of FHLBNY advances for each of the next five years.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 fixed rate at rates from 4.85% to 5.67%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1,265,000</w:t>
            </w:r>
          </w:p>
        </w:tc>
      </w:tr>
      <w:tr>
        <w:trPr>
          <w:trHeight w:val="151"/>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Overnight, fixed rate at 4.67%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 fixed rate at rates from 4.54% to 4.84%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400,000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2027, fixed rate at 4.25%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w:t>
            </w:r>
          </w:p>
        </w:tc>
      </w:tr>
      <w:tr>
        <w:trPr>
          <w:trHeight w:val="15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 fixed rate at 4.04%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w:t>
            </w:r>
          </w:p>
        </w:tc>
      </w:tr>
      <w:tr>
        <w:trPr>
          <w:trHeight w:val="151"/>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2029, fixed rate at rates from 3.98% to 4.03%</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60,000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FHLBNY advances</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608,000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1,313,000</w:t>
            </w: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FHLBNY advances had a weighted average interest rate of 4.58% and 5.23% at December 31, 2024 and December 31, 2023, respectively.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13. SUBORDINATED DEBENTURES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SOFR) plus 495.1 basis points, payable quarterly in arrears on January 15, April 15, July 15, and October 15 of each year, commencing on October 15, 2029.</w:t>
      </w:r>
    </w:p>
    <w:p>
      <w:pPr>
        <w:spacing w:after="0" w:line="135"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282"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On May 6, 2022, the Company issued $160.0 million aggregate principal amount of fixed-to-floating rate subordinated notes due 2032 (“the Notes”). The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 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3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five years. From and including September 30, 2025 to the maturity date or early redemption date, the interest rate will reset quarterly to an annual interest rate equal to the then-current three-month CME Term SOFR plus 372 basis points.</w:t>
      </w:r>
    </w:p>
    <w:p>
      <w:pPr>
        <w:spacing w:after="0" w:line="131"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subordinated debentures totaled $272.3 million at December 31, 2024 and $200.2 million at December 31, 2023. Interest expense related to the subordinated debt was $13.8 million, $10.2 million and $10.6 million during the years ended December 31, 2024, 2023 and 2022, respectively. The subordinated debentures are included in tier 2 capital (with certain limitations applicable) under current regulatory guidelines and interpretations.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14. OTHER SHORT-TERM BORROWINGS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Repurchase Agreements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 utilizes securities sold under agreements to repurchase (“repurchase agreements”) as part of its borrowing policy to add liquidity. Repurchase agreements represent funds received from customers, generally on an overnight basis, which are collateralized by investment securities, of which 100% were pass-through MBS issued by GSEs. There were no repurchase agreements at December 31, 2024 and December 31, 2023.</w:t>
      </w:r>
    </w:p>
    <w:p>
      <w:pPr>
        <w:spacing w:after="0" w:line="12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Repurchase agreements are financing arrangements that at maturity, the securities underlying the agreements are returned to the Bank. The primary risk associated with these secured borrowings is the requirement to pledge a market value-based balance of collateral in excess of the borrowed amount. The excess collateral pledged represents an unsecured exposure to the lending counterparty. As the market value of the collateral changes, both through changes in discount rates and spreads as well as related cash flows, additional collateral may need to be pledged. In accordance with the Bank’s policies, eligible counterparties are defined and monitored to minimize exposure.</w:t>
      </w:r>
    </w:p>
    <w:p>
      <w:pPr>
        <w:spacing w:after="0" w:line="13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was no interest expense on repurchase agreements for the years ended December 31, 2024 and December 31, 2023. Interest expense on repurchase agreements for the year ended December 31, 2022 was $1 thousand.</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AFX</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 is a member of AFX, through which it may either borrow or lend funds on an overnight or short-term basis with other member institutions. The availability of funds changes daily. As of December 31, 2024 and December 31, 2023, the Bank had $50.0 million and zero, respectively, of such borrowings outstanding. Interest expense on AFX borrowings for the years ended December 31, 2024, 2023 and 2022 was $3 thousand, $101 thousand, and $1.4 million, respectively.</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15. INCOME TAXES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Company’s consolidated Federal, State and City income tax provisions were comprised of the following:</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expense</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Federal</w:t>
            </w:r>
          </w:p>
        </w:tc>
        <w:tc>
          <w:tcPr>
            <w:tcW w:w="52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20,170</w:t>
            </w:r>
          </w:p>
        </w:tc>
        <w:tc>
          <w:tcPr>
            <w:tcW w:w="52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24,469</w:t>
            </w:r>
          </w:p>
        </w:tc>
        <w:tc>
          <w:tcPr>
            <w:tcW w:w="240" w:type="dxa"/>
            <w:vAlign w:val="bottom"/>
          </w:tcPr>
          <w:p>
            <w:pPr>
              <w:spacing w:after="0"/>
              <w:rPr>
                <w:sz w:val="13"/>
                <w:szCs w:val="13"/>
                <w:color w:val="auto"/>
              </w:rPr>
            </w:pPr>
          </w:p>
        </w:tc>
        <w:tc>
          <w:tcPr>
            <w:tcW w:w="280" w:type="dxa"/>
            <w:vAlign w:val="bottom"/>
            <w:gridSpan w:val="2"/>
          </w:tcPr>
          <w:p>
            <w:pPr>
              <w:jc w:val="right"/>
              <w:ind w:right="19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39,492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State and city</w:t>
            </w:r>
          </w:p>
        </w:tc>
        <w:tc>
          <w:tcPr>
            <w:tcW w:w="2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8,479</w:t>
            </w:r>
          </w:p>
        </w:tc>
        <w:tc>
          <w:tcPr>
            <w:tcW w:w="2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15,681</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Total current expense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28,649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56,697</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Deferred expense</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Federal</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(5,179)</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1,393</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State and city</w:t>
            </w: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deferred expense</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(6,294)</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w:t>
            </w:r>
          </w:p>
        </w:tc>
        <w:tc>
          <w:tcPr>
            <w:tcW w:w="0" w:type="dxa"/>
            <w:vAlign w:val="bottom"/>
          </w:tcPr>
          <w:p>
            <w:pPr>
              <w:spacing w:after="0"/>
              <w:rPr>
                <w:sz w:val="1"/>
                <w:szCs w:val="1"/>
                <w:color w:val="auto"/>
              </w:rPr>
            </w:pPr>
          </w:p>
        </w:tc>
      </w:tr>
      <w:tr>
        <w:trPr>
          <w:trHeight w:val="141"/>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Pr>
          <w:p>
            <w:pPr>
              <w:spacing w:after="0"/>
              <w:rPr>
                <w:sz w:val="12"/>
                <w:szCs w:val="1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22,355</w:t>
            </w:r>
          </w:p>
        </w:tc>
        <w:tc>
          <w:tcPr>
            <w:tcW w:w="240" w:type="dxa"/>
            <w:vAlign w:val="bottom"/>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40,785</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preceding table excludes tax effects recorded directly to stockholders’ equity in connection with unrealized gains and losses on securities available-for-sale (including losses on such securities upon their transfer to held-to-maturity), interest rate derivatives, and adjustments to other comprehensive income relating to the minimum pension liability, unrecognized gains of pension and other postretirement obligations and changes in the non-credit component of OTTI. These tax effects are disclosed as part of the presentation of the consolidated statements of changes in stockholders’ equity and comprehensive income.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provision for income taxes differed from that computed at the Federal statutory rate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at federal statutory rate</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State and local taxes, net of federal income tax benefit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5,583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plan differences</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Investment in BOLI</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(2,047)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(2,173)</w:t>
            </w: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Surrender of BOLI</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7,415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Equity based compensation</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Salaries deduction limitation</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Other, net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(483)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22,355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40,785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79"/>
              </w:rPr>
              <w:t>%</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line="20" w:lineRule="exact"/>
              <w:rPr>
                <w:sz w:val="1"/>
                <w:szCs w:val="1"/>
                <w:color w:val="auto"/>
              </w:rPr>
            </w:pPr>
          </w:p>
        </w:tc>
      </w:tr>
      <w:tr>
        <w:trPr>
          <w:trHeight w:val="121"/>
        </w:trPr>
        <w:tc>
          <w:tcPr>
            <w:tcW w:w="4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43.46</w:t>
            </w:r>
          </w:p>
        </w:tc>
        <w:tc>
          <w:tcPr>
            <w:tcW w:w="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29.80</w:t>
            </w:r>
          </w:p>
        </w:tc>
        <w:tc>
          <w:tcPr>
            <w:tcW w:w="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28.01</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increase in effective tax rate in 2024 was primarily the result of $9.1 million of income expense related to the taxable gain and Modified Endowment Contract Tax on the surrender of legacy BOLI assets. Deferred tax assets and liabilities are recorded for temporary differences between the book and tax bases of assets and liabilities. The components of Federal, State and City deferred income tax assets and liabilities were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20" w:type="dxa"/>
            <w:vAlign w:val="bottom"/>
            <w:tcBorders>
              <w:bottom w:val="single" w:sz="8" w:color="auto"/>
            </w:tcBorders>
          </w:tcPr>
          <w:p>
            <w:pPr>
              <w:spacing w:after="0"/>
              <w:rPr>
                <w:sz w:val="13"/>
                <w:szCs w:val="13"/>
                <w:color w:val="auto"/>
              </w:rPr>
            </w:pPr>
          </w:p>
        </w:tc>
      </w:tr>
      <w:tr>
        <w:trPr>
          <w:trHeight w:val="146"/>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Deferred tax assets:</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Allowance for credit losses and other contingent liabilities</w:t>
            </w:r>
          </w:p>
        </w:tc>
        <w:tc>
          <w:tcPr>
            <w:tcW w:w="56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29,013</w:t>
            </w:r>
          </w:p>
        </w:tc>
        <w:tc>
          <w:tcPr>
            <w:tcW w:w="260" w:type="dxa"/>
            <w:vAlign w:val="bottom"/>
          </w:tcPr>
          <w:p>
            <w:pPr>
              <w:spacing w:after="0"/>
              <w:rPr>
                <w:sz w:val="13"/>
                <w:szCs w:val="13"/>
                <w:color w:val="auto"/>
              </w:rPr>
            </w:pPr>
          </w:p>
        </w:tc>
        <w:tc>
          <w:tcPr>
            <w:tcW w:w="380" w:type="dxa"/>
            <w:vAlign w:val="bottom"/>
            <w:gridSpan w:val="2"/>
          </w:tcPr>
          <w:p>
            <w:pPr>
              <w:jc w:val="right"/>
              <w:ind w:right="29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26,926</w:t>
            </w: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effect of other components of income on securities available-for-sale</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14,251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34,745</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Tax effect of other components of income on securities held-to-maturity</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6,048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7,216</w:t>
            </w: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liability</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15,034</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19,229</w:t>
            </w:r>
          </w:p>
        </w:tc>
      </w:tr>
      <w:tr>
        <w:trPr>
          <w:trHeight w:val="151"/>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3,546</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2,603</w:t>
            </w:r>
          </w:p>
        </w:tc>
      </w:tr>
      <w:tr>
        <w:trPr>
          <w:trHeight w:val="14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67,892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90,719</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Deferred tax liabilities: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effect of other components of income on derivatives</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3,261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2,368</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Employee benefit plans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3,259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w:t>
            </w: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effect of purchase accounting fair value adjustments</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Difference in book and tax carrying value of fixed assets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w:t>
            </w: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Difference in book and tax basis of unearned loan fees</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2,531</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3,239</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asset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14,179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18,266</w:t>
            </w: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States taxes</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2,166</w:t>
            </w:r>
          </w:p>
        </w:tc>
      </w:tr>
      <w:tr>
        <w:trPr>
          <w:trHeight w:val="151"/>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951</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w:t>
            </w:r>
          </w:p>
        </w:tc>
      </w:tr>
      <w:tr>
        <w:trPr>
          <w:trHeight w:val="14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2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24,650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31,546</w:t>
            </w:r>
          </w:p>
        </w:tc>
      </w:tr>
      <w:tr>
        <w:trPr>
          <w:trHeight w:val="141"/>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 (recorded in other assets)</w:t>
            </w:r>
          </w:p>
        </w:tc>
        <w:tc>
          <w:tcPr>
            <w:tcW w:w="280" w:type="dxa"/>
            <w:vAlign w:val="bottom"/>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43,242</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59,173</w:t>
            </w: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and its subsidiary are subject to U.S. federal income tax as well as income tax of the State of New York, City of New York and the State of New Jersey.</w:t>
      </w:r>
    </w:p>
    <w:p>
      <w:pPr>
        <w:spacing w:after="0" w:line="17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Under generally accepted accounting principles, 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be recovered or settled.</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No valuation allowances were recognized on deferred tax assets during the years ended December 31, 2024 or 2023, since, at each period end, it was deemed more likely than not that the deferred tax assets would be fully realized.</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 connection with the Merger, the Company acquired a federal net operating loss (“NOL”) carryforward subject to Internal Revenue Code Section 382. The Company recorded a deferred tax asset that it expects to realize within the carryforward period. At December 31, 2024, the remaining federal NOL carryforward was $2.0 million. At December 31, 2024, the Company had a New York State and New York City NOL carryforward balance of zero.</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and 2023, the Bank had accumulated bad debt reserves totaling $15.1 million for which no provision for income tax was required to be recorded. These bad debt reserves could be subject to recapture into taxable income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under certain circumstances, including a distribution of the bad debt benefits to the Holding Company or the failure of the Bank to qualify as a bank for federal income tax purposes. Should the reserves as of December 31, 2024 be fully recaptured, the Bank would recognize $4.8 million in additional income tax expense. The Company expects to take no action in the foreseeable future that would require the establishment of a tax liability associated with these bad debt reserves.</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 is subject to regular examination by various tax authorities in jurisdictions in which it conducts significant business operations. The Company regularly assesses the likelihood of additional examinations in each of the tax jurisdictions resulting from ongoing assessments.</w:t>
      </w:r>
    </w:p>
    <w:p>
      <w:pPr>
        <w:spacing w:after="0" w:line="114"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Under current accounting rules, all tax positions adopted are subjected to two levels of evaluation. Initially, a determination is made, based on the technical merits of the position, as to whether it is more likely than not that a tax position will be sustained upon examination, including resolution of any related appeals or litigation processes. In conducting this evaluation, management is required to presume that the position will be examined by the appropriate taxing authority possessing full knowledge of all relevant information. The second level of evaluation is the measurement of a tax position that satisfies the more-likely-than-not recognition threshold. This measurement is performed in order to determine the amount of benefit to recognize in the financial statements. The tax position is measured at the largest amount of benefit that is greater than 50% likely to be realized upon ultimate settlement. The Company had no unrecognized tax benefits as of December 31, 2024 or 2023. The Company does not anticipate any material change to unrecognized tax benefits during the year ended December 31, 2025.</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the tax years ended December 31, 2024, 2023, 2022, and 2021, remained subject to examination by all of the Company's relevant tax jurisdictions. The Company is currently not under audit in any taxing jurisdictions.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16. RETIREMENT AND POSTRETIREMENT PLANS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Bank maintains two noncontributory pension plans: (i) the Retirement Plan of Dime Community Bank (“Employee Retirement Plan”) and (ii) the BNB Bank Pension Plan, covering all eligible employees. Bank of America, N.A. (“BANA”) was the Trustee for the Employee Retirement Plan and BNB Bank Pension Plan assets as of December 31, 2024 and 2023. The assets of both plans are overseen by the Retirement Committee (“Committee”), comprised of management, who meet quarterly and set investment policy guidelines. Merrill Lynch, Pierce, Fenner &amp; Smith, Inc. (“MLPF&amp;S”) and Blackrock are the investment managers of the assets of both plans. The Committee meets with representatives of MLPF&amp;S and reviews the performance of the plan assets. Pension plan assets include cash and cash equivalents, equities and fixed income securities.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Employee Retirement Plan</w:t>
      </w:r>
    </w:p>
    <w:p>
      <w:pPr>
        <w:spacing w:after="0" w:line="177" w:lineRule="exact"/>
        <w:rPr>
          <w:sz w:val="20"/>
          <w:szCs w:val="20"/>
          <w:color w:val="auto"/>
        </w:rPr>
      </w:pPr>
    </w:p>
    <w:p>
      <w:pPr>
        <w:jc w:val="both"/>
        <w:ind w:left="20" w:right="39"/>
        <w:spacing w:after="0" w:line="237" w:lineRule="auto"/>
        <w:rPr>
          <w:sz w:val="20"/>
          <w:szCs w:val="20"/>
          <w:color w:val="auto"/>
        </w:rPr>
      </w:pPr>
      <w:r>
        <w:rPr>
          <w:rFonts w:ascii="Times New Roman" w:cs="Times New Roman" w:eastAsia="Times New Roman" w:hAnsi="Times New Roman"/>
          <w:sz w:val="13"/>
          <w:szCs w:val="13"/>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years ended December 31, 2024 and 2023, the Bank used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as its measurement date for the Employee Retirement Plan.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funded status of the Employee Retirement Plan was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46"/>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projected benefit obligation:</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Projected benefit obligation at beginning of year</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18,721</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847</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Actuarial (gain) loss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payments</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(1,649)</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Projected benefit obligation at end of year</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18,721</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6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Plan assets at fair value (investments in trust funds managed by trustee)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21,303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22,593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Return on plan assets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payments</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(1,649)</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Balance at end of year</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19,206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21,303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Funded status at end of year</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2,388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net periodic cost for the Employee Retirement Plan included the following components: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7"/>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720" w:type="dxa"/>
            <w:vAlign w:val="bottom"/>
            <w:tcBorders>
              <w:bottom w:val="single" w:sz="8" w:color="auto"/>
            </w:tcBorders>
          </w:tcPr>
          <w:p>
            <w:pPr>
              <w:spacing w:after="0"/>
              <w:rPr>
                <w:sz w:val="13"/>
                <w:szCs w:val="13"/>
                <w:color w:val="auto"/>
              </w:rPr>
            </w:pPr>
          </w:p>
        </w:tc>
      </w:tr>
      <w:tr>
        <w:trPr>
          <w:trHeight w:val="14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w:t>
            </w:r>
          </w:p>
        </w:tc>
      </w:tr>
      <w:tr>
        <w:trPr>
          <w:trHeight w:val="151"/>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(1,429)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w:t>
            </w:r>
          </w:p>
        </w:tc>
      </w:tr>
      <w:tr>
        <w:trPr>
          <w:trHeight w:val="15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unrealized loss</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854</w:t>
            </w: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r>
      <w:tr>
        <w:trPr>
          <w:trHeight w:val="141"/>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Net periodic benefit (credit) cost</w:t>
            </w: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272</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change in accumulated other comprehensive loss that resulted from the Employee Retirement Plan is summarized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6"/>
        </w:trPr>
        <w:tc>
          <w:tcPr>
            <w:tcW w:w="6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1"/>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(6,363)</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(5,323)</w:t>
            </w:r>
          </w:p>
        </w:tc>
      </w:tr>
      <w:tr>
        <w:trPr>
          <w:trHeight w:val="151"/>
        </w:trPr>
        <w:tc>
          <w:tcPr>
            <w:tcW w:w="6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Amortization of unrealized loss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w:t>
            </w:r>
          </w:p>
        </w:tc>
      </w:tr>
      <w:tr>
        <w:trPr>
          <w:trHeight w:val="151"/>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recognized during the year</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(776)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w:t>
            </w:r>
          </w:p>
        </w:tc>
      </w:tr>
      <w:tr>
        <w:trPr>
          <w:trHeight w:val="141"/>
        </w:trPr>
        <w:tc>
          <w:tcPr>
            <w:tcW w:w="6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Balance at the end of the period</w:t>
            </w: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(6,285)</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(6,363)</w:t>
            </w:r>
          </w:p>
        </w:tc>
      </w:tr>
      <w:tr>
        <w:trPr>
          <w:trHeight w:val="141"/>
        </w:trPr>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Period end component of accumulated other comprehensive loss, net of tax</w:t>
            </w: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4,343</w:t>
            </w: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Major assumptions utilized to determine the net periodic cost of the Employee Retirement Plan benefit obligations were as follows:</w:t>
      </w:r>
    </w:p>
    <w:p>
      <w:pPr>
        <w:spacing w:after="0" w:line="4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2"/>
          <w:szCs w:val="12"/>
          <w:b w:val="1"/>
          <w:bCs w:val="1"/>
          <w:color w:val="auto"/>
        </w:rPr>
        <w:t>At or for the Year Ended December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574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1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2"/>
                <w:szCs w:val="12"/>
                <w:color w:val="auto"/>
              </w:rPr>
            </w:pPr>
          </w:p>
        </w:tc>
      </w:tr>
      <w:tr>
        <w:trPr>
          <w:trHeight w:val="141"/>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 used for net periodic benefit cost</w:t>
            </w: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4.70</w:t>
            </w:r>
          </w:p>
        </w:tc>
        <w:tc>
          <w:tcPr>
            <w:tcW w:w="38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4.90</w:t>
            </w:r>
          </w:p>
        </w:tc>
        <w:tc>
          <w:tcPr>
            <w:tcW w:w="340" w:type="dxa"/>
            <w:vAlign w:val="bottom"/>
            <w:tcBorders>
              <w:top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1"/>
        </w:trPr>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Discount rate used to determine benefit obligation at period end</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5.40</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4.70</w:t>
            </w: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60" w:type="dxa"/>
            <w:vAlign w:val="bottom"/>
          </w:tcPr>
          <w:p>
            <w:pPr>
              <w:spacing w:after="0"/>
              <w:rPr>
                <w:sz w:val="13"/>
                <w:szCs w:val="13"/>
                <w:color w:val="auto"/>
              </w:rPr>
            </w:pPr>
          </w:p>
        </w:tc>
      </w:tr>
      <w:tr>
        <w:trPr>
          <w:trHeight w:val="151"/>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long-term return on plan assets used for net periodic benefit cost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7.00</w:t>
            </w: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7.00</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160" w:type="dxa"/>
            <w:vAlign w:val="bottom"/>
            <w:shd w:val="clear" w:color="auto" w:fill="CCEEFF"/>
          </w:tcPr>
          <w:p>
            <w:pPr>
              <w:spacing w:after="0"/>
              <w:rPr>
                <w:sz w:val="13"/>
                <w:szCs w:val="13"/>
                <w:color w:val="auto"/>
              </w:rPr>
            </w:pPr>
          </w:p>
        </w:tc>
      </w:tr>
      <w:tr>
        <w:trPr>
          <w:trHeight w:val="160"/>
        </w:trPr>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Expected long-term return on plan assets used to determine benefit obligation at period end</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7.00</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7.00</w:t>
            </w:r>
          </w:p>
        </w:tc>
        <w:tc>
          <w:tcPr>
            <w:tcW w:w="3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160" w:type="dxa"/>
            <w:vAlign w:val="bottom"/>
          </w:tcPr>
          <w:p>
            <w:pPr>
              <w:spacing w:after="0"/>
              <w:rPr>
                <w:sz w:val="13"/>
                <w:szCs w:val="13"/>
                <w:color w:val="auto"/>
              </w:rPr>
            </w:pPr>
          </w:p>
        </w:tc>
      </w:tr>
    </w:tbl>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Plan Assets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the Employee Retirement Plan’s assets included debt securities. Debt securities include corporate bonds, government issues, mortgage-backed securities, and high yield securities.</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weighted average expected long-term rate of return is estimated based on current trends in Employee Retirement Plan assets, as well as projected future rates of return on those assets and reasonable actuarial assumptions based on the guidance provided by Actuarial Standard of Practice No. 27 for the real and nominal rate of investment return for a specific mix of asset classes. The long-term rate of return considers historical returns for the S&amp;P 500 index and corporate bonds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representing cumulative returns of approximately 9.0% and 5.0%, respectively. These returns were considered along with the target allocations of asset categories. When these overall return expectations were applied to the Employee Retirement Plan’s target allocation, the expected annual rate of return was determined to be 7.00% at both December 31, 2024 and 2023.</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did not make any contributions to the Employee Retirement Plan during the year ended December 31, 2024. The Bank does not expect to make contributions to the Employee Retirement Plan during the year ending December 31, 2025.</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weighted-average allocation by asset category of the assets of the Employee Retirement Plan was summarized as follows:</w:t>
      </w:r>
    </w:p>
    <w:p>
      <w:pPr>
        <w:spacing w:after="0" w:line="18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141"/>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 category:</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1"/>
        </w:trPr>
        <w:tc>
          <w:tcPr>
            <w:tcW w:w="7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99 %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100 %</w:t>
            </w:r>
          </w:p>
        </w:tc>
      </w:tr>
      <w:tr>
        <w:trPr>
          <w:trHeight w:val="151"/>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79"/>
              </w:rPr>
              <w:t>%</w:t>
            </w: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allocation percentages in the above table were consistent with future planned allocation percentages as of December 31, 2024 and 2023, respectively.</w:t>
      </w:r>
    </w:p>
    <w:p>
      <w:pPr>
        <w:spacing w:after="0" w:line="17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tables present a summary of the Employee Retirement Plan’s investments measured at fair value on a recurring basis by level within the fair value hierarchy, as of the dates indicated. (See Note 21 for a discussion of the fair value hierarchy).</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6"/>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Fair Value Measurements Using:</w:t>
            </w: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Prices in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4"/>
              </w:rPr>
              <w:t>Significant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Active Markets for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6"/>
              </w:rPr>
              <w:t>Identical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780" w:type="dxa"/>
            <w:vAlign w:val="bottom"/>
            <w:tcBorders>
              <w:bottom w:val="single" w:sz="8" w:color="auto"/>
            </w:tcBorders>
            <w:vMerge w:val="continue"/>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Assets (Level 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3)</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cash equivalents</w:t>
            </w:r>
          </w:p>
        </w:tc>
        <w:tc>
          <w:tcPr>
            <w:tcW w:w="1940" w:type="dxa"/>
            <w:vAlign w:val="bottom"/>
            <w:gridSpan w:val="3"/>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136</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840" w:type="dxa"/>
            <w:vAlign w:val="bottom"/>
          </w:tcPr>
          <w:p>
            <w:pPr>
              <w:ind w:left="70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136</w:t>
            </w:r>
          </w:p>
        </w:tc>
        <w:tc>
          <w:tcPr>
            <w:tcW w:w="0" w:type="dxa"/>
            <w:vAlign w:val="bottom"/>
          </w:tcPr>
          <w:p>
            <w:pPr>
              <w:spacing w:after="0"/>
              <w:rPr>
                <w:sz w:val="1"/>
                <w:szCs w:val="1"/>
                <w:color w:val="auto"/>
              </w:rPr>
            </w:pPr>
          </w:p>
        </w:tc>
      </w:tr>
      <w:tr>
        <w:trPr>
          <w:trHeight w:val="111"/>
        </w:trPr>
        <w:tc>
          <w:tcPr>
            <w:tcW w:w="27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Fixed income securities:</w:t>
            </w: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78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Government</w:t>
            </w:r>
          </w:p>
        </w:tc>
        <w:tc>
          <w:tcPr>
            <w:tcW w:w="16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19,070</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ind w:left="70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19,070</w:t>
            </w:r>
          </w:p>
        </w:tc>
        <w:tc>
          <w:tcPr>
            <w:tcW w:w="0" w:type="dxa"/>
            <w:vAlign w:val="bottom"/>
          </w:tcPr>
          <w:p>
            <w:pPr>
              <w:spacing w:after="0"/>
              <w:rPr>
                <w:sz w:val="1"/>
                <w:szCs w:val="1"/>
                <w:color w:val="auto"/>
              </w:rPr>
            </w:pPr>
          </w:p>
        </w:tc>
      </w:tr>
      <w:tr>
        <w:trPr>
          <w:trHeight w:val="101"/>
        </w:trPr>
        <w:tc>
          <w:tcPr>
            <w:tcW w:w="2780" w:type="dxa"/>
            <w:vAlign w:val="bottom"/>
            <w:tcBorders>
              <w:bottom w:val="single" w:sz="8" w:color="CCEEFF"/>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Plan Assets</w:t>
            </w:r>
          </w:p>
        </w:tc>
        <w:tc>
          <w:tcPr>
            <w:tcW w:w="16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19,070</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136</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ind w:left="7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19,206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7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6"/>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Fair Value Measurements Using:</w:t>
            </w: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Prices in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4"/>
              </w:rPr>
              <w:t>Significant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Active Markets for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6"/>
              </w:rPr>
              <w:t>Identical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780" w:type="dxa"/>
            <w:vAlign w:val="bottom"/>
            <w:tcBorders>
              <w:bottom w:val="single" w:sz="8" w:color="auto"/>
            </w:tcBorders>
            <w:vMerge w:val="continue"/>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Assets (Level 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3)</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cash equivalents</w:t>
            </w:r>
          </w:p>
        </w:tc>
        <w:tc>
          <w:tcPr>
            <w:tcW w:w="1940" w:type="dxa"/>
            <w:vAlign w:val="bottom"/>
            <w:gridSpan w:val="3"/>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58</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tcPr>
          <w:p>
            <w:pPr>
              <w:ind w:left="7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11"/>
        </w:trPr>
        <w:tc>
          <w:tcPr>
            <w:tcW w:w="27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Fixed income securities:</w:t>
            </w: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780" w:type="dxa"/>
            <w:vAlign w:val="bottom"/>
            <w:tcBorders>
              <w:bottom w:val="single" w:sz="8" w:color="CCEEFF"/>
            </w:tcBorders>
          </w:tcPr>
          <w:p>
            <w:pPr>
              <w:ind w:left="100"/>
              <w:spacing w:after="0" w:line="111" w:lineRule="exact"/>
              <w:rPr>
                <w:sz w:val="20"/>
                <w:szCs w:val="20"/>
                <w:color w:val="auto"/>
              </w:rPr>
            </w:pPr>
            <w:r>
              <w:rPr>
                <w:rFonts w:ascii="Times New Roman" w:cs="Times New Roman" w:eastAsia="Times New Roman" w:hAnsi="Times New Roman"/>
                <w:sz w:val="11"/>
                <w:szCs w:val="11"/>
                <w:color w:val="auto"/>
              </w:rPr>
              <w:t>Government</w:t>
            </w:r>
          </w:p>
        </w:tc>
        <w:tc>
          <w:tcPr>
            <w:tcW w:w="16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21,245</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ind w:left="7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21,245</w:t>
            </w:r>
          </w:p>
        </w:tc>
        <w:tc>
          <w:tcPr>
            <w:tcW w:w="0" w:type="dxa"/>
            <w:vAlign w:val="bottom"/>
          </w:tcPr>
          <w:p>
            <w:pPr>
              <w:spacing w:after="0"/>
              <w:rPr>
                <w:sz w:val="1"/>
                <w:szCs w:val="1"/>
                <w:color w:val="auto"/>
              </w:rPr>
            </w:pPr>
          </w:p>
        </w:tc>
      </w:tr>
      <w:tr>
        <w:trPr>
          <w:trHeight w:val="101"/>
        </w:trPr>
        <w:tc>
          <w:tcPr>
            <w:tcW w:w="2780" w:type="dxa"/>
            <w:vAlign w:val="bottom"/>
            <w:tcBorders>
              <w:bottom w:val="single" w:sz="8" w:color="CCEEFF"/>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Plan Assets</w:t>
            </w:r>
          </w:p>
        </w:tc>
        <w:tc>
          <w:tcPr>
            <w:tcW w:w="1820" w:type="dxa"/>
            <w:vAlign w:val="bottom"/>
            <w:tcBorders>
              <w:bottom w:val="single" w:sz="8" w:color="CCEEFF"/>
            </w:tcBorders>
            <w:gridSpan w:val="2"/>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21,245</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58</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ind w:left="7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21,303</w:t>
            </w:r>
          </w:p>
        </w:tc>
        <w:tc>
          <w:tcPr>
            <w:tcW w:w="0" w:type="dxa"/>
            <w:vAlign w:val="bottom"/>
          </w:tcPr>
          <w:p>
            <w:pPr>
              <w:spacing w:after="0"/>
              <w:rPr>
                <w:sz w:val="1"/>
                <w:szCs w:val="1"/>
                <w:color w:val="auto"/>
              </w:rPr>
            </w:pPr>
          </w:p>
        </w:tc>
      </w:tr>
      <w:tr>
        <w:trPr>
          <w:trHeight w:val="20"/>
        </w:trPr>
        <w:tc>
          <w:tcPr>
            <w:tcW w:w="4600" w:type="dxa"/>
            <w:vAlign w:val="bottom"/>
            <w:gridSpan w:val="3"/>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8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Benefit payments for the fiscal year ending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are anticipated to be made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1,462</w:t>
            </w:r>
          </w:p>
        </w:tc>
        <w:tc>
          <w:tcPr>
            <w:tcW w:w="0" w:type="dxa"/>
            <w:vAlign w:val="bottom"/>
          </w:tcPr>
          <w:p>
            <w:pPr>
              <w:spacing w:after="0"/>
              <w:rPr>
                <w:sz w:val="1"/>
                <w:szCs w:val="1"/>
                <w:color w:val="auto"/>
              </w:rPr>
            </w:pPr>
          </w:p>
        </w:tc>
      </w:tr>
      <w:tr>
        <w:trPr>
          <w:trHeight w:val="15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w:t>
            </w:r>
          </w:p>
        </w:tc>
        <w:tc>
          <w:tcPr>
            <w:tcW w:w="0" w:type="dxa"/>
            <w:vAlign w:val="bottom"/>
          </w:tcPr>
          <w:p>
            <w:pPr>
              <w:spacing w:after="0"/>
              <w:rPr>
                <w:sz w:val="1"/>
                <w:szCs w:val="1"/>
                <w:color w:val="auto"/>
              </w:rPr>
            </w:pPr>
          </w:p>
        </w:tc>
      </w:tr>
      <w:tr>
        <w:trPr>
          <w:trHeight w:val="15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1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0" w:type="dxa"/>
            <w:vAlign w:val="bottom"/>
          </w:tcPr>
          <w:p>
            <w:pPr>
              <w:spacing w:after="0"/>
              <w:rPr>
                <w:sz w:val="1"/>
                <w:szCs w:val="1"/>
                <w:color w:val="auto"/>
              </w:rPr>
            </w:pPr>
          </w:p>
        </w:tc>
      </w:tr>
      <w:tr>
        <w:trPr>
          <w:trHeight w:val="158"/>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2030 to 2034</w:t>
            </w: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6,514</w:t>
            </w:r>
          </w:p>
        </w:tc>
        <w:tc>
          <w:tcPr>
            <w:tcW w:w="0" w:type="dxa"/>
            <w:vAlign w:val="bottom"/>
          </w:tcPr>
          <w:p>
            <w:pPr>
              <w:spacing w:after="0"/>
              <w:rPr>
                <w:sz w:val="1"/>
                <w:szCs w:val="1"/>
                <w:color w:val="auto"/>
              </w:rPr>
            </w:pPr>
          </w:p>
        </w:tc>
      </w:tr>
      <w:tr>
        <w:trPr>
          <w:trHeight w:val="416"/>
        </w:trPr>
        <w:tc>
          <w:tcPr>
            <w:tcW w:w="2780" w:type="dxa"/>
            <w:vAlign w:val="bottom"/>
          </w:tcPr>
          <w:p>
            <w:pPr>
              <w:spacing w:after="0"/>
              <w:rPr>
                <w:sz w:val="24"/>
                <w:szCs w:val="24"/>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7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8" w:right="1440"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BNB Bank Pension Plan</w:t>
      </w:r>
    </w:p>
    <w:p>
      <w:pPr>
        <w:spacing w:after="0" w:line="177" w:lineRule="exact"/>
        <w:rPr>
          <w:sz w:val="20"/>
          <w:szCs w:val="20"/>
          <w:color w:val="auto"/>
        </w:rPr>
      </w:pPr>
    </w:p>
    <w:p>
      <w:pPr>
        <w:jc w:val="both"/>
        <w:ind w:left="20" w:right="39"/>
        <w:spacing w:after="0"/>
        <w:rPr>
          <w:sz w:val="20"/>
          <w:szCs w:val="20"/>
          <w:color w:val="auto"/>
        </w:rPr>
      </w:pPr>
      <w:r>
        <w:rPr>
          <w:rFonts w:ascii="Times New Roman" w:cs="Times New Roman" w:eastAsia="Times New Roman" w:hAnsi="Times New Roman"/>
          <w:sz w:val="13"/>
          <w:szCs w:val="13"/>
          <w:color w:val="auto"/>
        </w:rPr>
        <w:t>During 2012,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Retirement benefits of the plan were vested as they were earned. For the years ended December 31, 2024 and 2023, the Bank used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as its measurement date for the BNB Pension Plan.</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funded status of the BNB Bank Pension Plan was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46"/>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projected benefit obligation:</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Projected benefit obligation at beginning of year</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27,282</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cost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1,265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Actuarial gain</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(1,575)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Curtailment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Impact of settlement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(5,481)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Benefit payments</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(1,040)</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Projected benefit obligation at end of year</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20,451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27,282</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Plan assets at fair value (investments in trust funds managed by trustee)</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38,170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Return on plan assets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Impact of settlement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(5,481)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payments</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(1,040)</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Balance at end of year</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30,107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38,170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Funded status at end of year</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9,656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net periodic cost for the BNB Bank Pension Plan included the following components: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6"/>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cost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60"/>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1,265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w:t>
            </w:r>
          </w:p>
        </w:tc>
      </w:tr>
      <w:tr>
        <w:trPr>
          <w:trHeight w:val="15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(2,760)</w:t>
            </w:r>
          </w:p>
        </w:tc>
      </w:tr>
      <w:tr>
        <w:trPr>
          <w:trHeight w:val="141"/>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Net periodic benefit credit</w:t>
            </w:r>
          </w:p>
        </w:tc>
        <w:tc>
          <w:tcPr>
            <w:tcW w:w="220" w:type="dxa"/>
            <w:vAlign w:val="bottom"/>
          </w:tcPr>
          <w:p>
            <w:pPr>
              <w:spacing w:after="0"/>
              <w:rPr>
                <w:sz w:val="12"/>
                <w:szCs w:val="12"/>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16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 loss recognized</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Total benefit cost</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(246)</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(933)</w:t>
            </w: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change in accumulated other comprehensive income that resulted from the BNB Bank Pension Plan is summarized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6"/>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(3,056)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(2,358)</w:t>
            </w:r>
          </w:p>
        </w:tc>
      </w:tr>
      <w:tr>
        <w:trPr>
          <w:trHeight w:val="160"/>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Recognition of gain as a result of settlement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1,215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recognized during the year</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(2,693)</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w:t>
            </w:r>
          </w:p>
        </w:tc>
      </w:tr>
      <w:tr>
        <w:trPr>
          <w:trHeight w:val="181"/>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Balance at the end of the period</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(4,534)</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(3,056)</w:t>
            </w:r>
          </w:p>
        </w:tc>
      </w:tr>
      <w:tr>
        <w:trPr>
          <w:trHeight w:val="121"/>
        </w:trPr>
        <w:tc>
          <w:tcPr>
            <w:tcW w:w="654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Period end component of accumulated other comprehensive income, net of tax</w:t>
            </w:r>
          </w:p>
        </w:tc>
        <w:tc>
          <w:tcPr>
            <w:tcW w:w="2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3,143</w:t>
            </w: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2,087</w:t>
            </w: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Major assumptions utilized to determine the net periodic cost of the BNB Bank Pension Plan benefit obligations were as follows:</w:t>
      </w:r>
    </w:p>
    <w:p>
      <w:pPr>
        <w:spacing w:after="0" w:line="18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2"/>
          <w:szCs w:val="12"/>
          <w:b w:val="1"/>
          <w:bCs w:val="1"/>
          <w:color w:val="auto"/>
        </w:rPr>
        <w:t>At or for the Year Ended December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59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r>
      <w:tr>
        <w:trPr>
          <w:trHeight w:val="14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 used for net periodic benefit cost</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4.79</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200" w:type="dxa"/>
            <w:vAlign w:val="bottom"/>
            <w:shd w:val="clear" w:color="auto" w:fill="CCEEFF"/>
          </w:tcPr>
          <w:p>
            <w:pPr>
              <w:jc w:val="right"/>
              <w:ind w:right="13"/>
              <w:spacing w:after="0" w:line="141" w:lineRule="exact"/>
              <w:rPr>
                <w:sz w:val="20"/>
                <w:szCs w:val="20"/>
                <w:color w:val="auto"/>
              </w:rPr>
            </w:pPr>
            <w:r>
              <w:rPr>
                <w:rFonts w:ascii="Times New Roman" w:cs="Times New Roman" w:eastAsia="Times New Roman" w:hAnsi="Times New Roman"/>
                <w:sz w:val="13"/>
                <w:szCs w:val="13"/>
                <w:color w:val="auto"/>
                <w:w w:val="91"/>
              </w:rPr>
              <w:t>%</w:t>
            </w:r>
          </w:p>
        </w:tc>
      </w:tr>
      <w:tr>
        <w:trPr>
          <w:trHeight w:val="160"/>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Discount rate used to determine benefit obligation at period end</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5.47</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200" w:type="dxa"/>
            <w:vAlign w:val="bottom"/>
          </w:tcPr>
          <w:p>
            <w:pPr>
              <w:spacing w:after="0"/>
              <w:rPr>
                <w:sz w:val="13"/>
                <w:szCs w:val="13"/>
                <w:color w:val="auto"/>
              </w:rPr>
            </w:pPr>
          </w:p>
        </w:tc>
      </w:tr>
      <w:tr>
        <w:trPr>
          <w:trHeight w:val="163"/>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long-term return on plan assets used for net periodic benefit cost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7.25</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200" w:type="dxa"/>
            <w:vAlign w:val="bottom"/>
            <w:shd w:val="clear" w:color="auto" w:fill="CCEEFF"/>
          </w:tcPr>
          <w:p>
            <w:pPr>
              <w:spacing w:after="0"/>
              <w:rPr>
                <w:sz w:val="14"/>
                <w:szCs w:val="14"/>
                <w:color w:val="auto"/>
              </w:rPr>
            </w:pPr>
          </w:p>
        </w:tc>
      </w:tr>
      <w:tr>
        <w:trPr>
          <w:trHeight w:val="160"/>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Expected long-term return on plan assets used to determine benefit obligation at period end</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7.25</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200" w:type="dxa"/>
            <w:vAlign w:val="bottom"/>
          </w:tcPr>
          <w:p>
            <w:pPr>
              <w:spacing w:after="0"/>
              <w:rPr>
                <w:sz w:val="13"/>
                <w:szCs w:val="13"/>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Plan Assets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At December 31, 2024, the BNB Bank Pension Plan’s assets included cash equivalents and debt securities.</w:t>
      </w:r>
    </w:p>
    <w:p>
      <w:pPr>
        <w:spacing w:after="0" w:line="173"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weighted average expected long-term rate of return is estimated based on current trends in BNB Bank Pension Plan assets, as well as projected future rates of return on those assets and reasonable actuarial assumptions based on the guidance provided by Actuarial Standard of Practice No. 27 for the real and nominal rate of investment return for a specific mix of asset classes. The long-term rate of return considers historical returns for the S&amp;P 500 index and corporate bonds representing cumulative returns of approximately 9.0% and 5.0%, respectively. These returns were considered along with the target allocations of asset categories. When these overall return expectations were applied to the BNB Bank Pension Plan’s target allocation, the expected annual rate of return was determined to be 7.25% at December 31, 2024 and 2023.</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did not make any contributions to the BNB Bank Pension Plan during the year ended December 31, 2024. The Bank does not expect to make contributions to the BNB Bank Pension Plan during the year ending December 31, 2025.</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weighted-average allocation by asset category of the assets of the BNB Bank Pension Plan was summarized as follows:</w:t>
      </w:r>
    </w:p>
    <w:p>
      <w:pPr>
        <w:spacing w:after="0" w:line="18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65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14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 category:</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7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96 %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99 %</w:t>
            </w:r>
          </w:p>
        </w:tc>
      </w:tr>
      <w:tr>
        <w:trPr>
          <w:trHeight w:val="151"/>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3"/>
                <w:szCs w:val="13"/>
                <w:color w:val="auto"/>
              </w:rPr>
            </w:pPr>
          </w:p>
        </w:tc>
      </w:tr>
      <w:tr>
        <w:trPr>
          <w:trHeight w:val="141"/>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r>
      <w:tr>
        <w:trPr>
          <w:trHeight w:val="20"/>
        </w:trPr>
        <w:tc>
          <w:tcPr>
            <w:tcW w:w="6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following tables present a summary of the BNB Bank Pension Plan’s investments measured at fair value on a recurring basis by level within the fair value hierarchy, as of the dates indicated. (See Note 21 for a discussion of the fair value hierarchy).</w:t>
      </w:r>
    </w:p>
    <w:tbl>
      <w:tblPr>
        <w:tblLayout w:type="fixed"/>
        <w:tblInd w:w="20" w:type="dxa"/>
        <w:tblCellMar>
          <w:top w:w="0" w:type="dxa"/>
          <w:left w:w="0" w:type="dxa"/>
          <w:bottom w:w="0" w:type="dxa"/>
          <w:right w:w="0" w:type="dxa"/>
        </w:tblCellMar>
      </w:tblPr>
      <w:tr>
        <w:trPr>
          <w:trHeight w:val="122"/>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4"/>
          </w:tcPr>
          <w:p>
            <w:pPr>
              <w:ind w:left="120"/>
              <w:spacing w:after="0" w:line="123" w:lineRule="exact"/>
              <w:rPr>
                <w:sz w:val="20"/>
                <w:szCs w:val="20"/>
                <w:color w:val="auto"/>
              </w:rPr>
            </w:pPr>
            <w:r>
              <w:rPr>
                <w:rFonts w:ascii="Times New Roman" w:cs="Times New Roman" w:eastAsia="Times New Roman" w:hAnsi="Times New Roman"/>
                <w:sz w:val="11"/>
                <w:szCs w:val="11"/>
                <w:b w:val="1"/>
                <w:bCs w:val="1"/>
                <w:color w:val="auto"/>
              </w:rPr>
              <w:t>Fair Value Measurements</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at December 31, 2024</w:t>
            </w: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Prices in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4"/>
              </w:rPr>
              <w:t>Significant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Active Markets for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6"/>
              </w:rPr>
              <w:t>Identical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right="86"/>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44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Assets (Level 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Inputs (Level 3)</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gridSpan w:val="2"/>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1,062</w:t>
            </w:r>
          </w:p>
        </w:tc>
        <w:tc>
          <w:tcPr>
            <w:tcW w:w="28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ind w:left="7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1,062</w:t>
            </w:r>
          </w:p>
        </w:tc>
        <w:tc>
          <w:tcPr>
            <w:tcW w:w="0" w:type="dxa"/>
            <w:vAlign w:val="bottom"/>
          </w:tcPr>
          <w:p>
            <w:pPr>
              <w:spacing w:after="0"/>
              <w:rPr>
                <w:sz w:val="1"/>
                <w:szCs w:val="1"/>
                <w:color w:val="auto"/>
              </w:rPr>
            </w:pPr>
          </w:p>
        </w:tc>
      </w:tr>
      <w:tr>
        <w:trPr>
          <w:trHeight w:val="111"/>
        </w:trPr>
        <w:tc>
          <w:tcPr>
            <w:tcW w:w="44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Fixed income securities:</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Government</w:t>
            </w: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29,045</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ind w:left="7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29,045</w:t>
            </w:r>
          </w:p>
        </w:tc>
        <w:tc>
          <w:tcPr>
            <w:tcW w:w="0" w:type="dxa"/>
            <w:vAlign w:val="bottom"/>
          </w:tcPr>
          <w:p>
            <w:pPr>
              <w:spacing w:after="0"/>
              <w:rPr>
                <w:sz w:val="1"/>
                <w:szCs w:val="1"/>
                <w:color w:val="auto"/>
              </w:rPr>
            </w:pPr>
          </w:p>
        </w:tc>
      </w:tr>
      <w:tr>
        <w:trPr>
          <w:trHeight w:val="101"/>
        </w:trPr>
        <w:tc>
          <w:tcPr>
            <w:tcW w:w="4460" w:type="dxa"/>
            <w:vAlign w:val="bottom"/>
            <w:tcBorders>
              <w:bottom w:val="single" w:sz="8" w:color="CCEEFF"/>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Plan Assets</w:t>
            </w:r>
          </w:p>
        </w:tc>
        <w:tc>
          <w:tcPr>
            <w:tcW w:w="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29,045</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1,062</w:t>
            </w:r>
          </w:p>
        </w:tc>
        <w:tc>
          <w:tcPr>
            <w:tcW w:w="1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ind w:left="76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30,107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 Measurements</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at December 31, 2023</w:t>
            </w: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Quoted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Prices in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4"/>
              </w:rPr>
              <w:t>Significant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ind w:right="165"/>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8"/>
              </w:rPr>
              <w:t>Active Markets for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6"/>
              </w:rPr>
              <w:t>Identical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85"/>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44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Assets (Level 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Inputs (Level 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5"/>
              <w:spacing w:after="0"/>
              <w:rPr>
                <w:sz w:val="20"/>
                <w:szCs w:val="20"/>
                <w:color w:val="auto"/>
              </w:rPr>
            </w:pPr>
            <w:r>
              <w:rPr>
                <w:rFonts w:ascii="Times New Roman" w:cs="Times New Roman" w:eastAsia="Times New Roman" w:hAnsi="Times New Roman"/>
                <w:sz w:val="11"/>
                <w:szCs w:val="11"/>
                <w:b w:val="1"/>
                <w:bCs w:val="1"/>
                <w:color w:val="auto"/>
                <w:w w:val="96"/>
              </w:rPr>
              <w:t>Inputs (Level 3)</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Description:</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gridSpan w:val="2"/>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317</w:t>
            </w:r>
          </w:p>
        </w:tc>
        <w:tc>
          <w:tcPr>
            <w:tcW w:w="28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317</w:t>
            </w:r>
          </w:p>
        </w:tc>
        <w:tc>
          <w:tcPr>
            <w:tcW w:w="0" w:type="dxa"/>
            <w:vAlign w:val="bottom"/>
          </w:tcPr>
          <w:p>
            <w:pPr>
              <w:spacing w:after="0"/>
              <w:rPr>
                <w:sz w:val="1"/>
                <w:szCs w:val="1"/>
                <w:color w:val="auto"/>
              </w:rPr>
            </w:pPr>
          </w:p>
        </w:tc>
      </w:tr>
      <w:tr>
        <w:trPr>
          <w:trHeight w:val="111"/>
        </w:trPr>
        <w:tc>
          <w:tcPr>
            <w:tcW w:w="44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Fixed income securities:</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Government</w:t>
            </w:r>
          </w:p>
        </w:tc>
        <w:tc>
          <w:tcPr>
            <w:tcW w:w="1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37,853</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6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37,853</w:t>
            </w: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Plan Assets</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37,853</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317</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ind w:left="6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20"/>
              <w:spacing w:after="0" w:line="101"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38,170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8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Benefit payments for the fiscal year ending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are anticipated to be made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205"/>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w:t>
            </w:r>
          </w:p>
        </w:tc>
        <w:tc>
          <w:tcPr>
            <w:tcW w:w="0" w:type="dxa"/>
            <w:vAlign w:val="bottom"/>
          </w:tcPr>
          <w:p>
            <w:pPr>
              <w:spacing w:after="0"/>
              <w:rPr>
                <w:sz w:val="1"/>
                <w:szCs w:val="1"/>
                <w:color w:val="auto"/>
              </w:rPr>
            </w:pPr>
          </w:p>
        </w:tc>
      </w:tr>
      <w:tr>
        <w:trPr>
          <w:trHeight w:val="151"/>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0" w:type="dxa"/>
            <w:vAlign w:val="bottom"/>
          </w:tcPr>
          <w:p>
            <w:pPr>
              <w:spacing w:after="0"/>
              <w:rPr>
                <w:sz w:val="1"/>
                <w:szCs w:val="1"/>
                <w:color w:val="auto"/>
              </w:rPr>
            </w:pPr>
          </w:p>
        </w:tc>
      </w:tr>
      <w:tr>
        <w:trPr>
          <w:trHeight w:val="15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0" w:type="dxa"/>
            <w:vAlign w:val="bottom"/>
          </w:tcPr>
          <w:p>
            <w:pPr>
              <w:spacing w:after="0"/>
              <w:rPr>
                <w:sz w:val="1"/>
                <w:szCs w:val="1"/>
                <w:color w:val="auto"/>
              </w:rPr>
            </w:pPr>
          </w:p>
        </w:tc>
      </w:tr>
      <w:tr>
        <w:trPr>
          <w:trHeight w:val="151"/>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0" w:type="dxa"/>
            <w:vAlign w:val="bottom"/>
          </w:tcPr>
          <w:p>
            <w:pPr>
              <w:spacing w:after="0"/>
              <w:rPr>
                <w:sz w:val="1"/>
                <w:szCs w:val="1"/>
                <w:color w:val="auto"/>
              </w:rPr>
            </w:pPr>
          </w:p>
        </w:tc>
      </w:tr>
      <w:tr>
        <w:trPr>
          <w:trHeight w:val="151"/>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2030 to 2034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7,689</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401(k) Plan</w:t>
      </w:r>
    </w:p>
    <w:p>
      <w:pPr>
        <w:spacing w:after="0" w:line="177" w:lineRule="exact"/>
        <w:rPr>
          <w:sz w:val="20"/>
          <w:szCs w:val="20"/>
          <w:color w:val="auto"/>
        </w:rPr>
      </w:pPr>
    </w:p>
    <w:p>
      <w:pPr>
        <w:jc w:val="both"/>
        <w:ind w:left="20" w:right="39"/>
        <w:spacing w:after="0" w:line="248" w:lineRule="auto"/>
        <w:rPr>
          <w:sz w:val="20"/>
          <w:szCs w:val="20"/>
          <w:color w:val="auto"/>
        </w:rPr>
      </w:pPr>
      <w:r>
        <w:rPr>
          <w:rFonts w:ascii="Times New Roman" w:cs="Times New Roman" w:eastAsia="Times New Roman" w:hAnsi="Times New Roman"/>
          <w:sz w:val="13"/>
          <w:szCs w:val="13"/>
          <w:color w:val="auto"/>
        </w:rPr>
        <w:t>The Company maintains a 401(k) Plan (the “401(k) Plan”) that existed before the Merger. The 401(k) Plan covers substantially all current employees. Newly hired employees are automatically enrolled in the plan on the first day of the month following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day of employment, unless they elect not to participate. Participants may contribute a portion of their pre-tax base salary, generally not to exceed $23,000 for the calendar year ended December 31, 2024. Under the provisions of the 401(k) plan, employee contributions are partially matched by the Bank as follows: 100% of each employee’s contributions up to 1% of each employee’s compensation plus 50% of each employee’s contributions over 1% but not in excess of 6% of each employee’s compensation for a maximum contribution of 3.5% of a participating employee’s compensation. Participants can invest their account balances into several investment alternatives. The 401(k) plan does not allow for investment in the Company’s common stock. Legacy Dime employees were allowed to rollover Company common stock shares in-kind held in the former Dime Community Bank KSOP Plan (“Dime KSOP Plan”) and hold in the 401(k) Plan. The 401(k) held Company common stock within the accounts of participants totaling $6.6 million and $6.3 million at December 31, 2024 and 2023, respectively. Total expense recognized as a component of salaries and employee benefits expense for the 401(k) Plan was $3.0 million during the year ended December 31, 2024 and $2.5 million during the year December 31, 2023, and $2.3 million during the year ended December 31, 2022.</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17. STOCK-BASED COMPENSATION</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December 31, 2024, there were 1,493,586 shares reserved for issuance under the 2021 Equity Incentive Plan.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Stock Option Activity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stock options granted under the Legacy Stock Plans,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Remaining</w:t>
            </w:r>
          </w:p>
        </w:tc>
        <w:tc>
          <w:tcPr>
            <w:tcW w:w="80" w:type="dxa"/>
            <w:vAlign w:val="bottom"/>
          </w:tcPr>
          <w:p>
            <w:pPr>
              <w:spacing w:after="0"/>
              <w:rPr>
                <w:sz w:val="13"/>
                <w:szCs w:val="13"/>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Aggregate</w:t>
            </w:r>
          </w:p>
        </w:tc>
      </w:tr>
      <w:tr>
        <w:trPr>
          <w:trHeight w:val="151"/>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Average Exercise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80" w:type="dxa"/>
            <w:vAlign w:val="bottom"/>
          </w:tcPr>
          <w:p>
            <w:pPr>
              <w:spacing w:after="0"/>
              <w:rPr>
                <w:sz w:val="13"/>
                <w:szCs w:val="13"/>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Intrinsic</w:t>
            </w:r>
          </w:p>
        </w:tc>
      </w:tr>
      <w:tr>
        <w:trPr>
          <w:trHeight w:val="160"/>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(Dollars in thousands except share and per share amounts)</w:t>
            </w: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Years</w:t>
            </w:r>
          </w:p>
        </w:tc>
        <w:tc>
          <w:tcPr>
            <w:tcW w:w="80" w:type="dxa"/>
            <w:vAlign w:val="bottom"/>
          </w:tcPr>
          <w:p>
            <w:pPr>
              <w:spacing w:after="0"/>
              <w:rPr>
                <w:sz w:val="13"/>
                <w:szCs w:val="13"/>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Value</w:t>
            </w:r>
          </w:p>
        </w:tc>
      </w:tr>
      <w:tr>
        <w:trPr>
          <w:trHeight w:val="146"/>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January 1, 2024</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1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1"/>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forfeited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81"/>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December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456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Options vested and exercisable at December 31, 2024</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35.39</w:t>
            </w:r>
          </w:p>
        </w:tc>
        <w:tc>
          <w:tcPr>
            <w:tcW w:w="1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4.2</w:t>
            </w:r>
          </w:p>
        </w:tc>
        <w:tc>
          <w:tcPr>
            <w:tcW w:w="1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ind w:left="560"/>
              <w:spacing w:after="0" w:line="122" w:lineRule="exact"/>
              <w:rPr>
                <w:sz w:val="20"/>
                <w:szCs w:val="20"/>
                <w:color w:val="auto"/>
              </w:rPr>
            </w:pPr>
            <w:r>
              <w:rPr>
                <w:rFonts w:ascii="Times New Roman" w:cs="Times New Roman" w:eastAsia="Times New Roman" w:hAnsi="Times New Roman"/>
                <w:sz w:val="12"/>
                <w:szCs w:val="12"/>
                <w:color w:val="auto"/>
              </w:rPr>
              <w:t>—</w:t>
            </w:r>
          </w:p>
        </w:tc>
      </w:tr>
      <w:tr>
        <w:trPr>
          <w:trHeight w:val="20"/>
        </w:trPr>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Information related to stock options during each period is as follows: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680" w:type="dxa"/>
            <w:vAlign w:val="bottom"/>
            <w:tcBorders>
              <w:bottom w:val="single" w:sz="8" w:color="auto"/>
            </w:tcBorders>
          </w:tcPr>
          <w:p>
            <w:pPr>
              <w:spacing w:after="0"/>
              <w:rPr>
                <w:sz w:val="13"/>
                <w:szCs w:val="13"/>
                <w:color w:val="auto"/>
              </w:rPr>
            </w:pPr>
          </w:p>
        </w:tc>
      </w:tr>
      <w:tr>
        <w:trPr>
          <w:trHeight w:val="146"/>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received for option exercise cost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 recognized on stock option exercises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Intrinsic value of options exercised</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r>
    </w:tbl>
    <w:p>
      <w:pPr>
        <w:spacing w:after="0" w:line="148"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range of exercise prices and weighted-average remaining contractual lives of both outstanding and vested options (by option exercise cost) as of December 31, 2024 were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9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Outstanding Options</w:t>
            </w:r>
          </w:p>
        </w:tc>
        <w:tc>
          <w:tcPr>
            <w:tcW w:w="17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Vested Options</w:t>
            </w:r>
          </w:p>
        </w:tc>
      </w:tr>
      <w:tr>
        <w:trPr>
          <w:trHeight w:val="130"/>
        </w:trPr>
        <w:tc>
          <w:tcPr>
            <w:tcW w:w="5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Weighted</w:t>
            </w:r>
          </w:p>
        </w:tc>
      </w:tr>
      <w:tr>
        <w:trPr>
          <w:trHeight w:val="151"/>
        </w:trPr>
        <w:tc>
          <w:tcPr>
            <w:tcW w:w="5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1"/>
        </w:trPr>
        <w:tc>
          <w:tcPr>
            <w:tcW w:w="53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Contractual</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Contractual</w:t>
            </w:r>
          </w:p>
        </w:tc>
      </w:tr>
      <w:tr>
        <w:trPr>
          <w:trHeight w:val="151"/>
        </w:trPr>
        <w:tc>
          <w:tcPr>
            <w:tcW w:w="53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Years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Years</w:t>
            </w:r>
          </w:p>
        </w:tc>
      </w:tr>
      <w:tr>
        <w:trPr>
          <w:trHeight w:val="160"/>
        </w:trPr>
        <w:tc>
          <w:tcPr>
            <w:tcW w:w="53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Remaining</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Remaining</w:t>
            </w:r>
          </w:p>
        </w:tc>
      </w:tr>
      <w:tr>
        <w:trPr>
          <w:trHeight w:val="146"/>
        </w:trPr>
        <w:tc>
          <w:tcPr>
            <w:tcW w:w="5300" w:type="dxa"/>
            <w:vAlign w:val="bottom"/>
            <w:tcBorders>
              <w:top w:val="single" w:sz="8" w:color="CCEEFF"/>
            </w:tcBorders>
            <w:shd w:val="clear" w:color="auto" w:fill="CCEEFF"/>
          </w:tcPr>
          <w:p>
            <w:pPr>
              <w:jc w:val="right"/>
              <w:ind w:right="4400"/>
              <w:spacing w:after="0"/>
              <w:rPr>
                <w:sz w:val="20"/>
                <w:szCs w:val="20"/>
                <w:color w:val="auto"/>
              </w:rPr>
            </w:pPr>
            <w:r>
              <w:rPr>
                <w:rFonts w:ascii="Times New Roman" w:cs="Times New Roman" w:eastAsia="Times New Roman" w:hAnsi="Times New Roman"/>
                <w:sz w:val="12"/>
                <w:szCs w:val="12"/>
                <w:b w:val="1"/>
                <w:bCs w:val="1"/>
                <w:color w:val="auto"/>
              </w:rPr>
              <w:t>Exercise Prices:</w:t>
            </w: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r>
      <w:tr>
        <w:trPr>
          <w:trHeight w:val="151"/>
        </w:trPr>
        <w:tc>
          <w:tcPr>
            <w:tcW w:w="5300" w:type="dxa"/>
            <w:vAlign w:val="bottom"/>
          </w:tcPr>
          <w:p>
            <w:pPr>
              <w:jc w:val="right"/>
              <w:ind w:right="4900"/>
              <w:spacing w:after="0"/>
              <w:rPr>
                <w:sz w:val="20"/>
                <w:szCs w:val="20"/>
                <w:color w:val="auto"/>
              </w:rPr>
            </w:pPr>
            <w:r>
              <w:rPr>
                <w:rFonts w:ascii="Times New Roman" w:cs="Times New Roman" w:eastAsia="Times New Roman" w:hAnsi="Times New Roman"/>
                <w:sz w:val="12"/>
                <w:szCs w:val="12"/>
                <w:color w:val="auto"/>
                <w:w w:val="96"/>
              </w:rPr>
              <w:t>$34.87</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10,061</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10,061</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51"/>
        </w:trPr>
        <w:tc>
          <w:tcPr>
            <w:tcW w:w="5300" w:type="dxa"/>
            <w:vAlign w:val="bottom"/>
            <w:shd w:val="clear" w:color="auto" w:fill="CCEEFF"/>
          </w:tcPr>
          <w:p>
            <w:pPr>
              <w:jc w:val="right"/>
              <w:ind w:right="4900"/>
              <w:spacing w:after="0"/>
              <w:rPr>
                <w:sz w:val="20"/>
                <w:szCs w:val="20"/>
                <w:color w:val="auto"/>
              </w:rPr>
            </w:pPr>
            <w:r>
              <w:rPr>
                <w:rFonts w:ascii="Times New Roman" w:cs="Times New Roman" w:eastAsia="Times New Roman" w:hAnsi="Times New Roman"/>
                <w:sz w:val="12"/>
                <w:szCs w:val="12"/>
                <w:color w:val="auto"/>
                <w:w w:val="96"/>
              </w:rPr>
              <w:t>$35.35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9,802</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9,802</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51"/>
        </w:trPr>
        <w:tc>
          <w:tcPr>
            <w:tcW w:w="5300" w:type="dxa"/>
            <w:vAlign w:val="bottom"/>
            <w:tcBorders>
              <w:bottom w:val="single" w:sz="8" w:color="CCEEFF"/>
            </w:tcBorders>
          </w:tcPr>
          <w:p>
            <w:pPr>
              <w:jc w:val="right"/>
              <w:ind w:right="4900"/>
              <w:spacing w:after="0"/>
              <w:rPr>
                <w:sz w:val="20"/>
                <w:szCs w:val="20"/>
                <w:color w:val="auto"/>
              </w:rPr>
            </w:pPr>
            <w:r>
              <w:rPr>
                <w:rFonts w:ascii="Times New Roman" w:cs="Times New Roman" w:eastAsia="Times New Roman" w:hAnsi="Times New Roman"/>
                <w:sz w:val="12"/>
                <w:szCs w:val="12"/>
                <w:color w:val="auto"/>
                <w:w w:val="96"/>
              </w:rPr>
              <w:t>$36.19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7,132</w:t>
            </w: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7,132</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1"/>
        </w:trPr>
        <w:tc>
          <w:tcPr>
            <w:tcW w:w="5300" w:type="dxa"/>
            <w:vAlign w:val="bottom"/>
            <w:tcBorders>
              <w:bottom w:val="single" w:sz="8" w:color="CCEEFF"/>
            </w:tcBorders>
            <w:shd w:val="clear" w:color="auto" w:fill="CCEEFF"/>
          </w:tcPr>
          <w:p>
            <w:pPr>
              <w:jc w:val="right"/>
              <w:ind w:right="4900"/>
              <w:spacing w:after="0"/>
              <w:rPr>
                <w:sz w:val="20"/>
                <w:szCs w:val="20"/>
                <w:color w:val="auto"/>
              </w:rPr>
            </w:pPr>
            <w:r>
              <w:rPr>
                <w:rFonts w:ascii="Times New Roman" w:cs="Times New Roman" w:eastAsia="Times New Roman" w:hAnsi="Times New Roman"/>
                <w:sz w:val="12"/>
                <w:szCs w:val="12"/>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20"/>
        </w:trPr>
        <w:tc>
          <w:tcPr>
            <w:tcW w:w="5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Awards</w:t>
      </w:r>
    </w:p>
    <w:p>
      <w:pPr>
        <w:spacing w:after="0" w:line="177"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the RSAs granted,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51"/>
        </w:trPr>
        <w:tc>
          <w:tcPr>
            <w:tcW w:w="6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1"/>
        </w:trPr>
        <w:tc>
          <w:tcPr>
            <w:tcW w:w="674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13"/>
                <w:szCs w:val="13"/>
                <w:color w:val="auto"/>
              </w:rPr>
            </w:pPr>
          </w:p>
        </w:tc>
        <w:tc>
          <w:tcPr>
            <w:tcW w:w="94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Grant-Date</w:t>
            </w:r>
          </w:p>
        </w:tc>
      </w:tr>
      <w:tr>
        <w:trPr>
          <w:trHeight w:val="160"/>
        </w:trPr>
        <w:tc>
          <w:tcPr>
            <w:tcW w:w="674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3"/>
                <w:szCs w:val="13"/>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14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Unvested allocated shares outstanding at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356,795</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26.88</w:t>
            </w:r>
          </w:p>
        </w:tc>
      </w:tr>
      <w:tr>
        <w:trPr>
          <w:trHeight w:val="151"/>
        </w:trPr>
        <w:tc>
          <w:tcPr>
            <w:tcW w:w="6740" w:type="dxa"/>
            <w:vAlign w:val="bottom"/>
          </w:tcPr>
          <w:p>
            <w:pPr>
              <w:spacing w:after="0"/>
              <w:rPr>
                <w:sz w:val="20"/>
                <w:szCs w:val="20"/>
                <w:color w:val="auto"/>
              </w:rPr>
            </w:pPr>
            <w:r>
              <w:rPr>
                <w:rFonts w:ascii="Times New Roman" w:cs="Times New Roman" w:eastAsia="Times New Roman" w:hAnsi="Times New Roman"/>
                <w:sz w:val="12"/>
                <w:szCs w:val="12"/>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319,924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w:t>
            </w:r>
          </w:p>
        </w:tc>
      </w:tr>
      <w:tr>
        <w:trPr>
          <w:trHeight w:val="15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(170,540)</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26.98</w:t>
            </w:r>
          </w:p>
        </w:tc>
      </w:tr>
      <w:tr>
        <w:trPr>
          <w:trHeight w:val="151"/>
        </w:trPr>
        <w:tc>
          <w:tcPr>
            <w:tcW w:w="6740" w:type="dxa"/>
            <w:vAlign w:val="bottom"/>
          </w:tcPr>
          <w:p>
            <w:pPr>
              <w:spacing w:after="0"/>
              <w:rPr>
                <w:sz w:val="20"/>
                <w:szCs w:val="20"/>
                <w:color w:val="auto"/>
              </w:rPr>
            </w:pPr>
            <w:r>
              <w:rPr>
                <w:rFonts w:ascii="Times New Roman" w:cs="Times New Roman" w:eastAsia="Times New Roman" w:hAnsi="Times New Roman"/>
                <w:sz w:val="12"/>
                <w:szCs w:val="12"/>
                <w:color w:val="auto"/>
              </w:rPr>
              <w:t>Shares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(35,943)</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24.15</w:t>
            </w:r>
          </w:p>
        </w:tc>
      </w:tr>
      <w:tr>
        <w:trPr>
          <w:trHeight w:val="141"/>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Unvested allocated shares outstanding at 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470,236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22.79</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Information related to RSAs during each period is as follows:</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680" w:type="dxa"/>
            <w:vAlign w:val="bottom"/>
            <w:tcBorders>
              <w:bottom w:val="single" w:sz="8" w:color="auto"/>
            </w:tcBorders>
          </w:tcPr>
          <w:p>
            <w:pPr>
              <w:spacing w:after="0"/>
              <w:rPr>
                <w:sz w:val="13"/>
                <w:szCs w:val="13"/>
                <w:color w:val="auto"/>
              </w:rPr>
            </w:pPr>
          </w:p>
        </w:tc>
      </w:tr>
      <w:tr>
        <w:trPr>
          <w:trHeight w:val="146"/>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 expense recognized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5,780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3,516</w:t>
            </w:r>
          </w:p>
        </w:tc>
      </w:tr>
      <w:tr>
        <w:trPr>
          <w:trHeight w:val="160"/>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recognized on vesting of RSAs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(317)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bl>
    <w:p>
      <w:pPr>
        <w:spacing w:after="0" w:line="140"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there was $5.6 million of total unrecognized compensation cost related to unvested RSAs to be recognized over a weighted-average period of 1.7 years.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Performance-Based Share Awards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maintains a Long 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During the year ended December 31, 2024 and 2023, 96,049 shares and 195,066 shares have been granted, respectively.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the PSAs granted,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Grant-Date</w:t>
            </w:r>
          </w:p>
        </w:tc>
        <w:tc>
          <w:tcPr>
            <w:tcW w:w="0" w:type="dxa"/>
            <w:vAlign w:val="bottom"/>
          </w:tcPr>
          <w:p>
            <w:pPr>
              <w:spacing w:after="0"/>
              <w:rPr>
                <w:sz w:val="1"/>
                <w:szCs w:val="1"/>
                <w:color w:val="auto"/>
              </w:rPr>
            </w:pPr>
          </w:p>
        </w:tc>
      </w:tr>
      <w:tr>
        <w:trPr>
          <w:trHeight w:val="160"/>
        </w:trPr>
        <w:tc>
          <w:tcPr>
            <w:tcW w:w="58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4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Maximum aggregate share payout at January 1, 2024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222,240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20.64</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Shares granted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96,049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18.61</w:t>
            </w:r>
          </w:p>
        </w:tc>
        <w:tc>
          <w:tcPr>
            <w:tcW w:w="0" w:type="dxa"/>
            <w:vAlign w:val="bottom"/>
          </w:tcPr>
          <w:p>
            <w:pPr>
              <w:spacing w:after="0"/>
              <w:rPr>
                <w:sz w:val="1"/>
                <w:szCs w:val="1"/>
                <w:color w:val="auto"/>
              </w:rPr>
            </w:pPr>
          </w:p>
        </w:tc>
      </w:tr>
      <w:tr>
        <w:trPr>
          <w:trHeight w:val="151"/>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forfeited</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(47,054)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24.75</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Shares vested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(12,371)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w:t>
            </w:r>
          </w:p>
        </w:tc>
        <w:tc>
          <w:tcPr>
            <w:tcW w:w="0" w:type="dxa"/>
            <w:vAlign w:val="bottom"/>
          </w:tcPr>
          <w:p>
            <w:pPr>
              <w:spacing w:after="0"/>
              <w:rPr>
                <w:sz w:val="1"/>
                <w:szCs w:val="1"/>
                <w:color w:val="auto"/>
              </w:rPr>
            </w:pPr>
          </w:p>
        </w:tc>
      </w:tr>
      <w:tr>
        <w:trPr>
          <w:trHeight w:val="141"/>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Maximum aggregate share payout at December 31, 2024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258,864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Minimum aggregate share payout</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80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Expected aggregate share payout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248,381</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18.35</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Information related to PSAs during each period is as follows:</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1"/>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 expense recognized</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910</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635</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0" w:type="dxa"/>
            <w:vAlign w:val="bottom"/>
          </w:tcPr>
          <w:p>
            <w:pPr>
              <w:spacing w:after="0"/>
              <w:rPr>
                <w:sz w:val="1"/>
                <w:szCs w:val="1"/>
                <w:color w:val="auto"/>
              </w:rPr>
            </w:pPr>
          </w:p>
        </w:tc>
      </w:tr>
      <w:tr>
        <w:trPr>
          <w:trHeight w:val="160"/>
        </w:trPr>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 recognized on vesting of PSAs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(52)</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December 31, 2024, there was $2.5 million of total unrecognized compensation cost related to unvested PSAs based on the expected aggregate share payout to be recognized over a weighted-average period of 1.8 years.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18. EARNINGS PER SHARE</w:t>
      </w:r>
    </w:p>
    <w:p>
      <w:pPr>
        <w:spacing w:after="0" w:line="177"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and prior to 2021, if all likely aggregate PSAs were issued. In determining the weighted average shares outstanding for basic and diluted EPS, treasury shares are excluded. Vested restricted stock award (“RSA”) shares are included in the calculation of the weighted average shares outstanding for basic and diluted EPS. Unvested RSA and performance-based share awards (“PSA”) shares not yet awarded are recognized as a special class of participating</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securities under ASC 260, and are included in the calculation of the weighted average shares outstanding for basic and diluted EPS.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reconciliation of the numerators and denominators of basic and diluted EPS for the periods presented:</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 except share and per share amounts)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available to common stockholders</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21,798</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88,808</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145,270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Dividends paid and earnings allocated to participating securities</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(1,240)</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attributable to common stock</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21,421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87,568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143,582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including participating securities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39,657,985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38,754,346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38,985,314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weighted-average participating securities</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(724,931)</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(566,869)</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(446,480)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38,933,054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38,187,477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38,538,834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EPS</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0.55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attributable to common stock</w:t>
            </w:r>
          </w:p>
        </w:tc>
        <w:tc>
          <w:tcPr>
            <w:tcW w:w="28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21,421</w:t>
            </w:r>
          </w:p>
        </w:tc>
        <w:tc>
          <w:tcPr>
            <w:tcW w:w="3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87,568</w:t>
            </w:r>
          </w:p>
        </w:tc>
        <w:tc>
          <w:tcPr>
            <w:tcW w:w="3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143,582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38,933,054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38,187,477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38,538,834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equivalent shares outstanding</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Weighted-average common and equivalent shares outstanding</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38,933,054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38,187,477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38,538,834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EPS</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0.55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were 26,995, 69,479 and 134,447 weighted-average stock options outstanding for the years ended December 31, 2024, 2023 and 2022, respectively, which were not considered in the calculation of diluted EPS since their exercise prices exceeded the average market price during the period.</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19. PREFERRED STOCK</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1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2025 or within 90 days following a regulatory capital treatment event, as described in the prospectus supplement and accompanying prospectus relating to the offering.</w:t>
      </w:r>
    </w:p>
    <w:p>
      <w:pPr>
        <w:spacing w:after="0" w:line="129" w:lineRule="exact"/>
        <w:rPr>
          <w:sz w:val="20"/>
          <w:szCs w:val="20"/>
          <w:color w:val="auto"/>
        </w:rPr>
      </w:pPr>
    </w:p>
    <w:p>
      <w:pPr>
        <w:ind w:left="20" w:right="6219" w:firstLine="9"/>
        <w:spacing w:after="0" w:line="520" w:lineRule="auto"/>
        <w:tabs>
          <w:tab w:leader="none" w:pos="222"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 Loan Commitments and Lines of Credit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contractual amounts of financial instruments with off-balance sheet risk were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3"/>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60" w:type="dxa"/>
            <w:vAlign w:val="bottom"/>
            <w:tcBorders>
              <w:bottom w:val="single" w:sz="8" w:color="auto"/>
            </w:tcBorders>
          </w:tcPr>
          <w:p>
            <w:pPr>
              <w:spacing w:after="0"/>
              <w:rPr>
                <w:sz w:val="12"/>
                <w:szCs w:val="12"/>
                <w:color w:val="auto"/>
              </w:rPr>
            </w:pPr>
          </w:p>
        </w:tc>
      </w:tr>
      <w:tr>
        <w:trPr>
          <w:trHeight w:val="141"/>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Variable Rate</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4"/>
              </w:rPr>
              <w:t>Variable Rate</w:t>
            </w:r>
          </w:p>
        </w:tc>
      </w:tr>
      <w:tr>
        <w:trPr>
          <w:trHeight w:val="14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 lines of credit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195,714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993,637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1,072,471</w:t>
            </w: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Other loan commitments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33,858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43,975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89,855</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Stand-by letters of credit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31,374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38,095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and 2023, the Bank had outstanding firm loan commitments that were accepted by borrowers that aggregated to $77.8 million and $97.0 million, respectively. Substantially all of the Bank’s commitments expire within</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three months of their acceptance by the prospective borrowers. The credit risk associated with these commitments is based on the loan type which is comprised of multifamily residential, residential mixed-use, business, non-owner-occupied, commercial mixed-use, and one-to-four family residential loans.</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December 31, 2024, the Bank had an available line of credit with the FHLBNY equal to its excess borrowing capacity. At December 31, 2024, this amount approximated $1.84 billion.</w:t>
      </w:r>
    </w:p>
    <w:p>
      <w:pPr>
        <w:spacing w:after="0" w:line="114"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During the year ended December 31, 2017, the Bank completed a securitization of $280.2 million of its multifamily loans through a FHLMC sponsored “Q-deal” securitization. With respect to the securitization transaction, the Company also has continuing involvement through a reimbursement agreement executed with Freddie Mac. To the extent the ultimate resolution of defaulted loans results in contractual principal and interest payments that are deficient, the Company is obligated to reimburse FHLMC for such amounts, not to exceed 10% of the original principal amount of the loans comprising the securitization pool at the closing date.</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Litigation</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is subject to certain pending and threatened legal actions which arise out of the normal course of business. Litigation is inherently unpredictable, particularly in proceedings where claimants seek substantial or indeterminate damages, or which are in their early stages. The Company cannot predict with certainty the actual loss or range of loss related to such legal proceedings, the manner in which they will be resolved, the timing of final resolution or the ultimate settlement. Consequently, the Company cannot estimate losses or ranges of losses related to such legal matters, even in instances where it is reasonably possible that a loss will be incurred. In the opinion of management, after consultation with counsel, the resolution of all ongoing legal proceedings will not have a material adverse effect on the consolidated financial condition or results of operations of the Company. The Company accounts for potential losses related to litigation in accordance with GAAP.</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21. FAIR VALUE OF FINANCIAL INSTRUMENTS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12"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Level 1 Inputs </w:t>
      </w:r>
      <w:r>
        <w:rPr>
          <w:rFonts w:ascii="Times New Roman" w:cs="Times New Roman" w:eastAsia="Times New Roman" w:hAnsi="Times New Roman"/>
          <w:sz w:val="13"/>
          <w:szCs w:val="13"/>
          <w:color w:val="auto"/>
        </w:rPr>
        <w:t>– Quoted prices (unadjusted) for identical assets or liabilities in active markets that the reporting entity has the ability to access at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measurement date.</w:t>
      </w:r>
    </w:p>
    <w:p>
      <w:pPr>
        <w:spacing w:after="0" w:line="110" w:lineRule="exact"/>
        <w:rPr>
          <w:sz w:val="20"/>
          <w:szCs w:val="20"/>
          <w:color w:val="auto"/>
        </w:rPr>
      </w:pPr>
    </w:p>
    <w:p>
      <w:pPr>
        <w:jc w:val="both"/>
        <w:ind w:left="20" w:right="39" w:firstLine="29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Level 2 Inputs </w:t>
      </w:r>
      <w:r>
        <w:rPr>
          <w:rFonts w:ascii="Times New Roman" w:cs="Times New Roman" w:eastAsia="Times New Roman" w:hAnsi="Times New Roman"/>
          <w:sz w:val="13"/>
          <w:szCs w:val="13"/>
          <w:color w:val="auto"/>
        </w:rPr>
        <w:t>– Significant other observable inputs such as any of the following: (1) quoted prices for similar assets or liabilities in active markets, (2) quoted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prices for identical or similar assets or liabilities in markets that are not active, (3) inputs other than quoted prices that are observable for the asset or liability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interest rates and yield curves observable at commonly quoted intervals, volatilities, prepayment speeds, loss severities, credit risks, and default rates), or (4) inputs that are derived principally from or corroborated by observable market data by correlation or other means (market-corroborated inputs).</w:t>
      </w:r>
    </w:p>
    <w:p>
      <w:pPr>
        <w:spacing w:after="0" w:line="129" w:lineRule="exact"/>
        <w:rPr>
          <w:sz w:val="20"/>
          <w:szCs w:val="20"/>
          <w:color w:val="auto"/>
        </w:rPr>
      </w:pPr>
    </w:p>
    <w:p>
      <w:pPr>
        <w:jc w:val="both"/>
        <w:ind w:left="20" w:right="39" w:firstLine="29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Level 3 Inputs – </w:t>
      </w:r>
      <w:r>
        <w:rPr>
          <w:rFonts w:ascii="Times New Roman" w:cs="Times New Roman" w:eastAsia="Times New Roman" w:hAnsi="Times New Roman"/>
          <w:sz w:val="13"/>
          <w:szCs w:val="13"/>
          <w:color w:val="auto"/>
        </w:rPr>
        <w:t>Significant unobservable inputs for the asset or liability. Significant unobservable inputs reflect the reporting entity’s own assumptions about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Assets and Liabilities Measured at Fair Value on a Recurring Basis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Securities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All MBS, CMOs, treasury securities, and agency notes are guaranteed either implicitly or explicitly by GSEs as of December 31, 2024 and December 31, 2023. In accordance with the Company’s investment policy, corporate securities are rated "investment grade" at the time of purchase and the financials of the issuers are reviewed quarterly. Obtaining market values as of December 31, 2024 and December 31, 2023 for these securities utilizing significant observable inputs was not difficult due to their liquid nature.</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Derivatives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Derivatives represent interest rate swaps and estimated fair values are based on valuation models using observable market data as of the measurement date.</w:t>
      </w:r>
    </w:p>
    <w:p>
      <w:pPr>
        <w:spacing w:after="0" w:line="173"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ind w:left="42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540" w:type="dxa"/>
            <w:vAlign w:val="bottom"/>
          </w:tcPr>
          <w:p>
            <w:pPr>
              <w:spacing w:after="0"/>
              <w:rPr>
                <w:sz w:val="13"/>
                <w:szCs w:val="13"/>
                <w:color w:val="auto"/>
              </w:rPr>
            </w:pPr>
          </w:p>
        </w:tc>
      </w:t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at December 31, 2024 Using</w:t>
            </w:r>
          </w:p>
        </w:tc>
      </w:tr>
      <w:tr>
        <w:trPr>
          <w:trHeight w:val="130"/>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0" w:lineRule="exact"/>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40" w:type="dxa"/>
            <w:vAlign w:val="bottom"/>
          </w:tcPr>
          <w:p>
            <w:pPr>
              <w:spacing w:after="0"/>
              <w:rPr>
                <w:sz w:val="11"/>
                <w:szCs w:val="11"/>
                <w:color w:val="auto"/>
              </w:rPr>
            </w:pPr>
          </w:p>
        </w:tc>
        <w:tc>
          <w:tcPr>
            <w:tcW w:w="540" w:type="dxa"/>
            <w:vAlign w:val="bottom"/>
          </w:tcPr>
          <w:p>
            <w:pPr>
              <w:jc w:val="right"/>
              <w:ind w:right="100"/>
              <w:spacing w:after="0" w:line="130" w:lineRule="exact"/>
              <w:rPr>
                <w:sz w:val="20"/>
                <w:szCs w:val="20"/>
                <w:color w:val="auto"/>
              </w:rPr>
            </w:pPr>
            <w:r>
              <w:rPr>
                <w:rFonts w:ascii="Times New Roman" w:cs="Times New Roman" w:eastAsia="Times New Roman" w:hAnsi="Times New Roman"/>
                <w:sz w:val="12"/>
                <w:szCs w:val="12"/>
                <w:b w:val="1"/>
                <w:bCs w:val="1"/>
                <w:color w:val="auto"/>
                <w:w w:val="97"/>
              </w:rPr>
              <w:t>Level 3</w:t>
            </w:r>
          </w:p>
        </w:tc>
      </w:tr>
      <w:tr>
        <w:trPr>
          <w:trHeight w:val="160"/>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4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40" w:type="dxa"/>
            <w:vAlign w:val="bottom"/>
          </w:tcPr>
          <w:p>
            <w:pPr>
              <w:spacing w:after="0"/>
              <w:rPr>
                <w:sz w:val="13"/>
                <w:szCs w:val="13"/>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4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51"/>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available-for-sale: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1"/>
        </w:trPr>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Agency notes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9,607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9,607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0"/>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Treasury securities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2"/>
        </w:trPr>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 securities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163,949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163,949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Pass-through MBS issued by GSEs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300,221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300,221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Agency CMOs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191,888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191,888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25,028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8,318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8,318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1"/>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 fair value hedges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108,178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1"/>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risk participations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ind w:left="42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540" w:type="dxa"/>
            <w:vAlign w:val="bottom"/>
          </w:tcPr>
          <w:p>
            <w:pPr>
              <w:spacing w:after="0"/>
              <w:rPr>
                <w:sz w:val="13"/>
                <w:szCs w:val="13"/>
                <w:color w:val="auto"/>
              </w:rPr>
            </w:pPr>
          </w:p>
        </w:tc>
      </w:t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at December 31, 2023 Using</w:t>
            </w:r>
          </w:p>
        </w:tc>
      </w:tr>
      <w:tr>
        <w:trPr>
          <w:trHeight w:val="130"/>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0"/>
              <w:spacing w:after="0" w:line="130" w:lineRule="exact"/>
              <w:rPr>
                <w:sz w:val="20"/>
                <w:szCs w:val="20"/>
                <w:color w:val="auto"/>
              </w:rPr>
            </w:pPr>
            <w:r>
              <w:rPr>
                <w:rFonts w:ascii="Times New Roman" w:cs="Times New Roman" w:eastAsia="Times New Roman" w:hAnsi="Times New Roman"/>
                <w:sz w:val="12"/>
                <w:szCs w:val="12"/>
                <w:b w:val="1"/>
                <w:bCs w:val="1"/>
                <w:color w:val="auto"/>
                <w:w w:val="97"/>
              </w:rPr>
              <w:t>Level 3</w:t>
            </w:r>
          </w:p>
        </w:tc>
      </w:tr>
      <w:tr>
        <w:trPr>
          <w:trHeight w:val="16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4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Securities available-for-sale: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1"/>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5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securities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234,190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234,190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151,170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151,170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Pass-through MBS issued by GSEs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205,285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205,285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259,415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259,415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26,809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fair value hedge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114,671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r>
    </w:tbl>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Assets Measured at Fair Value on a Non-recurring Basis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Certain financial assets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6"/>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6"/>
              </w:rPr>
              <w:t>Fair Value Measurements Using:</w:t>
            </w: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jc w:val="center"/>
              <w:ind w:left="91"/>
              <w:spacing w:after="0" w:line="82" w:lineRule="exact"/>
              <w:rPr>
                <w:sz w:val="20"/>
                <w:szCs w:val="20"/>
                <w:color w:val="auto"/>
              </w:rPr>
            </w:pPr>
            <w:r>
              <w:rPr>
                <w:rFonts w:ascii="Times New Roman" w:cs="Times New Roman" w:eastAsia="Times New Roman" w:hAnsi="Times New Roman"/>
                <w:sz w:val="9"/>
                <w:szCs w:val="9"/>
                <w:b w:val="1"/>
                <w:bCs w:val="1"/>
                <w:color w:val="auto"/>
              </w:rPr>
              <w:t>Quoted Prices</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 Active</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Significant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5"/>
              </w:rPr>
              <w:t>Markets for</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Identical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86"/>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0" w:type="dxa"/>
            <w:vAlign w:val="bottom"/>
          </w:tcPr>
          <w:p>
            <w:pPr>
              <w:spacing w:after="0"/>
              <w:rPr>
                <w:sz w:val="1"/>
                <w:szCs w:val="1"/>
                <w:color w:val="auto"/>
              </w:rPr>
            </w:pPr>
          </w:p>
        </w:tc>
      </w:tr>
      <w:tr>
        <w:trPr>
          <w:trHeight w:val="130"/>
        </w:trPr>
        <w:tc>
          <w:tcPr>
            <w:tcW w:w="4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(Level 3)</w:t>
            </w: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Individually evaluated loans</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7,584</w:t>
            </w: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6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7,584</w:t>
            </w:r>
          </w:p>
        </w:tc>
        <w:tc>
          <w:tcPr>
            <w:tcW w:w="0" w:type="dxa"/>
            <w:vAlign w:val="bottom"/>
          </w:tcPr>
          <w:p>
            <w:pPr>
              <w:spacing w:after="0"/>
              <w:rPr>
                <w:sz w:val="1"/>
                <w:szCs w:val="1"/>
                <w:color w:val="auto"/>
              </w:rPr>
            </w:pPr>
          </w:p>
        </w:tc>
      </w:tr>
      <w:tr>
        <w:trPr>
          <w:trHeight w:val="282"/>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6"/>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6"/>
              </w:rPr>
              <w:t>Fair Value Measurements Using:</w:t>
            </w: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jc w:val="center"/>
              <w:ind w:left="91"/>
              <w:spacing w:after="0" w:line="82" w:lineRule="exact"/>
              <w:rPr>
                <w:sz w:val="20"/>
                <w:szCs w:val="20"/>
                <w:color w:val="auto"/>
              </w:rPr>
            </w:pPr>
            <w:r>
              <w:rPr>
                <w:rFonts w:ascii="Times New Roman" w:cs="Times New Roman" w:eastAsia="Times New Roman" w:hAnsi="Times New Roman"/>
                <w:sz w:val="9"/>
                <w:szCs w:val="9"/>
                <w:b w:val="1"/>
                <w:bCs w:val="1"/>
                <w:color w:val="auto"/>
              </w:rPr>
              <w:t>Quoted Prices</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 Active</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Significant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5"/>
              </w:rPr>
              <w:t>Markets for</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Identical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86"/>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0" w:type="dxa"/>
            <w:vAlign w:val="bottom"/>
          </w:tcPr>
          <w:p>
            <w:pPr>
              <w:spacing w:after="0"/>
              <w:rPr>
                <w:sz w:val="1"/>
                <w:szCs w:val="1"/>
                <w:color w:val="auto"/>
              </w:rPr>
            </w:pPr>
          </w:p>
        </w:tc>
      </w:tr>
      <w:tr>
        <w:trPr>
          <w:trHeight w:val="130"/>
        </w:trPr>
        <w:tc>
          <w:tcPr>
            <w:tcW w:w="4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(Level 3)</w:t>
            </w: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Individually evaluated loans</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6,336</w:t>
            </w: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6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6,336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Individually evaluated loans with an allowance for credit losses at December 31, 2024 had a carrying amount of $7.6 million, which is made up of the outstanding balance of $9.7 million, net of a valuation allowance of $2.1 million. Collateral dependent individually analyzed loans as of December 31, 2024 resulted in a credit loss recovery of $194 thousand, which is included in the amounts reported in the consolidated statements of operations for the year ended December 31, 2024.</w:t>
      </w:r>
    </w:p>
    <w:p>
      <w:pPr>
        <w:spacing w:after="0" w:line="12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Individually evaluated loans with an allowance for credit losses at December 31, 2023 had a carrying amount of $6.3 million, which is made up of the outstanding balance of $7.3 million, net of a valuation allowance of $1.0 million. Collateral dependent individually analyzed loans as of December 31, 2023 resulted in a credit loss recovery of $371 thousand, which is included in the amounts reported in the consolidated statements of operations for the year ended December 31, 2023.</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Instruments Not Measured at Fair Value</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7"/>
          </w:tcPr>
          <w:p>
            <w:pPr>
              <w:ind w:left="160"/>
              <w:spacing w:after="0"/>
              <w:rPr>
                <w:sz w:val="20"/>
                <w:szCs w:val="20"/>
                <w:color w:val="auto"/>
              </w:rPr>
            </w:pPr>
            <w:r>
              <w:rPr>
                <w:rFonts w:ascii="Times New Roman" w:cs="Times New Roman" w:eastAsia="Times New Roman" w:hAnsi="Times New Roman"/>
                <w:sz w:val="12"/>
                <w:szCs w:val="12"/>
                <w:b w:val="1"/>
                <w:bCs w:val="1"/>
                <w:color w:val="auto"/>
              </w:rPr>
              <w:t>Fair Value Measurements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2"/>
                <w:szCs w:val="12"/>
                <w:b w:val="1"/>
                <w:bCs w:val="1"/>
                <w:color w:val="auto"/>
              </w:rPr>
              <w:t>at December 31, 2024 Using</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33"/>
        </w:trPr>
        <w:tc>
          <w:tcPr>
            <w:tcW w:w="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340"/>
              <w:spacing w:after="0" w:line="133"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6"/>
        </w:trPr>
        <w:tc>
          <w:tcPr>
            <w:tcW w:w="36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51"/>
        </w:trPr>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Cash and due from banks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1,283,571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1,283,571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1,283,571</w:t>
            </w:r>
          </w:p>
        </w:tc>
      </w:tr>
      <w:tr>
        <w:trPr>
          <w:trHeight w:val="151"/>
        </w:trPr>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Securities held-to-maturity</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637,339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552,277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552,277</w:t>
            </w:r>
          </w:p>
        </w:tc>
      </w:tr>
      <w:tr>
        <w:trPr>
          <w:trHeight w:val="151"/>
        </w:trPr>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Loans held for sale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22,625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22,625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22,625</w:t>
            </w:r>
          </w:p>
        </w:tc>
      </w:tr>
      <w:tr>
        <w:trPr>
          <w:trHeight w:val="151"/>
        </w:trPr>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Loans held for investment, net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10,775,608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10,354,366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10,354,366</w:t>
            </w:r>
          </w:p>
        </w:tc>
      </w:tr>
      <w:tr>
        <w:trPr>
          <w:trHeight w:val="151"/>
        </w:trPr>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interest receivable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55,970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6,676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49,294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55,970</w:t>
            </w:r>
          </w:p>
        </w:tc>
      </w:tr>
      <w:tr>
        <w:trPr>
          <w:trHeight w:val="151"/>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1"/>
        </w:trPr>
        <w:tc>
          <w:tcPr>
            <w:tcW w:w="3600" w:type="dxa"/>
            <w:vAlign w:val="bottom"/>
            <w:gridSpan w:val="3"/>
          </w:tcPr>
          <w:p>
            <w:pPr>
              <w:ind w:left="100"/>
              <w:spacing w:after="0" w:line="151" w:lineRule="exact"/>
              <w:rPr>
                <w:sz w:val="20"/>
                <w:szCs w:val="20"/>
                <w:color w:val="auto"/>
              </w:rPr>
            </w:pPr>
            <w:r>
              <w:rPr>
                <w:rFonts w:ascii="Times New Roman" w:cs="Times New Roman" w:eastAsia="Times New Roman" w:hAnsi="Times New Roman"/>
                <w:sz w:val="12"/>
                <w:szCs w:val="12"/>
                <w:color w:val="auto"/>
              </w:rPr>
              <w:t xml:space="preserve">Savings, money market and checking accounts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10,617,060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10,617,060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10,617,060</w:t>
            </w:r>
          </w:p>
        </w:tc>
      </w:tr>
      <w:tr>
        <w:trPr>
          <w:trHeight w:val="151"/>
        </w:trPr>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CDs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1,069,081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1,066,630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1,066,630</w:t>
            </w:r>
          </w:p>
        </w:tc>
      </w:tr>
      <w:tr>
        <w:trPr>
          <w:trHeight w:val="151"/>
        </w:trPr>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FHLBNY advances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608,000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608,908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608,908</w:t>
            </w:r>
          </w:p>
        </w:tc>
      </w:tr>
      <w:tr>
        <w:trPr>
          <w:trHeight w:val="151"/>
        </w:trPr>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Subordinated debt, net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272,325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257,464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257,464</w:t>
            </w:r>
          </w:p>
        </w:tc>
      </w:tr>
      <w:tr>
        <w:trPr>
          <w:trHeight w:val="151"/>
        </w:trPr>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Other short-term borrowings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50,000</w:t>
            </w:r>
          </w:p>
        </w:tc>
      </w:tr>
      <w:tr>
        <w:trPr>
          <w:trHeight w:val="151"/>
        </w:trPr>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interest payable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8,586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8,586</w:t>
            </w:r>
          </w:p>
        </w:tc>
      </w:tr>
      <w:tr>
        <w:trPr>
          <w:trHeight w:val="81"/>
        </w:trPr>
        <w:tc>
          <w:tcPr>
            <w:tcW w:w="18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4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Includes mortgage escrow deposits.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14"/>
        </w:trPr>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7"/>
          </w:tcPr>
          <w:p>
            <w:pPr>
              <w:ind w:left="200"/>
              <w:spacing w:after="0"/>
              <w:rPr>
                <w:sz w:val="20"/>
                <w:szCs w:val="20"/>
                <w:color w:val="auto"/>
              </w:rPr>
            </w:pPr>
            <w:r>
              <w:rPr>
                <w:rFonts w:ascii="Times New Roman" w:cs="Times New Roman" w:eastAsia="Times New Roman" w:hAnsi="Times New Roman"/>
                <w:sz w:val="12"/>
                <w:szCs w:val="12"/>
                <w:b w:val="1"/>
                <w:bCs w:val="1"/>
                <w:color w:val="auto"/>
              </w:rPr>
              <w:t>Fair Value Measurements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2"/>
                <w:szCs w:val="12"/>
                <w:b w:val="1"/>
                <w:bCs w:val="1"/>
                <w:color w:val="auto"/>
              </w:rPr>
              <w:t>at December 31, 2023 Using</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33"/>
        </w:trPr>
        <w:tc>
          <w:tcPr>
            <w:tcW w:w="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Inputs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6"/>
        </w:trPr>
        <w:tc>
          <w:tcPr>
            <w:tcW w:w="36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51"/>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Cash and due from banks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457,547</w:t>
            </w:r>
          </w:p>
        </w:tc>
        <w:tc>
          <w:tcPr>
            <w:tcW w:w="8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457,547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457,547</w:t>
            </w:r>
          </w:p>
        </w:tc>
      </w:tr>
      <w:tr>
        <w:trPr>
          <w:trHeight w:val="151"/>
        </w:trPr>
        <w:tc>
          <w:tcPr>
            <w:tcW w:w="3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Securities held-to-maturity</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594,639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516,930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516,930</w:t>
            </w:r>
          </w:p>
        </w:tc>
      </w:tr>
      <w:tr>
        <w:trPr>
          <w:trHeight w:val="151"/>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Loans held for sale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10,159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10,159</w:t>
            </w:r>
          </w:p>
        </w:tc>
      </w:tr>
      <w:tr>
        <w:trPr>
          <w:trHeight w:val="151"/>
        </w:trPr>
        <w:tc>
          <w:tcPr>
            <w:tcW w:w="3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Loans held for investment, net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10,695,349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10,305,026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10,305,026</w:t>
            </w:r>
          </w:p>
        </w:tc>
      </w:tr>
      <w:tr>
        <w:trPr>
          <w:trHeight w:val="151"/>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Accrued interest receivable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55,666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55,666</w:t>
            </w:r>
          </w:p>
        </w:tc>
      </w:tr>
      <w:tr>
        <w:trPr>
          <w:trHeight w:val="151"/>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1"/>
        </w:trPr>
        <w:tc>
          <w:tcPr>
            <w:tcW w:w="360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2"/>
                <w:szCs w:val="12"/>
                <w:color w:val="auto"/>
              </w:rPr>
              <w:t xml:space="preserve">Savings, money market and checking accounts </w:t>
            </w:r>
            <w:r>
              <w:rPr>
                <w:rFonts w:ascii="Times New Roman" w:cs="Times New Roman" w:eastAsia="Times New Roman" w:hAnsi="Times New Roman"/>
                <w:sz w:val="17"/>
                <w:szCs w:val="17"/>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8,922,972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8,922,972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8,922,972</w:t>
            </w:r>
          </w:p>
        </w:tc>
      </w:tr>
      <w:tr>
        <w:trPr>
          <w:trHeight w:val="151"/>
        </w:trPr>
        <w:tc>
          <w:tcPr>
            <w:tcW w:w="3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CDs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1,607,683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1,602,087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1,602,087</w:t>
            </w:r>
          </w:p>
        </w:tc>
      </w:tr>
      <w:tr>
        <w:trPr>
          <w:trHeight w:val="151"/>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FHLBNY advances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1,313,000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1,312,940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1,312,940</w:t>
            </w:r>
          </w:p>
        </w:tc>
      </w:tr>
      <w:tr>
        <w:trPr>
          <w:trHeight w:val="151"/>
        </w:trPr>
        <w:tc>
          <w:tcPr>
            <w:tcW w:w="3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Subordinated debt, net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200,196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160,696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160,696</w:t>
            </w:r>
          </w:p>
        </w:tc>
      </w:tr>
      <w:tr>
        <w:trPr>
          <w:trHeight w:val="158"/>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Accrued interest payable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17,298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17,298</w:t>
            </w:r>
          </w:p>
        </w:tc>
      </w:tr>
      <w:tr>
        <w:trPr>
          <w:trHeight w:val="74"/>
        </w:trPr>
        <w:tc>
          <w:tcPr>
            <w:tcW w:w="1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4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Includes mortgage escrow deposits.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22. REGULATORY CAPITAL MATTERS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requirements that involve quantitative measures of the Company’s and Bank’s assets, liabilities, and certain off-balance sheet items calculated under regulatory accounting practices. The Company’s and Bank’s capital amounts and classifications also are subject to qualitative judgments by the regulators about components, risk weightings, and other factors.</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Quantitative measures established by regulation to ensure capital adequacy require the Company and the Bank to maintain minimum amounts and ratios of total, tier 1, and common equity tier 1 capital to risk-weighted assets and of tier 1 capital to average assets. Tier 1 capital, risk-weighted assets and average assets are as defined by regulation. The required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minimums for the Company and Bank are set forth in the tables that follow. The Company and the Bank met all capital adequacy requirements at December 31, 2024 and 2023.</w:t>
      </w:r>
    </w:p>
    <w:p>
      <w:pPr>
        <w:spacing w:after="0" w:line="114"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Under the Basel III Capital Rules the Company and the Bank are subject to the following minimum capital to risk-weighted assets ratios: a) 4.5% based on common equity tier 1 capital ("CET1"); b) 6.0% based on tier 1 capital; and c) 8.0% based on total regulatory capital. A minimum leverage ratio (tier 1 capital as a percentage of total average assets) of 4.0% is also required under the Basel III Capital Rules. The Basel III Capital Rules additionally require institutions to retain a capital conservation buffer, composed of CET1, of 2.5% above these required minimum capital ratio levels. Including the capital conservation buffer, the Company and the Bank effectively have the following minimum capital to risk-weighted assets ratios: a) 7.0% based on CET1; b) 8.5% based on tier 1 capital; and c) 10.5% based on total regulatory capital.</w:t>
      </w:r>
    </w:p>
    <w:p>
      <w:pPr>
        <w:spacing w:after="0" w:line="297"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The Company and the Bank made the one-time, permanent election to continue to exclude the effects of accumulated other comprehensive income or loss items included in stockholders’ equity for the purposes of determining the regulatory capital ratios.</w:t>
      </w:r>
    </w:p>
    <w:p>
      <w:pPr>
        <w:spacing w:after="0" w:line="114"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As of December 31, 2024, the most recent notification from the Federal Deposit Insurance Corporation categorized the Bank as “well capitalized” under the regulatory framework for prompt corrective action. To be categorized as “well capitalized,” the Bank must maintain minimum total risk-based, tier 1 risk-based, common equity tier 1 risk-based, and tier 1 leverage ratios as set forth in the tables below. Since that notification, there are no conditions or events that management believes have changed the institution’s category.</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actual capital levels and minimum required levels for the Company and the Bank under Basel III rules at December 31, 2024 and 2023:</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At December 31, 2024</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7"/>
          </w:tcPr>
          <w:p>
            <w:pPr>
              <w:ind w:left="320"/>
              <w:spacing w:after="0" w:line="81" w:lineRule="exact"/>
              <w:rPr>
                <w:sz w:val="20"/>
                <w:szCs w:val="20"/>
                <w:color w:val="auto"/>
              </w:rPr>
            </w:pPr>
            <w:r>
              <w:rPr>
                <w:rFonts w:ascii="Times New Roman" w:cs="Times New Roman" w:eastAsia="Times New Roman" w:hAnsi="Times New Roman"/>
                <w:sz w:val="9"/>
                <w:szCs w:val="9"/>
                <w:b w:val="1"/>
                <w:bCs w:val="1"/>
                <w:color w:val="auto"/>
              </w:rPr>
              <w:t>For Capital</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5"/>
          </w:tcPr>
          <w:p>
            <w:pPr>
              <w:ind w:left="220"/>
              <w:spacing w:after="0" w:line="81" w:lineRule="exact"/>
              <w:rPr>
                <w:sz w:val="20"/>
                <w:szCs w:val="20"/>
                <w:color w:val="auto"/>
              </w:rPr>
            </w:pPr>
            <w:r>
              <w:rPr>
                <w:rFonts w:ascii="Times New Roman" w:cs="Times New Roman" w:eastAsia="Times New Roman" w:hAnsi="Times New Roman"/>
                <w:sz w:val="9"/>
                <w:szCs w:val="9"/>
                <w:b w:val="1"/>
                <w:bCs w:val="1"/>
                <w:color w:val="auto"/>
              </w:rPr>
              <w:t>To Be Categorized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ind w:left="100"/>
              <w:spacing w:after="0" w:line="131" w:lineRule="exact"/>
              <w:rPr>
                <w:sz w:val="20"/>
                <w:szCs w:val="20"/>
                <w:color w:val="auto"/>
              </w:rPr>
            </w:pPr>
            <w:r>
              <w:rPr>
                <w:rFonts w:ascii="Times New Roman" w:cs="Times New Roman" w:eastAsia="Times New Roman" w:hAnsi="Times New Roman"/>
                <w:sz w:val="10"/>
                <w:szCs w:val="10"/>
                <w:b w:val="1"/>
                <w:bCs w:val="1"/>
                <w:color w:val="auto"/>
              </w:rPr>
              <w:t>Adequacy Purposes</w:t>
            </w:r>
            <w:r>
              <w:rPr>
                <w:rFonts w:ascii="Times New Roman" w:cs="Times New Roman" w:eastAsia="Times New Roman" w:hAnsi="Times New Roman"/>
                <w:sz w:val="15"/>
                <w:szCs w:val="15"/>
                <w:b w:val="1"/>
                <w:bCs w:val="1"/>
                <w:color w:val="auto"/>
                <w:vertAlign w:val="superscript"/>
              </w:rPr>
              <w:t>(1)</w:t>
            </w:r>
          </w:p>
        </w:tc>
        <w:tc>
          <w:tcPr>
            <w:tcW w:w="1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87"/>
              <w:spacing w:after="0" w:line="131" w:lineRule="exact"/>
              <w:rPr>
                <w:sz w:val="20"/>
                <w:szCs w:val="20"/>
                <w:color w:val="auto"/>
              </w:rPr>
            </w:pPr>
            <w:r>
              <w:rPr>
                <w:rFonts w:ascii="Times New Roman" w:cs="Times New Roman" w:eastAsia="Times New Roman" w:hAnsi="Times New Roman"/>
                <w:sz w:val="10"/>
                <w:szCs w:val="10"/>
                <w:b w:val="1"/>
                <w:bCs w:val="1"/>
                <w:color w:val="auto"/>
              </w:rPr>
              <w:t>as “Well Capitalized”</w:t>
            </w:r>
            <w:r>
              <w:rPr>
                <w:rFonts w:ascii="Times New Roman" w:cs="Times New Roman" w:eastAsia="Times New Roman" w:hAnsi="Times New Roman"/>
                <w:sz w:val="15"/>
                <w:szCs w:val="15"/>
                <w:b w:val="1"/>
                <w:bCs w:val="1"/>
                <w:color w:val="auto"/>
                <w:vertAlign w:val="superscript"/>
              </w:rPr>
              <w:t>(1)</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7"/>
                <w:szCs w:val="7"/>
                <w:color w:val="auto"/>
              </w:rPr>
            </w:pPr>
          </w:p>
        </w:tc>
        <w:tc>
          <w:tcPr>
            <w:tcW w:w="60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Minimum</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Minimum</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40" w:type="dxa"/>
            <w:vAlign w:val="bottom"/>
            <w:tcBorders>
              <w:top w:val="single" w:sz="8" w:color="auto"/>
            </w:tcBorders>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Tier 1 capital / % of average total assets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22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1,469,047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4"/>
            <w:shd w:val="clear" w:color="auto" w:fill="CCEEFF"/>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10.7 %</w:t>
            </w:r>
          </w:p>
        </w:tc>
        <w:tc>
          <w:tcPr>
            <w:tcW w:w="140" w:type="dxa"/>
            <w:vAlign w:val="bottom"/>
            <w:gridSpan w:val="3"/>
            <w:shd w:val="clear" w:color="auto" w:fill="CCEEFF"/>
          </w:tcPr>
          <w:p>
            <w:pPr>
              <w:jc w:val="right"/>
              <w:ind w:right="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546,759</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4"/>
            <w:shd w:val="clear" w:color="auto" w:fill="CCEEFF"/>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4.0 %</w:t>
            </w:r>
          </w:p>
        </w:tc>
        <w:tc>
          <w:tcPr>
            <w:tcW w:w="160" w:type="dxa"/>
            <w:vAlign w:val="bottom"/>
            <w:gridSpan w:val="3"/>
            <w:shd w:val="clear" w:color="auto" w:fill="CCEEFF"/>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683,449</w:t>
            </w:r>
          </w:p>
        </w:tc>
        <w:tc>
          <w:tcPr>
            <w:tcW w:w="14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5.0 %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1,283,038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9.4</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547,024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4.0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78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Common equity Tier 1 capital / % of risk-weighted assets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1,469,047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13.9</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474,269</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4.5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685,055</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1,166,469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11.1</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474,521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4.5</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780" w:type="dxa"/>
            <w:vAlign w:val="bottom"/>
            <w:gridSpan w:val="3"/>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Tier 1 capital / % of risk-weighted assets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1,469,047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13.9</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632,358</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6.0</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843,144</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8.0</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1,283,038</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632,694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6.0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780" w:type="dxa"/>
            <w:vAlign w:val="bottom"/>
            <w:gridSpan w:val="3"/>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Total capital / % of risk-weighted assets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6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1,560,876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843,144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8.0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1,053,931</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120"/>
              <w:spacing w:after="0" w:line="111" w:lineRule="exact"/>
              <w:rPr>
                <w:sz w:val="20"/>
                <w:szCs w:val="20"/>
                <w:color w:val="auto"/>
              </w:rPr>
            </w:pPr>
            <w:r>
              <w:rPr>
                <w:rFonts w:ascii="Times New Roman" w:cs="Times New Roman" w:eastAsia="Times New Roman" w:hAnsi="Times New Roman"/>
                <w:sz w:val="11"/>
                <w:szCs w:val="11"/>
                <w:b w:val="1"/>
                <w:bCs w:val="1"/>
                <w:color w:val="auto"/>
                <w:w w:val="99"/>
              </w:rPr>
              <w:t>1,649,617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15.6</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843,592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460"/>
              <w:spacing w:after="0" w:line="111" w:lineRule="exact"/>
              <w:rPr>
                <w:sz w:val="20"/>
                <w:szCs w:val="20"/>
                <w:color w:val="auto"/>
              </w:rPr>
            </w:pPr>
            <w:r>
              <w:rPr>
                <w:rFonts w:ascii="Times New Roman" w:cs="Times New Roman" w:eastAsia="Times New Roman" w:hAnsi="Times New Roman"/>
                <w:sz w:val="11"/>
                <w:szCs w:val="11"/>
                <w:b w:val="1"/>
                <w:bCs w:val="1"/>
                <w:color w:val="auto"/>
              </w:rPr>
              <w:t>8.0</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40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780" w:type="dxa"/>
            <w:vAlign w:val="bottom"/>
            <w:gridSpan w:val="3"/>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(1)</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 accordance with the Basel III rules.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7"/>
          </w:tcPr>
          <w:p>
            <w:pPr>
              <w:ind w:left="380"/>
              <w:spacing w:after="0" w:line="81" w:lineRule="exact"/>
              <w:rPr>
                <w:sz w:val="20"/>
                <w:szCs w:val="20"/>
                <w:color w:val="auto"/>
              </w:rPr>
            </w:pPr>
            <w:r>
              <w:rPr>
                <w:rFonts w:ascii="Times New Roman" w:cs="Times New Roman" w:eastAsia="Times New Roman" w:hAnsi="Times New Roman"/>
                <w:sz w:val="9"/>
                <w:szCs w:val="9"/>
                <w:b w:val="1"/>
                <w:bCs w:val="1"/>
                <w:color w:val="auto"/>
              </w:rPr>
              <w:t>For Capital</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4"/>
          </w:tcPr>
          <w:p>
            <w:pPr>
              <w:ind w:left="240"/>
              <w:spacing w:after="0" w:line="81" w:lineRule="exact"/>
              <w:rPr>
                <w:sz w:val="20"/>
                <w:szCs w:val="20"/>
                <w:color w:val="auto"/>
              </w:rPr>
            </w:pPr>
            <w:r>
              <w:rPr>
                <w:rFonts w:ascii="Times New Roman" w:cs="Times New Roman" w:eastAsia="Times New Roman" w:hAnsi="Times New Roman"/>
                <w:sz w:val="9"/>
                <w:szCs w:val="9"/>
                <w:b w:val="1"/>
                <w:bCs w:val="1"/>
                <w:color w:val="auto"/>
              </w:rPr>
              <w:t>To Be Categorized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6"/>
          </w:tcPr>
          <w:p>
            <w:pPr>
              <w:ind w:left="140"/>
              <w:spacing w:after="0" w:line="131" w:lineRule="exact"/>
              <w:rPr>
                <w:sz w:val="20"/>
                <w:szCs w:val="20"/>
                <w:color w:val="auto"/>
              </w:rPr>
            </w:pPr>
            <w:r>
              <w:rPr>
                <w:rFonts w:ascii="Times New Roman" w:cs="Times New Roman" w:eastAsia="Times New Roman" w:hAnsi="Times New Roman"/>
                <w:sz w:val="10"/>
                <w:szCs w:val="10"/>
                <w:b w:val="1"/>
                <w:bCs w:val="1"/>
                <w:color w:val="auto"/>
              </w:rPr>
              <w:t>Adequacy Purposes</w:t>
            </w:r>
            <w:r>
              <w:rPr>
                <w:rFonts w:ascii="Times New Roman" w:cs="Times New Roman" w:eastAsia="Times New Roman" w:hAnsi="Times New Roman"/>
                <w:sz w:val="15"/>
                <w:szCs w:val="15"/>
                <w:b w:val="1"/>
                <w:bCs w:val="1"/>
                <w:color w:val="auto"/>
                <w:vertAlign w:val="superscript"/>
              </w:rPr>
              <w:t>(1)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0"/>
                <w:szCs w:val="10"/>
                <w:b w:val="1"/>
                <w:bCs w:val="1"/>
                <w:color w:val="auto"/>
              </w:rPr>
              <w:t>as “Well Capitalized”</w:t>
            </w:r>
            <w:r>
              <w:rPr>
                <w:rFonts w:ascii="Times New Roman" w:cs="Times New Roman" w:eastAsia="Times New Roman" w:hAnsi="Times New Roman"/>
                <w:sz w:val="15"/>
                <w:szCs w:val="15"/>
                <w:b w:val="1"/>
                <w:bCs w:val="1"/>
                <w:color w:val="auto"/>
                <w:vertAlign w:val="superscript"/>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7"/>
                <w:szCs w:val="7"/>
                <w:color w:val="auto"/>
              </w:rPr>
            </w:pPr>
          </w:p>
        </w:tc>
        <w:tc>
          <w:tcPr>
            <w:tcW w:w="4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7"/>
                <w:szCs w:val="7"/>
                <w:color w:val="auto"/>
              </w:rPr>
            </w:pPr>
          </w:p>
        </w:tc>
        <w:tc>
          <w:tcPr>
            <w:tcW w:w="640" w:type="dxa"/>
            <w:vAlign w:val="bottom"/>
            <w:gridSpan w:val="2"/>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Minimum</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2"/>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Minimum</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40" w:type="dxa"/>
            <w:vAlign w:val="bottom"/>
            <w:tcBorders>
              <w:top w:val="single" w:sz="8" w:color="auto"/>
            </w:tcBorders>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Tier 1 capital / % of average total assets</w:t>
            </w:r>
          </w:p>
        </w:tc>
        <w:tc>
          <w:tcPr>
            <w:tcW w:w="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300" w:type="dxa"/>
            <w:vAlign w:val="bottom"/>
            <w:gridSpan w:val="4"/>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1,331,676</w:t>
            </w:r>
          </w:p>
        </w:tc>
        <w:tc>
          <w:tcPr>
            <w:tcW w:w="60" w:type="dxa"/>
            <w:vAlign w:val="bottom"/>
            <w:shd w:val="clear" w:color="auto" w:fill="CCEEFF"/>
          </w:tcPr>
          <w:p>
            <w:pPr>
              <w:spacing w:after="0"/>
              <w:rPr>
                <w:sz w:val="9"/>
                <w:szCs w:val="9"/>
                <w:color w:val="auto"/>
              </w:rPr>
            </w:pPr>
          </w:p>
        </w:tc>
        <w:tc>
          <w:tcPr>
            <w:tcW w:w="540" w:type="dxa"/>
            <w:vAlign w:val="bottom"/>
            <w:gridSpan w:val="4"/>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9.8 %</w:t>
            </w:r>
          </w:p>
        </w:tc>
        <w:tc>
          <w:tcPr>
            <w:tcW w:w="140" w:type="dxa"/>
            <w:vAlign w:val="bottom"/>
            <w:gridSpan w:val="3"/>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544,254</w:t>
            </w:r>
          </w:p>
        </w:tc>
        <w:tc>
          <w:tcPr>
            <w:tcW w:w="100" w:type="dxa"/>
            <w:vAlign w:val="bottom"/>
            <w:shd w:val="clear" w:color="auto" w:fill="CCEEFF"/>
          </w:tcPr>
          <w:p>
            <w:pPr>
              <w:spacing w:after="0"/>
              <w:rPr>
                <w:sz w:val="9"/>
                <w:szCs w:val="9"/>
                <w:color w:val="auto"/>
              </w:rPr>
            </w:pPr>
          </w:p>
        </w:tc>
        <w:tc>
          <w:tcPr>
            <w:tcW w:w="820" w:type="dxa"/>
            <w:vAlign w:val="bottom"/>
            <w:gridSpan w:val="4"/>
            <w:shd w:val="clear" w:color="auto" w:fill="CCEEFF"/>
          </w:tcPr>
          <w:p>
            <w:pPr>
              <w:ind w:left="520"/>
              <w:spacing w:after="0" w:line="111" w:lineRule="exact"/>
              <w:rPr>
                <w:sz w:val="20"/>
                <w:szCs w:val="20"/>
                <w:color w:val="auto"/>
              </w:rPr>
            </w:pPr>
            <w:r>
              <w:rPr>
                <w:rFonts w:ascii="Times New Roman" w:cs="Times New Roman" w:eastAsia="Times New Roman" w:hAnsi="Times New Roman"/>
                <w:sz w:val="11"/>
                <w:szCs w:val="11"/>
                <w:color w:val="auto"/>
              </w:rPr>
              <w:t>4.0 %</w:t>
            </w:r>
          </w:p>
        </w:tc>
        <w:tc>
          <w:tcPr>
            <w:tcW w:w="160" w:type="dxa"/>
            <w:vAlign w:val="bottom"/>
            <w:gridSpan w:val="3"/>
            <w:shd w:val="clear" w:color="auto" w:fill="CCEEFF"/>
          </w:tcPr>
          <w:p>
            <w:pPr>
              <w:jc w:val="right"/>
              <w:ind w:right="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680,318</w:t>
            </w:r>
          </w:p>
        </w:tc>
        <w:tc>
          <w:tcPr>
            <w:tcW w:w="14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8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1,158,455</w:t>
            </w:r>
          </w:p>
        </w:tc>
        <w:tc>
          <w:tcPr>
            <w:tcW w:w="60" w:type="dxa"/>
            <w:vAlign w:val="bottom"/>
          </w:tcPr>
          <w:p>
            <w:pPr>
              <w:spacing w:after="0"/>
              <w:rPr>
                <w:sz w:val="9"/>
                <w:szCs w:val="9"/>
                <w:color w:val="auto"/>
              </w:rPr>
            </w:pPr>
          </w:p>
        </w:tc>
        <w:tc>
          <w:tcPr>
            <w:tcW w:w="420" w:type="dxa"/>
            <w:vAlign w:val="bottom"/>
            <w:gridSpan w:val="3"/>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544,529</w:t>
            </w:r>
          </w:p>
        </w:tc>
        <w:tc>
          <w:tcPr>
            <w:tcW w:w="100" w:type="dxa"/>
            <w:vAlign w:val="bottom"/>
          </w:tcPr>
          <w:p>
            <w:pPr>
              <w:spacing w:after="0"/>
              <w:rPr>
                <w:sz w:val="9"/>
                <w:szCs w:val="9"/>
                <w:color w:val="auto"/>
              </w:rPr>
            </w:pPr>
          </w:p>
        </w:tc>
        <w:tc>
          <w:tcPr>
            <w:tcW w:w="680" w:type="dxa"/>
            <w:vAlign w:val="bottom"/>
            <w:gridSpan w:val="3"/>
          </w:tcPr>
          <w:p>
            <w:pPr>
              <w:ind w:left="520"/>
              <w:spacing w:after="0" w:line="111" w:lineRule="exact"/>
              <w:rPr>
                <w:sz w:val="20"/>
                <w:szCs w:val="20"/>
                <w:color w:val="auto"/>
              </w:rPr>
            </w:pPr>
            <w:r>
              <w:rPr>
                <w:rFonts w:ascii="Times New Roman" w:cs="Times New Roman" w:eastAsia="Times New Roman" w:hAnsi="Times New Roman"/>
                <w:sz w:val="11"/>
                <w:szCs w:val="11"/>
                <w:color w:val="auto"/>
              </w:rPr>
              <w:t>4.0</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42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780" w:type="dxa"/>
            <w:vAlign w:val="bottom"/>
            <w:gridSpan w:val="3"/>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Common equity Tier 1 capital / % of risk-weighted assets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8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1,331,676</w:t>
            </w:r>
          </w:p>
        </w:tc>
        <w:tc>
          <w:tcPr>
            <w:tcW w:w="60" w:type="dxa"/>
            <w:vAlign w:val="bottom"/>
          </w:tcPr>
          <w:p>
            <w:pPr>
              <w:spacing w:after="0"/>
              <w:rPr>
                <w:sz w:val="9"/>
                <w:szCs w:val="9"/>
                <w:color w:val="auto"/>
              </w:rPr>
            </w:pPr>
          </w:p>
        </w:tc>
        <w:tc>
          <w:tcPr>
            <w:tcW w:w="420" w:type="dxa"/>
            <w:vAlign w:val="bottom"/>
            <w:gridSpan w:val="3"/>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476,168</w:t>
            </w:r>
          </w:p>
        </w:tc>
        <w:tc>
          <w:tcPr>
            <w:tcW w:w="100" w:type="dxa"/>
            <w:vAlign w:val="bottom"/>
          </w:tcPr>
          <w:p>
            <w:pPr>
              <w:spacing w:after="0"/>
              <w:rPr>
                <w:sz w:val="9"/>
                <w:szCs w:val="9"/>
                <w:color w:val="auto"/>
              </w:rPr>
            </w:pPr>
          </w:p>
        </w:tc>
        <w:tc>
          <w:tcPr>
            <w:tcW w:w="680" w:type="dxa"/>
            <w:vAlign w:val="bottom"/>
            <w:gridSpan w:val="3"/>
          </w:tcPr>
          <w:p>
            <w:pPr>
              <w:ind w:left="520"/>
              <w:spacing w:after="0" w:line="111" w:lineRule="exact"/>
              <w:rPr>
                <w:sz w:val="20"/>
                <w:szCs w:val="20"/>
                <w:color w:val="auto"/>
              </w:rPr>
            </w:pPr>
            <w:r>
              <w:rPr>
                <w:rFonts w:ascii="Times New Roman" w:cs="Times New Roman" w:eastAsia="Times New Roman" w:hAnsi="Times New Roman"/>
                <w:sz w:val="11"/>
                <w:szCs w:val="11"/>
                <w:color w:val="auto"/>
              </w:rPr>
              <w:t>4.5</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687,798</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6.5</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1,041,886</w:t>
            </w:r>
          </w:p>
        </w:tc>
        <w:tc>
          <w:tcPr>
            <w:tcW w:w="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9.8</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476,341</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ind w:left="520"/>
              <w:spacing w:after="0" w:line="111" w:lineRule="exact"/>
              <w:rPr>
                <w:sz w:val="20"/>
                <w:szCs w:val="20"/>
                <w:color w:val="auto"/>
              </w:rPr>
            </w:pPr>
            <w:r>
              <w:rPr>
                <w:rFonts w:ascii="Times New Roman" w:cs="Times New Roman" w:eastAsia="Times New Roman" w:hAnsi="Times New Roman"/>
                <w:sz w:val="11"/>
                <w:szCs w:val="11"/>
                <w:color w:val="auto"/>
              </w:rPr>
              <w:t>4.5</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42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780" w:type="dxa"/>
            <w:vAlign w:val="bottom"/>
            <w:gridSpan w:val="3"/>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Tier 1 capital / % of risk-weighted assets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1,331,676</w:t>
            </w:r>
          </w:p>
        </w:tc>
        <w:tc>
          <w:tcPr>
            <w:tcW w:w="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12.6</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634,890</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ind w:left="520"/>
              <w:spacing w:after="0" w:line="111" w:lineRule="exact"/>
              <w:rPr>
                <w:sz w:val="20"/>
                <w:szCs w:val="20"/>
                <w:color w:val="auto"/>
              </w:rPr>
            </w:pPr>
            <w:r>
              <w:rPr>
                <w:rFonts w:ascii="Times New Roman" w:cs="Times New Roman" w:eastAsia="Times New Roman" w:hAnsi="Times New Roman"/>
                <w:sz w:val="11"/>
                <w:szCs w:val="11"/>
                <w:color w:val="auto"/>
              </w:rPr>
              <w:t>6.0</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846,520</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8.0</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8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1,158,455</w:t>
            </w:r>
          </w:p>
        </w:tc>
        <w:tc>
          <w:tcPr>
            <w:tcW w:w="60" w:type="dxa"/>
            <w:vAlign w:val="bottom"/>
          </w:tcPr>
          <w:p>
            <w:pPr>
              <w:spacing w:after="0"/>
              <w:rPr>
                <w:sz w:val="9"/>
                <w:szCs w:val="9"/>
                <w:color w:val="auto"/>
              </w:rPr>
            </w:pPr>
          </w:p>
        </w:tc>
        <w:tc>
          <w:tcPr>
            <w:tcW w:w="420" w:type="dxa"/>
            <w:vAlign w:val="bottom"/>
            <w:gridSpan w:val="3"/>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10.9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635,122</w:t>
            </w:r>
          </w:p>
        </w:tc>
        <w:tc>
          <w:tcPr>
            <w:tcW w:w="100" w:type="dxa"/>
            <w:vAlign w:val="bottom"/>
          </w:tcPr>
          <w:p>
            <w:pPr>
              <w:spacing w:after="0"/>
              <w:rPr>
                <w:sz w:val="9"/>
                <w:szCs w:val="9"/>
                <w:color w:val="auto"/>
              </w:rPr>
            </w:pPr>
          </w:p>
        </w:tc>
        <w:tc>
          <w:tcPr>
            <w:tcW w:w="680" w:type="dxa"/>
            <w:vAlign w:val="bottom"/>
            <w:gridSpan w:val="3"/>
          </w:tcPr>
          <w:p>
            <w:pPr>
              <w:ind w:left="520"/>
              <w:spacing w:after="0" w:line="111" w:lineRule="exact"/>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42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780" w:type="dxa"/>
            <w:vAlign w:val="bottom"/>
            <w:gridSpan w:val="3"/>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Total capital / % of risk-weighted assets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tcPr>
          <w:p>
            <w:pPr>
              <w:ind w:left="80"/>
              <w:spacing w:after="0" w:line="111" w:lineRule="exact"/>
              <w:rPr>
                <w:sz w:val="20"/>
                <w:szCs w:val="20"/>
                <w:color w:val="auto"/>
              </w:rPr>
            </w:pPr>
            <w:r>
              <w:rPr>
                <w:rFonts w:ascii="Times New Roman" w:cs="Times New Roman" w:eastAsia="Times New Roman" w:hAnsi="Times New Roman"/>
                <w:sz w:val="11"/>
                <w:szCs w:val="11"/>
                <w:color w:val="auto"/>
              </w:rPr>
              <w:t>Bank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1,406,581</w:t>
            </w:r>
          </w:p>
        </w:tc>
        <w:tc>
          <w:tcPr>
            <w:tcW w:w="60" w:type="dxa"/>
            <w:vAlign w:val="bottom"/>
          </w:tcPr>
          <w:p>
            <w:pPr>
              <w:spacing w:after="0"/>
              <w:rPr>
                <w:sz w:val="9"/>
                <w:szCs w:val="9"/>
                <w:color w:val="auto"/>
              </w:rPr>
            </w:pPr>
          </w:p>
        </w:tc>
        <w:tc>
          <w:tcPr>
            <w:tcW w:w="420" w:type="dxa"/>
            <w:vAlign w:val="bottom"/>
            <w:gridSpan w:val="3"/>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13.3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180"/>
              <w:spacing w:after="0" w:line="111" w:lineRule="exact"/>
              <w:rPr>
                <w:sz w:val="20"/>
                <w:szCs w:val="20"/>
                <w:color w:val="auto"/>
              </w:rPr>
            </w:pPr>
            <w:r>
              <w:rPr>
                <w:rFonts w:ascii="Times New Roman" w:cs="Times New Roman" w:eastAsia="Times New Roman" w:hAnsi="Times New Roman"/>
                <w:sz w:val="11"/>
                <w:szCs w:val="11"/>
                <w:color w:val="auto"/>
              </w:rPr>
              <w:t>846,520</w:t>
            </w:r>
          </w:p>
        </w:tc>
        <w:tc>
          <w:tcPr>
            <w:tcW w:w="100" w:type="dxa"/>
            <w:vAlign w:val="bottom"/>
          </w:tcPr>
          <w:p>
            <w:pPr>
              <w:spacing w:after="0"/>
              <w:rPr>
                <w:sz w:val="9"/>
                <w:szCs w:val="9"/>
                <w:color w:val="auto"/>
              </w:rPr>
            </w:pPr>
          </w:p>
        </w:tc>
        <w:tc>
          <w:tcPr>
            <w:tcW w:w="680" w:type="dxa"/>
            <w:vAlign w:val="bottom"/>
            <w:gridSpan w:val="3"/>
          </w:tcPr>
          <w:p>
            <w:pPr>
              <w:ind w:left="520"/>
              <w:spacing w:after="0" w:line="111" w:lineRule="exact"/>
              <w:rPr>
                <w:sz w:val="20"/>
                <w:szCs w:val="20"/>
                <w:color w:val="auto"/>
              </w:rPr>
            </w:pPr>
            <w:r>
              <w:rPr>
                <w:rFonts w:ascii="Times New Roman" w:cs="Times New Roman" w:eastAsia="Times New Roman" w:hAnsi="Times New Roman"/>
                <w:sz w:val="11"/>
                <w:szCs w:val="11"/>
                <w:color w:val="auto"/>
              </w:rPr>
              <w:t>8.0</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1,058,151</w:t>
            </w:r>
          </w:p>
        </w:tc>
        <w:tc>
          <w:tcPr>
            <w:tcW w:w="14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40" w:type="dxa"/>
            <w:vAlign w:val="bottom"/>
            <w:gridSpan w:val="3"/>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Consolidated Company</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ind w:left="200"/>
              <w:spacing w:after="0" w:line="111" w:lineRule="exact"/>
              <w:rPr>
                <w:sz w:val="20"/>
                <w:szCs w:val="20"/>
                <w:color w:val="auto"/>
              </w:rPr>
            </w:pPr>
            <w:r>
              <w:rPr>
                <w:rFonts w:ascii="Times New Roman" w:cs="Times New Roman" w:eastAsia="Times New Roman" w:hAnsi="Times New Roman"/>
                <w:sz w:val="11"/>
                <w:szCs w:val="11"/>
                <w:color w:val="auto"/>
                <w:w w:val="99"/>
              </w:rPr>
              <w:t>1,433,361</w:t>
            </w:r>
          </w:p>
        </w:tc>
        <w:tc>
          <w:tcPr>
            <w:tcW w:w="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13.5</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846,829</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ind w:left="520"/>
              <w:spacing w:after="0" w:line="111" w:lineRule="exact"/>
              <w:rPr>
                <w:sz w:val="20"/>
                <w:szCs w:val="20"/>
                <w:color w:val="auto"/>
              </w:rPr>
            </w:pPr>
            <w:r>
              <w:rPr>
                <w:rFonts w:ascii="Times New Roman" w:cs="Times New Roman" w:eastAsia="Times New Roman" w:hAnsi="Times New Roman"/>
                <w:sz w:val="11"/>
                <w:szCs w:val="11"/>
                <w:color w:val="auto"/>
              </w:rPr>
              <w:t>8.0</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ind w:left="42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780" w:type="dxa"/>
            <w:vAlign w:val="bottom"/>
            <w:gridSpan w:val="3"/>
            <w:shd w:val="clear" w:color="auto" w:fill="CCEEFF"/>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(1)</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 accordance with the Basel III rules</w:t>
            </w:r>
            <w:r>
              <w:rPr>
                <w:rFonts w:ascii="Times New Roman" w:cs="Times New Roman" w:eastAsia="Times New Roman" w:hAnsi="Times New Roman"/>
                <w:sz w:val="13"/>
                <w:szCs w:val="13"/>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8" w:right="1440"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23. CONDENSED HOLDING COMPANY ONLY FINANCIAL STATEMENTS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following statements of financial condition as of December 31, 2024 and 2023, and the related statements of operations and cash flows for the years ended December 31, 2024, 2023 and 2022, reflect the Holding Company’s investment in its wholly-owned subsidiary, the Bank, using, as deemed appropriate, the equity method of accounting: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STATEMENTS OF FINANCIAL CONDITION</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Cash and due from banks</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95,528</w:t>
            </w:r>
          </w:p>
        </w:tc>
        <w:tc>
          <w:tcPr>
            <w:tcW w:w="200" w:type="dxa"/>
            <w:vAlign w:val="bottom"/>
          </w:tcPr>
          <w:p>
            <w:pPr>
              <w:spacing w:after="0"/>
              <w:rPr>
                <w:sz w:val="13"/>
                <w:szCs w:val="13"/>
                <w:color w:val="auto"/>
              </w:rPr>
            </w:pPr>
          </w:p>
        </w:tc>
        <w:tc>
          <w:tcPr>
            <w:tcW w:w="300" w:type="dxa"/>
            <w:vAlign w:val="bottom"/>
            <w:gridSpan w:val="2"/>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35,114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 available-for-sale, at fair value</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2,850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1,578,643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1,395,526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6,180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4,401</w:t>
            </w:r>
          </w:p>
        </w:tc>
        <w:tc>
          <w:tcPr>
            <w:tcW w:w="0" w:type="dxa"/>
            <w:vAlign w:val="bottom"/>
          </w:tcPr>
          <w:p>
            <w:pPr>
              <w:spacing w:after="0"/>
              <w:rPr>
                <w:sz w:val="1"/>
                <w:szCs w:val="1"/>
                <w:color w:val="auto"/>
              </w:rPr>
            </w:pPr>
          </w:p>
        </w:tc>
      </w:tr>
      <w:tr>
        <w:trPr>
          <w:trHeight w:val="181"/>
        </w:trPr>
        <w:tc>
          <w:tcPr>
            <w:tcW w:w="6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1,683,201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1,437,734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66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 net</w:t>
            </w:r>
          </w:p>
        </w:tc>
        <w:tc>
          <w:tcPr>
            <w:tcW w:w="40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272,325</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200,196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14,359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1,396,517</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1,226,225</w:t>
            </w:r>
          </w:p>
        </w:tc>
        <w:tc>
          <w:tcPr>
            <w:tcW w:w="0" w:type="dxa"/>
            <w:vAlign w:val="bottom"/>
          </w:tcPr>
          <w:p>
            <w:pPr>
              <w:spacing w:after="0"/>
              <w:rPr>
                <w:sz w:val="1"/>
                <w:szCs w:val="1"/>
                <w:color w:val="auto"/>
              </w:rPr>
            </w:pPr>
          </w:p>
        </w:tc>
      </w:tr>
      <w:tr>
        <w:trPr>
          <w:trHeight w:val="141"/>
        </w:trPr>
        <w:tc>
          <w:tcPr>
            <w:tcW w:w="6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1,683,201</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1,437,734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CONDENSED STATEMENTS OF OPERATIONS AND COMPREHENSIVE INCOME </w:t>
      </w:r>
      <w:r>
        <w:rPr>
          <w:rFonts w:ascii="Times New Roman" w:cs="Times New Roman" w:eastAsia="Times New Roman" w:hAnsi="Times New Roman"/>
          <w:sz w:val="20"/>
          <w:szCs w:val="20"/>
          <w:b w:val="1"/>
          <w:bCs w:val="1"/>
          <w:color w:val="auto"/>
          <w:vertAlign w:val="superscript"/>
        </w:rPr>
        <w:t>(1)</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2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jc w:val="right"/>
              <w:ind w:right="9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r>
      <w:tr>
        <w:trPr>
          <w:trHeight w:val="146"/>
        </w:trPr>
        <w:tc>
          <w:tcPr>
            <w:tcW w:w="5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interest loss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(13,501)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(10,394)</w:t>
            </w:r>
          </w:p>
        </w:tc>
      </w:tr>
      <w:tr>
        <w:trPr>
          <w:trHeight w:val="15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Dividends received from Bank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50,000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95,000</w:t>
            </w:r>
          </w:p>
        </w:tc>
      </w:tr>
      <w:tr>
        <w:trPr>
          <w:trHeight w:val="15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Non-interest expense</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(1,066)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w:t>
            </w:r>
          </w:p>
        </w:tc>
      </w:tr>
      <w:tr>
        <w:trPr>
          <w:trHeight w:val="14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income taxes and equity in undistributed earnings of direct subsidiaries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35,384</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48,992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82,886</w:t>
            </w:r>
          </w:p>
        </w:tc>
      </w:tr>
      <w:tr>
        <w:trPr>
          <w:trHeight w:val="15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credit</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5,308</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4,001</w:t>
            </w:r>
          </w:p>
        </w:tc>
      </w:tr>
      <w:tr>
        <w:trPr>
          <w:trHeight w:val="14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before equity in undistributed earnings of direct subsidiaries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40,692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86,887</w:t>
            </w:r>
          </w:p>
        </w:tc>
      </w:tr>
      <w:tr>
        <w:trPr>
          <w:trHeight w:val="15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undistributed earnings of subsidiaries</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(11,608)</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39,280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65,669</w:t>
            </w:r>
          </w:p>
        </w:tc>
      </w:tr>
      <w:tr>
        <w:trPr>
          <w:trHeight w:val="14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29,084</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96,094</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152,556</w:t>
            </w:r>
          </w:p>
        </w:tc>
      </w:tr>
      <w:tr>
        <w:trPr>
          <w:trHeight w:val="20"/>
        </w:trPr>
        <w:tc>
          <w:tcPr>
            <w:tcW w:w="2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r>
    </w:tbl>
    <w:p>
      <w:pPr>
        <w:ind w:left="280" w:hanging="251"/>
        <w:spacing w:after="0"/>
        <w:tabs>
          <w:tab w:leader="none" w:pos="28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Comprehensive income for the Holding Company approximated comprehensive income for the consolidated Company during the years ended December 31, 2024, 2023 and 2022.</w:t>
      </w:r>
    </w:p>
    <w:p>
      <w:pPr>
        <w:spacing w:after="0" w:line="253" w:lineRule="exact"/>
        <w:rPr>
          <w:rFonts w:ascii="Times New Roman" w:cs="Times New Roman" w:eastAsia="Times New Roman" w:hAnsi="Times New Roman"/>
          <w:sz w:val="18"/>
          <w:szCs w:val="18"/>
          <w:color w:val="auto"/>
          <w:vertAlign w:val="superscript"/>
        </w:rPr>
      </w:pPr>
    </w:p>
    <w:p>
      <w:pPr>
        <w:ind w:left="44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STATEMENTS OF CASH FLOWS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jc w:val="right"/>
              <w:ind w:right="95"/>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29,084</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96,094</w:t>
            </w:r>
          </w:p>
        </w:tc>
        <w:tc>
          <w:tcPr>
            <w:tcW w:w="180" w:type="dxa"/>
            <w:vAlign w:val="bottom"/>
          </w:tcPr>
          <w:p>
            <w:pPr>
              <w:spacing w:after="0"/>
              <w:rPr>
                <w:sz w:val="13"/>
                <w:szCs w:val="13"/>
                <w:color w:val="auto"/>
              </w:rPr>
            </w:pPr>
          </w:p>
        </w:tc>
        <w:tc>
          <w:tcPr>
            <w:tcW w:w="180" w:type="dxa"/>
            <w:vAlign w:val="bottom"/>
            <w:gridSpan w:val="2"/>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152,556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Equity in undistributed earnings of direct subsidiaries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11,608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(39,280)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amortization (accretion)</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other 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(1,863)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Increase (decrease) in other liabilities</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803</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39,677</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55,734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86,316</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provided by investing activities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9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subordinated debentures issuance, net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72,084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157,559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Redemption of subordinated debentures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common stock issuance, net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135,764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Release of stock for benefit plan awards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 related to tax withholding for equity awards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Treasury shares repurchased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(46,762)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dividends paid to preferred stockholders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(7,286)</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Cash dividends paid to common stockholders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(38,036)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(37,302)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(36,791)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(141,547)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20,737</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(45,629)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(88,671)</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due from banks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60,414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due from banks, beginning of period</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35,114</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27,364</w:t>
            </w:r>
          </w:p>
        </w:tc>
        <w:tc>
          <w:tcPr>
            <w:tcW w:w="0" w:type="dxa"/>
            <w:vAlign w:val="bottom"/>
          </w:tcPr>
          <w:p>
            <w:pPr>
              <w:spacing w:after="0"/>
              <w:rPr>
                <w:sz w:val="1"/>
                <w:szCs w:val="1"/>
                <w:color w:val="auto"/>
              </w:rPr>
            </w:pPr>
          </w:p>
        </w:tc>
      </w:tr>
      <w:tr>
        <w:trPr>
          <w:trHeight w:val="14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due from banks, end of period</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95,528</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35,114</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24. SEGMENT INFORMATION</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the Note 1 “Summary of Significant Accounting Policies.”</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14"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banking operations within the United States, and for the years ended December 31, 2024, 2023 and 2022, there was no customer that accounted for more than 10% of the Company's 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None.</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Disclosure Controls and Procedures</w:t>
      </w:r>
    </w:p>
    <w:p>
      <w:pPr>
        <w:spacing w:after="0" w:line="17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An evaluation was performed under the supervision and with the participation of the Company’s management, including the Principal Executive Officer and Principal Financial Officer, of the effectiveness of the design and operation of the Company’s disclosure controls and procedures (as defined in Rule 13a-15(e) promulgated under the Securities and Exchange Act of 1934, as amended) as of December 31, 2024. Based on that evaluation, the Company’s Principal Executive Officer and Principal Financial Officer concluded that the Company’s disclosure controls and procedures were effective as of the end of the period covered by the annual report.</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Report by Management on Internal Control Over Financial Reporting</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Management is responsible for establishing and maintaining an effective system of internal control over financial reporting.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9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 xml:space="preserve">Management assessed the Company’s internal control over financial reporting as of December 31, 2024. This assessment was based on criteria for effective internal control over financial reporting described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the Committee of Sponsoring Organizations of the Treadway Commission. Based on this assessment, management believes that, as of December 31, 2024, the Company maintained effective internal control over financial reporting based on those criteria.</w:t>
      </w:r>
    </w:p>
    <w:p>
      <w:pPr>
        <w:spacing w:after="0" w:line="13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Company’s independent registered public accounting firm that audited the financial statements that are included in this annual report on Form 10-K, has issued an attestation report on the Company’s internal control over financial reporting. The attestation report of Crowe LLP appears on page 103.</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has been no change in the Company’s internal control over financial reporting during the quarter ended December 31, 2024, that has materially affected, or is reasonably likely to materially affect, the Company’s internal control over financial reporting.</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no director or Section 16 officer adopted or terminated any Rule 10b5-1 trading arrangements or non-Rule 10b5-1 trading arrangements.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7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information regarding Directors, Executive Officers and Corporate Governance will be set forth in the Registrant’s Proxy Statement for the Annual Meeting of Shareholders to be held on May 22, 2025 and is incorporated herein by reference thereto.</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17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information regarding Executive Compensation will be set forth in the Registrant’s Proxy Statement for the Annual Meeting of Shareholders to be held on May 22, 2025 and is incorporated herein by reference thereto.</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17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information regarding Security Ownership of Certain Beneficial Owners and Management and Related Stockholder Matters will be set forth in the Registrant’s Proxy Statement for the Annual Meeting of Shareholders to be held on May 22, 2025 and is incorporated herein by reference thereto.</w:t>
      </w:r>
    </w:p>
    <w:p>
      <w:pPr>
        <w:spacing w:after="0" w:line="114"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Set forth below is certain information as of December 31, 2024, regarding the Company’s equity compensation plans that have been approved by stockholders. The Company does not have any equity compensation plans that have not been approved by stockholders.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Equity compensation</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Number of securities to</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62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11"/>
        </w:trPr>
        <w:tc>
          <w:tcPr>
            <w:tcW w:w="4040" w:type="dxa"/>
            <w:vAlign w:val="bottom"/>
            <w:gridSpan w:val="2"/>
            <w:vMerge w:val="continue"/>
          </w:tcPr>
          <w:p>
            <w:pPr>
              <w:spacing w:after="0"/>
              <w:rPr>
                <w:sz w:val="9"/>
                <w:szCs w:val="9"/>
                <w:color w:val="auto"/>
              </w:rPr>
            </w:pPr>
          </w:p>
        </w:tc>
        <w:tc>
          <w:tcPr>
            <w:tcW w:w="16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be issued upon exercise</w:t>
            </w:r>
          </w:p>
        </w:tc>
        <w:tc>
          <w:tcPr>
            <w:tcW w:w="166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exercise price with</w:t>
            </w: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0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6"/>
              </w:rPr>
              <w:t>plan approved by</w:t>
            </w:r>
          </w:p>
        </w:tc>
        <w:tc>
          <w:tcPr>
            <w:tcW w:w="16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7"/>
              </w:rPr>
              <w:t>of outstanding options</w:t>
            </w:r>
          </w:p>
        </w:tc>
        <w:tc>
          <w:tcPr>
            <w:tcW w:w="166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respect to outstanding</w:t>
            </w:r>
          </w:p>
        </w:tc>
        <w:tc>
          <w:tcPr>
            <w:tcW w:w="162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remaining available for</w:t>
            </w:r>
          </w:p>
        </w:tc>
        <w:tc>
          <w:tcPr>
            <w:tcW w:w="0" w:type="dxa"/>
            <w:vAlign w:val="bottom"/>
          </w:tcPr>
          <w:p>
            <w:pPr>
              <w:spacing w:after="0"/>
              <w:rPr>
                <w:sz w:val="1"/>
                <w:szCs w:val="1"/>
                <w:color w:val="auto"/>
              </w:rPr>
            </w:pPr>
          </w:p>
        </w:tc>
      </w:tr>
      <w:tr>
        <w:trPr>
          <w:trHeight w:val="130"/>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stockholders</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and awards</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stock options</w:t>
            </w:r>
          </w:p>
        </w:tc>
        <w:tc>
          <w:tcPr>
            <w:tcW w:w="1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issuance under the plan</w:t>
            </w:r>
          </w:p>
        </w:tc>
        <w:tc>
          <w:tcPr>
            <w:tcW w:w="0" w:type="dxa"/>
            <w:vAlign w:val="bottom"/>
          </w:tcPr>
          <w:p>
            <w:pPr>
              <w:spacing w:after="0"/>
              <w:rPr>
                <w:sz w:val="1"/>
                <w:szCs w:val="1"/>
                <w:color w:val="auto"/>
              </w:rPr>
            </w:pPr>
          </w:p>
        </w:tc>
      </w:tr>
      <w:tr>
        <w:trPr>
          <w:trHeight w:val="101"/>
        </w:trPr>
        <w:tc>
          <w:tcPr>
            <w:tcW w:w="384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2012 Equity Incentive Plan</w:t>
            </w:r>
          </w:p>
        </w:tc>
        <w:tc>
          <w:tcPr>
            <w:tcW w:w="20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16,934</w:t>
            </w:r>
          </w:p>
        </w:tc>
        <w:tc>
          <w:tcPr>
            <w:tcW w:w="18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$ 35.70</w:t>
            </w:r>
          </w:p>
        </w:tc>
        <w:tc>
          <w:tcPr>
            <w:tcW w:w="200" w:type="dxa"/>
            <w:vAlign w:val="bottom"/>
            <w:tcBorders>
              <w:top w:val="single" w:sz="8" w:color="CCEEFF"/>
            </w:tcBorders>
            <w:shd w:val="clear" w:color="auto" w:fill="CCEEFF"/>
          </w:tcPr>
          <w:p>
            <w:pPr>
              <w:spacing w:after="0"/>
              <w:rPr>
                <w:sz w:val="8"/>
                <w:szCs w:val="8"/>
                <w:color w:val="auto"/>
              </w:rPr>
            </w:pPr>
          </w:p>
        </w:tc>
        <w:tc>
          <w:tcPr>
            <w:tcW w:w="16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40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color w:val="auto"/>
                <w:w w:val="98"/>
              </w:rPr>
              <w:t>2019 Equity Incentive Plan</w:t>
            </w:r>
          </w:p>
        </w:tc>
        <w:tc>
          <w:tcPr>
            <w:tcW w:w="1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10,061</w:t>
            </w:r>
          </w:p>
        </w:tc>
        <w:tc>
          <w:tcPr>
            <w:tcW w:w="180" w:type="dxa"/>
            <w:vAlign w:val="bottom"/>
          </w:tcPr>
          <w:p>
            <w:pPr>
              <w:spacing w:after="0"/>
              <w:rPr>
                <w:sz w:val="9"/>
                <w:szCs w:val="9"/>
                <w:color w:val="auto"/>
              </w:rPr>
            </w:pPr>
          </w:p>
        </w:tc>
        <w:tc>
          <w:tcPr>
            <w:tcW w:w="14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34.87</w:t>
            </w:r>
          </w:p>
        </w:tc>
        <w:tc>
          <w:tcPr>
            <w:tcW w:w="200" w:type="dxa"/>
            <w:vAlign w:val="bottom"/>
          </w:tcPr>
          <w:p>
            <w:pPr>
              <w:spacing w:after="0"/>
              <w:rPr>
                <w:sz w:val="9"/>
                <w:szCs w:val="9"/>
                <w:color w:val="auto"/>
              </w:rPr>
            </w:pPr>
          </w:p>
        </w:tc>
        <w:tc>
          <w:tcPr>
            <w:tcW w:w="1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4040" w:type="dxa"/>
            <w:vAlign w:val="bottom"/>
            <w:gridSpan w:val="2"/>
            <w:shd w:val="clear" w:color="auto" w:fill="CCEEFF"/>
          </w:tcPr>
          <w:p>
            <w:pPr>
              <w:jc w:val="center"/>
              <w:ind w:right="180"/>
              <w:spacing w:after="0" w:line="111" w:lineRule="exact"/>
              <w:rPr>
                <w:sz w:val="20"/>
                <w:szCs w:val="20"/>
                <w:color w:val="auto"/>
              </w:rPr>
            </w:pPr>
            <w:r>
              <w:rPr>
                <w:rFonts w:ascii="Times New Roman" w:cs="Times New Roman" w:eastAsia="Times New Roman" w:hAnsi="Times New Roman"/>
                <w:sz w:val="11"/>
                <w:szCs w:val="11"/>
                <w:color w:val="auto"/>
                <w:w w:val="98"/>
              </w:rPr>
              <w:t>2021 Equity Incentive Plan</w:t>
            </w:r>
          </w:p>
        </w:tc>
        <w:tc>
          <w:tcPr>
            <w:tcW w:w="1640" w:type="dxa"/>
            <w:vAlign w:val="bottom"/>
            <w:gridSpan w:val="2"/>
            <w:shd w:val="clear" w:color="auto" w:fill="CCEEFF"/>
          </w:tcPr>
          <w:p>
            <w:pPr>
              <w:jc w:val="right"/>
              <w:ind w:right="2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60" w:type="dxa"/>
            <w:vAlign w:val="bottom"/>
            <w:gridSpan w:val="2"/>
            <w:shd w:val="clear" w:color="auto" w:fill="CCEEFF"/>
          </w:tcPr>
          <w:p>
            <w:pPr>
              <w:jc w:val="right"/>
              <w:ind w:right="2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1,493,586</w:t>
            </w:r>
          </w:p>
        </w:tc>
        <w:tc>
          <w:tcPr>
            <w:tcW w:w="0" w:type="dxa"/>
            <w:vAlign w:val="bottom"/>
          </w:tcPr>
          <w:p>
            <w:pPr>
              <w:spacing w:after="0"/>
              <w:rPr>
                <w:sz w:val="1"/>
                <w:szCs w:val="1"/>
                <w:color w:val="auto"/>
              </w:rPr>
            </w:pPr>
          </w:p>
        </w:tc>
      </w:tr>
      <w:tr>
        <w:trPr>
          <w:trHeight w:val="111"/>
        </w:trPr>
        <w:tc>
          <w:tcPr>
            <w:tcW w:w="404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color w:val="auto"/>
                <w:w w:val="97"/>
              </w:rPr>
              <w:t>Employee Stock Purchase Plan</w:t>
            </w:r>
          </w:p>
        </w:tc>
        <w:tc>
          <w:tcPr>
            <w:tcW w:w="1640" w:type="dxa"/>
            <w:vAlign w:val="bottom"/>
            <w:gridSpan w:val="2"/>
          </w:tcPr>
          <w:p>
            <w:pPr>
              <w:jc w:val="right"/>
              <w:ind w:right="2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60" w:type="dxa"/>
            <w:vAlign w:val="bottom"/>
            <w:gridSpan w:val="2"/>
          </w:tcPr>
          <w:p>
            <w:pPr>
              <w:jc w:val="right"/>
              <w:ind w:right="2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929,751</w:t>
            </w:r>
          </w:p>
        </w:tc>
        <w:tc>
          <w:tcPr>
            <w:tcW w:w="0" w:type="dxa"/>
            <w:vAlign w:val="bottom"/>
          </w:tcPr>
          <w:p>
            <w:pPr>
              <w:spacing w:after="0"/>
              <w:rPr>
                <w:sz w:val="1"/>
                <w:szCs w:val="1"/>
                <w:color w:val="auto"/>
              </w:rPr>
            </w:pPr>
          </w:p>
        </w:tc>
      </w:tr>
      <w:tr>
        <w:trPr>
          <w:trHeight w:val="101"/>
        </w:trPr>
        <w:tc>
          <w:tcPr>
            <w:tcW w:w="4040" w:type="dxa"/>
            <w:vAlign w:val="bottom"/>
            <w:tcBorders>
              <w:top w:val="single" w:sz="8" w:color="CCEEFF"/>
              <w:bottom w:val="single" w:sz="8" w:color="CCEEFF"/>
            </w:tcBorders>
            <w:gridSpan w:val="2"/>
            <w:shd w:val="clear" w:color="auto" w:fill="CCEEFF"/>
          </w:tcPr>
          <w:p>
            <w:pPr>
              <w:jc w:val="center"/>
              <w:ind w:right="180"/>
              <w:spacing w:after="0" w:line="101" w:lineRule="exact"/>
              <w:rPr>
                <w:sz w:val="20"/>
                <w:szCs w:val="20"/>
                <w:color w:val="auto"/>
              </w:rPr>
            </w:pPr>
            <w:r>
              <w:rPr>
                <w:rFonts w:ascii="Times New Roman" w:cs="Times New Roman" w:eastAsia="Times New Roman" w:hAnsi="Times New Roman"/>
                <w:sz w:val="11"/>
                <w:szCs w:val="11"/>
                <w:color w:val="auto"/>
                <w:w w:val="94"/>
              </w:rPr>
              <w:t>Total</w:t>
            </w:r>
          </w:p>
        </w:tc>
        <w:tc>
          <w:tcPr>
            <w:tcW w:w="14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26,995</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4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$ 35.39</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6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2,423,337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information regarding Certain Relationships and Related Transactions and Director Independence will be set forth in the Registrant’s Proxy Statement for the Annual Meeting of Shareholders to be held on May 22, 2025 and is incorporated herein by reference thereto.</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14. Principal Accounting Fees and Services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information regarding the Company’s independent registered public accounting firm’s fees and services will be set forth in the Registrant’s Proxy Statement for the Annual Meeting of Shareholders to be held on May 22, 2025 and is incorporated herein by reference thereto.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61" w:lineRule="exact"/>
        <w:rPr>
          <w:sz w:val="20"/>
          <w:szCs w:val="20"/>
          <w:color w:val="auto"/>
        </w:rPr>
      </w:pPr>
    </w:p>
    <w:p>
      <w:pPr>
        <w:ind w:left="20" w:right="39" w:firstLine="9"/>
        <w:spacing w:after="0" w:line="297" w:lineRule="auto"/>
        <w:tabs>
          <w:tab w:leader="none" w:pos="202"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consolidated financial statements, including notes thereto, and financial schedules of the Company, required in response to this item are included in Part II, Item 8, “Financial Statements and Supplementary Data.”</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40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auto"/>
                <w:w w:val="72"/>
              </w:rPr>
              <w:t>1.</w:t>
            </w:r>
          </w:p>
        </w:tc>
        <w:tc>
          <w:tcPr>
            <w:tcW w:w="5860" w:type="dxa"/>
            <w:vAlign w:val="bottom"/>
            <w:gridSpan w:val="9"/>
            <w:vMerge w:val="restart"/>
          </w:tcPr>
          <w:p>
            <w:pPr>
              <w:ind w:left="320"/>
              <w:spacing w:after="0"/>
              <w:rPr>
                <w:sz w:val="20"/>
                <w:szCs w:val="20"/>
                <w:color w:val="auto"/>
              </w:rPr>
            </w:pPr>
            <w:r>
              <w:rPr>
                <w:rFonts w:ascii="Times New Roman" w:cs="Times New Roman" w:eastAsia="Times New Roman" w:hAnsi="Times New Roman"/>
                <w:sz w:val="11"/>
                <w:szCs w:val="11"/>
                <w:color w:val="auto"/>
              </w:rPr>
              <w:t>Financial Statements</w:t>
            </w:r>
          </w:p>
        </w:tc>
        <w:tc>
          <w:tcPr>
            <w:tcW w:w="2240" w:type="dxa"/>
            <w:vAlign w:val="bottom"/>
          </w:tcPr>
          <w:p>
            <w:pPr>
              <w:ind w:left="1860"/>
              <w:spacing w:after="0"/>
              <w:rPr>
                <w:sz w:val="20"/>
                <w:szCs w:val="20"/>
                <w:color w:val="auto"/>
              </w:rPr>
            </w:pPr>
            <w:r>
              <w:rPr>
                <w:rFonts w:ascii="Times New Roman" w:cs="Times New Roman" w:eastAsia="Times New Roman" w:hAnsi="Times New Roman"/>
                <w:sz w:val="11"/>
                <w:szCs w:val="11"/>
                <w:color w:val="auto"/>
                <w:w w:val="89"/>
              </w:rPr>
              <w:t>Page No.</w:t>
            </w:r>
          </w:p>
        </w:tc>
        <w:tc>
          <w:tcPr>
            <w:tcW w:w="0" w:type="dxa"/>
            <w:vAlign w:val="bottom"/>
          </w:tcPr>
          <w:p>
            <w:pPr>
              <w:spacing w:after="0"/>
              <w:rPr>
                <w:sz w:val="1"/>
                <w:szCs w:val="1"/>
                <w:color w:val="auto"/>
              </w:rPr>
            </w:pPr>
          </w:p>
        </w:tc>
      </w:tr>
      <w:tr>
        <w:trPr>
          <w:trHeight w:val="111"/>
        </w:trPr>
        <w:tc>
          <w:tcPr>
            <w:tcW w:w="400" w:type="dxa"/>
            <w:vAlign w:val="bottom"/>
            <w:vMerge w:val="continue"/>
          </w:tcPr>
          <w:p>
            <w:pPr>
              <w:spacing w:after="0"/>
              <w:rPr>
                <w:sz w:val="9"/>
                <w:szCs w:val="9"/>
                <w:color w:val="auto"/>
              </w:rPr>
            </w:pPr>
          </w:p>
        </w:tc>
        <w:tc>
          <w:tcPr>
            <w:tcW w:w="5860" w:type="dxa"/>
            <w:vAlign w:val="bottom"/>
            <w:gridSpan w:val="9"/>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160" w:type="dxa"/>
            <w:vAlign w:val="bottom"/>
            <w:gridSpan w:val="8"/>
          </w:tcPr>
          <w:p>
            <w:pPr>
              <w:spacing w:after="0"/>
              <w:rPr>
                <w:sz w:val="20"/>
                <w:szCs w:val="20"/>
                <w:color w:val="auto"/>
              </w:rPr>
            </w:pPr>
            <w:r>
              <w:rPr>
                <w:rFonts w:ascii="Times New Roman" w:cs="Times New Roman" w:eastAsia="Times New Roman" w:hAnsi="Times New Roman"/>
                <w:sz w:val="11"/>
                <w:szCs w:val="11"/>
                <w:color w:val="0000EE"/>
              </w:rPr>
              <w:t>Consolidated Statements of Financial Condition</w:t>
            </w:r>
          </w:p>
        </w:tc>
        <w:tc>
          <w:tcPr>
            <w:tcW w:w="2240" w:type="dxa"/>
            <w:vAlign w:val="bottom"/>
          </w:tcPr>
          <w:p>
            <w:pPr>
              <w:jc w:val="center"/>
              <w:ind w:left="1810"/>
              <w:spacing w:after="0"/>
              <w:rPr>
                <w:sz w:val="20"/>
                <w:szCs w:val="20"/>
                <w:color w:val="auto"/>
              </w:rPr>
            </w:pPr>
            <w:r>
              <w:rPr>
                <w:rFonts w:ascii="Times New Roman" w:cs="Times New Roman" w:eastAsia="Times New Roman" w:hAnsi="Times New Roman"/>
                <w:sz w:val="11"/>
                <w:szCs w:val="11"/>
                <w:color w:val="auto"/>
                <w:w w:val="90"/>
              </w:rPr>
              <w:t>46</w:t>
            </w: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80" w:type="dxa"/>
            <w:vAlign w:val="bottom"/>
            <w:tcBorders>
              <w:top w:val="single" w:sz="8" w:color="0000EE"/>
            </w:tcBorders>
            <w:gridSpan w:val="4"/>
          </w:tcPr>
          <w:p>
            <w:pPr>
              <w:spacing w:after="0" w:line="91" w:lineRule="exact"/>
              <w:rPr>
                <w:sz w:val="20"/>
                <w:szCs w:val="20"/>
                <w:color w:val="auto"/>
              </w:rPr>
            </w:pPr>
            <w:r>
              <w:rPr>
                <w:rFonts w:ascii="Times New Roman" w:cs="Times New Roman" w:eastAsia="Times New Roman" w:hAnsi="Times New Roman"/>
                <w:sz w:val="10"/>
                <w:szCs w:val="10"/>
                <w:color w:val="0000EE"/>
              </w:rPr>
              <w:t>Consolidated Statements of Operations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240" w:type="dxa"/>
            <w:vAlign w:val="bottom"/>
          </w:tcPr>
          <w:p>
            <w:pPr>
              <w:jc w:val="center"/>
              <w:ind w:left="1810"/>
              <w:spacing w:after="0" w:line="91" w:lineRule="exact"/>
              <w:rPr>
                <w:sz w:val="20"/>
                <w:szCs w:val="20"/>
                <w:color w:val="auto"/>
              </w:rPr>
            </w:pPr>
            <w:r>
              <w:rPr>
                <w:rFonts w:ascii="Times New Roman" w:cs="Times New Roman" w:eastAsia="Times New Roman" w:hAnsi="Times New Roman"/>
                <w:sz w:val="10"/>
                <w:szCs w:val="10"/>
                <w:color w:val="auto"/>
                <w:w w:val="99"/>
              </w:rPr>
              <w:t>47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vMerge w:val="restart"/>
          </w:tcPr>
          <w:p>
            <w:pPr>
              <w:jc w:val="center"/>
              <w:ind w:left="1810"/>
              <w:spacing w:after="0" w:line="111" w:lineRule="exact"/>
              <w:rPr>
                <w:sz w:val="20"/>
                <w:szCs w:val="20"/>
                <w:color w:val="auto"/>
              </w:rPr>
            </w:pPr>
            <w:r>
              <w:rPr>
                <w:rFonts w:ascii="Times New Roman" w:cs="Times New Roman" w:eastAsia="Times New Roman" w:hAnsi="Times New Roman"/>
                <w:sz w:val="11"/>
                <w:szCs w:val="11"/>
                <w:color w:val="auto"/>
                <w:w w:val="90"/>
              </w:rPr>
              <w:t>48</w:t>
            </w:r>
          </w:p>
        </w:tc>
        <w:tc>
          <w:tcPr>
            <w:tcW w:w="0" w:type="dxa"/>
            <w:vAlign w:val="bottom"/>
          </w:tcPr>
          <w:p>
            <w:pPr>
              <w:spacing w:after="0" w:line="20" w:lineRule="exact"/>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160" w:type="dxa"/>
            <w:vAlign w:val="bottom"/>
            <w:gridSpan w:val="8"/>
          </w:tcPr>
          <w:p>
            <w:pPr>
              <w:spacing w:after="0" w:line="91" w:lineRule="exact"/>
              <w:rPr>
                <w:sz w:val="20"/>
                <w:szCs w:val="20"/>
                <w:color w:val="auto"/>
              </w:rPr>
            </w:pPr>
            <w:r>
              <w:rPr>
                <w:rFonts w:ascii="Times New Roman" w:cs="Times New Roman" w:eastAsia="Times New Roman" w:hAnsi="Times New Roman"/>
                <w:sz w:val="10"/>
                <w:szCs w:val="10"/>
                <w:color w:val="0000EE"/>
              </w:rPr>
              <w:t>Consolidated Statements of Comprehensive Income</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40" w:type="dxa"/>
            <w:vAlign w:val="bottom"/>
            <w:tcBorders>
              <w:top w:val="single" w:sz="8" w:color="0000EE"/>
            </w:tcBorders>
            <w:gridSpan w:val="6"/>
          </w:tcPr>
          <w:p>
            <w:pPr>
              <w:spacing w:after="0" w:line="91" w:lineRule="exact"/>
              <w:rPr>
                <w:sz w:val="20"/>
                <w:szCs w:val="20"/>
                <w:color w:val="auto"/>
              </w:rPr>
            </w:pPr>
            <w:r>
              <w:rPr>
                <w:rFonts w:ascii="Times New Roman" w:cs="Times New Roman" w:eastAsia="Times New Roman" w:hAnsi="Times New Roman"/>
                <w:sz w:val="10"/>
                <w:szCs w:val="10"/>
                <w:color w:val="0000EE"/>
              </w:rPr>
              <w:t>Consolidated Statements of Stockholders’ Equity</w:t>
            </w:r>
          </w:p>
        </w:tc>
        <w:tc>
          <w:tcPr>
            <w:tcW w:w="2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240" w:type="dxa"/>
            <w:vAlign w:val="bottom"/>
          </w:tcPr>
          <w:p>
            <w:pPr>
              <w:jc w:val="center"/>
              <w:ind w:left="1810"/>
              <w:spacing w:after="0" w:line="91" w:lineRule="exact"/>
              <w:rPr>
                <w:sz w:val="20"/>
                <w:szCs w:val="20"/>
                <w:color w:val="auto"/>
              </w:rPr>
            </w:pPr>
            <w:r>
              <w:rPr>
                <w:rFonts w:ascii="Times New Roman" w:cs="Times New Roman" w:eastAsia="Times New Roman" w:hAnsi="Times New Roman"/>
                <w:sz w:val="10"/>
                <w:szCs w:val="10"/>
                <w:color w:val="auto"/>
                <w:w w:val="99"/>
              </w:rPr>
              <w:t>49</w:t>
            </w: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20" w:type="dxa"/>
            <w:vAlign w:val="bottom"/>
            <w:tcBorders>
              <w:top w:val="single" w:sz="8" w:color="0000EE"/>
              <w:bottom w:val="single" w:sz="8" w:color="0000EE"/>
            </w:tcBorders>
            <w:gridSpan w:val="2"/>
          </w:tcPr>
          <w:p>
            <w:pPr>
              <w:spacing w:after="0" w:line="91" w:lineRule="exact"/>
              <w:rPr>
                <w:sz w:val="20"/>
                <w:szCs w:val="20"/>
                <w:color w:val="auto"/>
              </w:rPr>
            </w:pPr>
            <w:r>
              <w:rPr>
                <w:rFonts w:ascii="Times New Roman" w:cs="Times New Roman" w:eastAsia="Times New Roman" w:hAnsi="Times New Roman"/>
                <w:sz w:val="10"/>
                <w:szCs w:val="10"/>
                <w:color w:val="0000EE"/>
              </w:rPr>
              <w:t>Consolidated Statements of Cash Flows</w:t>
            </w:r>
          </w:p>
        </w:tc>
        <w:tc>
          <w:tcPr>
            <w:tcW w:w="400" w:type="dxa"/>
            <w:vAlign w:val="bottom"/>
            <w:tcBorders>
              <w:top w:val="single" w:sz="8" w:color="0000EE"/>
            </w:tcBorders>
            <w:gridSpan w:val="3"/>
          </w:tcPr>
          <w:p>
            <w:pPr>
              <w:spacing w:after="0"/>
              <w:rPr>
                <w:sz w:val="7"/>
                <w:szCs w:val="7"/>
                <w:color w:val="auto"/>
              </w:rPr>
            </w:pPr>
          </w:p>
        </w:tc>
        <w:tc>
          <w:tcPr>
            <w:tcW w:w="400" w:type="dxa"/>
            <w:vAlign w:val="bottom"/>
            <w:gridSpan w:val="2"/>
          </w:tcPr>
          <w:p>
            <w:pPr>
              <w:spacing w:after="0"/>
              <w:rPr>
                <w:sz w:val="7"/>
                <w:szCs w:val="7"/>
                <w:color w:val="auto"/>
              </w:rPr>
            </w:pPr>
          </w:p>
        </w:tc>
        <w:tc>
          <w:tcPr>
            <w:tcW w:w="2640" w:type="dxa"/>
            <w:vAlign w:val="bottom"/>
          </w:tcPr>
          <w:p>
            <w:pPr>
              <w:spacing w:after="0"/>
              <w:rPr>
                <w:sz w:val="7"/>
                <w:szCs w:val="7"/>
                <w:color w:val="auto"/>
              </w:rPr>
            </w:pPr>
          </w:p>
        </w:tc>
        <w:tc>
          <w:tcPr>
            <w:tcW w:w="2240" w:type="dxa"/>
            <w:vAlign w:val="bottom"/>
          </w:tcPr>
          <w:p>
            <w:pPr>
              <w:jc w:val="center"/>
              <w:ind w:left="1810"/>
              <w:spacing w:after="0" w:line="91" w:lineRule="exact"/>
              <w:rPr>
                <w:sz w:val="20"/>
                <w:szCs w:val="20"/>
                <w:color w:val="auto"/>
              </w:rPr>
            </w:pPr>
            <w:r>
              <w:rPr>
                <w:rFonts w:ascii="Times New Roman" w:cs="Times New Roman" w:eastAsia="Times New Roman" w:hAnsi="Times New Roman"/>
                <w:sz w:val="10"/>
                <w:szCs w:val="10"/>
                <w:color w:val="auto"/>
                <w:w w:val="99"/>
              </w:rPr>
              <w:t>50</w:t>
            </w: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160" w:type="dxa"/>
            <w:vAlign w:val="bottom"/>
            <w:gridSpan w:val="8"/>
          </w:tcPr>
          <w:p>
            <w:pPr>
              <w:spacing w:after="0" w:line="91" w:lineRule="exact"/>
              <w:rPr>
                <w:sz w:val="20"/>
                <w:szCs w:val="20"/>
                <w:color w:val="auto"/>
              </w:rPr>
            </w:pPr>
            <w:r>
              <w:rPr>
                <w:rFonts w:ascii="Times New Roman" w:cs="Times New Roman" w:eastAsia="Times New Roman" w:hAnsi="Times New Roman"/>
                <w:sz w:val="10"/>
                <w:szCs w:val="10"/>
                <w:color w:val="0000EE"/>
              </w:rPr>
              <w:t>Notes to Consolidated Financial Statements</w:t>
            </w:r>
          </w:p>
        </w:tc>
        <w:tc>
          <w:tcPr>
            <w:tcW w:w="2240" w:type="dxa"/>
            <w:vAlign w:val="bottom"/>
          </w:tcPr>
          <w:p>
            <w:pPr>
              <w:jc w:val="center"/>
              <w:ind w:left="1810"/>
              <w:spacing w:after="0" w:line="91" w:lineRule="exact"/>
              <w:rPr>
                <w:sz w:val="20"/>
                <w:szCs w:val="20"/>
                <w:color w:val="auto"/>
              </w:rPr>
            </w:pPr>
            <w:r>
              <w:rPr>
                <w:rFonts w:ascii="Times New Roman" w:cs="Times New Roman" w:eastAsia="Times New Roman" w:hAnsi="Times New Roman"/>
                <w:sz w:val="10"/>
                <w:szCs w:val="10"/>
                <w:color w:val="auto"/>
                <w:w w:val="99"/>
              </w:rPr>
              <w:t>52</w:t>
            </w: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80" w:type="dxa"/>
            <w:vAlign w:val="bottom"/>
            <w:tcBorders>
              <w:top w:val="single" w:sz="8" w:color="0000EE"/>
            </w:tcBorders>
            <w:gridSpan w:val="3"/>
          </w:tcPr>
          <w:p>
            <w:pPr>
              <w:spacing w:after="0" w:line="91" w:lineRule="exact"/>
              <w:rPr>
                <w:sz w:val="20"/>
                <w:szCs w:val="20"/>
                <w:color w:val="auto"/>
              </w:rPr>
            </w:pPr>
            <w:r>
              <w:rPr>
                <w:rFonts w:ascii="Times New Roman" w:cs="Times New Roman" w:eastAsia="Times New Roman" w:hAnsi="Times New Roman"/>
                <w:sz w:val="10"/>
                <w:szCs w:val="10"/>
                <w:color w:val="0000EE"/>
              </w:rPr>
              <w:t>Report of Independent Registered Public</w:t>
            </w:r>
          </w:p>
        </w:tc>
        <w:tc>
          <w:tcPr>
            <w:tcW w:w="3280" w:type="dxa"/>
            <w:vAlign w:val="bottom"/>
            <w:gridSpan w:val="5"/>
          </w:tcPr>
          <w:p>
            <w:pPr>
              <w:spacing w:after="0" w:line="91" w:lineRule="exact"/>
              <w:rPr>
                <w:sz w:val="20"/>
                <w:szCs w:val="20"/>
                <w:color w:val="auto"/>
              </w:rPr>
            </w:pPr>
            <w:r>
              <w:rPr>
                <w:rFonts w:ascii="Times New Roman" w:cs="Times New Roman" w:eastAsia="Times New Roman" w:hAnsi="Times New Roman"/>
                <w:sz w:val="10"/>
                <w:szCs w:val="10"/>
                <w:color w:val="0000EE"/>
              </w:rPr>
              <w:t xml:space="preserve">Accounting Firm </w:t>
            </w:r>
            <w:r>
              <w:rPr>
                <w:rFonts w:ascii="Times New Roman" w:cs="Times New Roman" w:eastAsia="Times New Roman" w:hAnsi="Times New Roman"/>
                <w:sz w:val="10"/>
                <w:szCs w:val="10"/>
                <w:color w:val="000000"/>
              </w:rPr>
              <w:t>(PCAOB ID 173)</w:t>
            </w:r>
          </w:p>
        </w:tc>
        <w:tc>
          <w:tcPr>
            <w:tcW w:w="2240" w:type="dxa"/>
            <w:vAlign w:val="bottom"/>
          </w:tcPr>
          <w:p>
            <w:pPr>
              <w:jc w:val="center"/>
              <w:ind w:left="1830"/>
              <w:spacing w:after="0" w:line="91" w:lineRule="exact"/>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2"/>
              </w:rPr>
              <w:t>2.</w:t>
            </w:r>
          </w:p>
        </w:tc>
        <w:tc>
          <w:tcPr>
            <w:tcW w:w="5860" w:type="dxa"/>
            <w:vAlign w:val="bottom"/>
            <w:gridSpan w:val="9"/>
          </w:tcPr>
          <w:p>
            <w:pPr>
              <w:ind w:left="320"/>
              <w:spacing w:after="0"/>
              <w:rPr>
                <w:sz w:val="20"/>
                <w:szCs w:val="20"/>
                <w:color w:val="auto"/>
              </w:rPr>
            </w:pPr>
            <w:r>
              <w:rPr>
                <w:rFonts w:ascii="Times New Roman" w:cs="Times New Roman" w:eastAsia="Times New Roman" w:hAnsi="Times New Roman"/>
                <w:sz w:val="11"/>
                <w:szCs w:val="11"/>
                <w:color w:val="auto"/>
              </w:rPr>
              <w:t>Financial Statement Schedules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Financial Statement Schedules have been omitted because they are not applicable or the required information is shown in the Consolidated Financial Statements or Notes thereto in Part II, Item 8, “Financial Statements and Supplementary Data.”</w:t>
      </w:r>
    </w:p>
    <w:p>
      <w:pPr>
        <w:spacing w:after="0" w:line="99" w:lineRule="exact"/>
        <w:rPr>
          <w:sz w:val="20"/>
          <w:szCs w:val="20"/>
          <w:color w:val="auto"/>
        </w:rPr>
      </w:pPr>
    </w:p>
    <w:p>
      <w:pPr>
        <w:ind w:left="1080" w:hanging="736"/>
        <w:spacing w:after="0"/>
        <w:tabs>
          <w:tab w:leader="none" w:pos="10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Exhibits</w:t>
      </w:r>
    </w:p>
    <w:p>
      <w:pPr>
        <w:spacing w:after="0" w:line="9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See Exhibit Index on page 105</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Stockholders and the Board of Directors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of Dime Community Bancshares, Inc. and Subsidiaries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Hauppauge, New York</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Opinions on the Financial Statements and Internal Control over Financial Reporting</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financial condition of Dime Community Bancshares, Inc. and Subsidiaries (the “Company”) as of December 31, 2024 and 2023, the related consolidated statements of operations, comprehensive income, changes in stockholders’ equity, and cash flows for each of the years in the three-year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33"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In our opinion, the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Basis for Opinions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77"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and directors of the company; and (3)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17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Allowance for Credit Losses for Loans – Qualitative Factors</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As described in Notes 1 and 4 to the financial statements, the Company estimates expected credit losses for its financial assets carried at amortized cost utilizing the current expected credit loss (“CECL”) methodology. In determining the allowance for credit losses (“ACL”) related to loans that are collectively evaluated, expected credit losses are determined by calculating a loss percentage by loan segment, or pool. Management estimates the allowance for credit losses on each loan pool using relevant available information, from internal and external sources, relating to past events, current conditions, and reasonable and supportable forecasts. Historically observed credit loss experience of peer banks within the Company’s geography, adjusted for prepayment and curtailment assumptions as well as reasonable and supportable forecasts, provide the basis for the estimation of quantitatively modeled expected credit losses on similar loan pools.</w:t>
      </w:r>
    </w:p>
    <w:p>
      <w:pPr>
        <w:spacing w:after="0" w:line="13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quantitative results of the modeling are then adjusted using qualitative factors.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the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 A significant amount of management judgment is required to assess the reasonableness of the qualitative factors.</w:t>
      </w:r>
    </w:p>
    <w:p>
      <w:pPr>
        <w:spacing w:after="0" w:line="296"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qualitative factors contribute to the determination of the ACL related to loans that share similar risk characteristics. We identified the assessment of qualitative factors as a critical audit matter because auditing management’s estimate required especially subjective auditor judgment.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were comprised of testing management’s process and controls related to the determination of qualitative factor adjustments, which included (i) testing the design and operating effectiveness of controls over the review and approval of qualitative factors, including significant assumptions and judgments made in those determinations, (ii) testing the relevance and reliability of data used as the basis for qualitative factors, and (iii) evaluating the reasonableness of management’s judgments and significant assumptions used in the assessment of qualitative factors, including determining that they are calculated to conform with management’s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99060</wp:posOffset>
            </wp:positionV>
            <wp:extent cx="960120" cy="377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0120"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color w:val="auto"/>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-92710</wp:posOffset>
            </wp:positionV>
            <wp:extent cx="18942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94205" cy="6350"/>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We have served as the Company’s auditor since 2009.</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Livingston, New Jersey</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February 20, 2025</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149"/>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836"/>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760" w:type="dxa"/>
            <w:vAlign w:val="bottom"/>
          </w:tcPr>
          <w:p>
            <w:pPr>
              <w:spacing w:after="0"/>
              <w:rPr>
                <w:sz w:val="24"/>
                <w:szCs w:val="24"/>
                <w:color w:val="auto"/>
              </w:rPr>
            </w:pPr>
          </w:p>
        </w:tc>
      </w:tr>
      <w:tr>
        <w:trPr>
          <w:trHeight w:val="45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3.</w:t>
            </w:r>
            <w:r>
              <w:rPr>
                <w:rFonts w:ascii="Times New Roman" w:cs="Times New Roman" w:eastAsia="Times New Roman" w:hAnsi="Times New Roman"/>
                <w:sz w:val="13"/>
                <w:szCs w:val="13"/>
                <w:u w:val="single" w:color="auto"/>
                <w:color w:val="0000FF"/>
                <w:w w:val="98"/>
              </w:rPr>
              <w:t>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0">
              <w:r>
                <w:rPr>
                  <w:rFonts w:ascii="Times New Roman" w:cs="Times New Roman" w:eastAsia="Times New Roman" w:hAnsi="Times New Roman"/>
                  <w:sz w:val="13"/>
                  <w:szCs w:val="13"/>
                  <w:color w:val="0000EE"/>
                </w:rPr>
                <w:t>Restated Certificate of Incorporation of the Registrant (incorporated by reference to Exhibit 3.1 to the Registrant’s Form</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0">
              <w:r>
                <w:rPr>
                  <w:rFonts w:ascii="Times New Roman" w:cs="Times New Roman" w:eastAsia="Times New Roman" w:hAnsi="Times New Roman"/>
                  <w:sz w:val="13"/>
                  <w:szCs w:val="13"/>
                  <w:color w:val="0000EE"/>
                </w:rPr>
                <w:t>8-K, filed February 2, 2021 (SEC File No. 001-34096))</w:t>
              </w:r>
            </w:hyperlink>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64"/>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3.</w:t>
            </w:r>
            <w:r>
              <w:rPr>
                <w:rFonts w:ascii="Times New Roman" w:cs="Times New Roman" w:eastAsia="Times New Roman" w:hAnsi="Times New Roman"/>
                <w:sz w:val="13"/>
                <w:szCs w:val="13"/>
                <w:u w:val="single" w:color="auto"/>
                <w:color w:val="0000FF"/>
                <w:w w:val="98"/>
              </w:rPr>
              <w:t>2</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Amended and Restated Bylaws of the Registrant (incorporated by reference to Exhibit 3.2 to the Registrant’s Form 8-K,</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filed October 24, 2024 (SEC File No. 001-34096))</w:t>
              </w:r>
            </w:hyperlink>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Description of the Registrant’s Securities</w:t>
            </w:r>
          </w:p>
        </w:tc>
        <w:tc>
          <w:tcPr>
            <w:tcW w:w="4960" w:type="dxa"/>
            <w:vAlign w:val="bottom"/>
            <w:gridSpan w:val="9"/>
          </w:tcPr>
          <w:p>
            <w:pPr>
              <w:spacing w:after="0"/>
              <w:rPr>
                <w:sz w:val="24"/>
                <w:szCs w:val="24"/>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2</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Indenture, dated as of September 21, 2015, by and between the Registrant, as Issuer, and Wilmington Trust, National</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Association, as Trustee (incorporated by reference to Exhibit 4.1 to Registrant’s Form 8-K, filed on September 21, 2015</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bottom w:val="single" w:sz="8" w:color="0000EE"/>
            </w:tcBorders>
            <w:gridSpan w:val="4"/>
          </w:tcPr>
          <w:p>
            <w:pPr>
              <w:spacing w:after="0" w:line="141" w:lineRule="exact"/>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(SEC File No. 001-34096))</w:t>
              </w:r>
            </w:hyperlink>
          </w:p>
        </w:tc>
        <w:tc>
          <w:tcPr>
            <w:tcW w:w="6200" w:type="dxa"/>
            <w:vAlign w:val="bottom"/>
            <w:gridSpan w:val="13"/>
          </w:tcPr>
          <w:p>
            <w:pPr>
              <w:spacing w:after="0"/>
              <w:rPr>
                <w:sz w:val="12"/>
                <w:szCs w:val="12"/>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3</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First Supplemental Indenture, dated as of September 21, 2015, by and between the Registrant and Wilmington Trust,</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National Association, as Trustee, including the form of the 5.25% fixed</w:t>
              </w:r>
              <w:r>
                <w:rPr>
                  <w:rFonts w:ascii="Times New Roman" w:cs="Times New Roman" w:eastAsia="Times New Roman" w:hAnsi="Times New Roman"/>
                  <w:sz w:val="13"/>
                  <w:szCs w:val="13"/>
                  <w:b w:val="1"/>
                  <w:bCs w:val="1"/>
                  <w:color w:val="0000EE"/>
                </w:rPr>
                <w:t>-</w:t>
              </w:r>
              <w:r>
                <w:rPr>
                  <w:rFonts w:ascii="Times New Roman" w:cs="Times New Roman" w:eastAsia="Times New Roman" w:hAnsi="Times New Roman"/>
                  <w:sz w:val="13"/>
                  <w:szCs w:val="13"/>
                  <w:color w:val="0000EE"/>
                </w:rPr>
                <w:t>to-floating rate subordinated debentures due</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2025 attached as Exhibit A thereto (incorporated by reference to Exhibit 4.2 to the Registrant’s Form 8-K, filed September</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21, 2015 (SEC File No. 001-34096))</w:t>
              </w:r>
            </w:hyperlink>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4</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Second Supplemental Indenture, dated as of September 21, 2015, by and between the Registrant and Wilmington Trust,</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National Association, as Trustee, including the form of the 5.75% fixed-to-floating rate subordinated debentures due</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2030 attached as Exhibit A thereto (incorporated by reference to Exhibit 4.3 to the Registrant’s Form 8-K, filed September</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21, 2015 (SEC File No. 001-34096))</w:t>
              </w:r>
            </w:hyperlink>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Indenture, dated as of June 13, 2017, by and between Dime Community Bancshares, Inc., as Issuer, and Wilmington</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Trust, National Association, as Trustee (incorporated by reference to Exhibit 4.1 to Dime Community Bancshares, Inc.’s</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20" w:type="dxa"/>
            <w:vAlign w:val="bottom"/>
            <w:tcBorders>
              <w:bottom w:val="single" w:sz="8" w:color="0000EE"/>
            </w:tcBorders>
            <w:gridSpan w:val="10"/>
          </w:tcPr>
          <w:p>
            <w:pPr>
              <w:spacing w:after="0" w:line="141" w:lineRule="exact"/>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Form 8-K, filed on June 13, 2017 (SEC File No. 000-27782))</w:t>
              </w:r>
            </w:hyperlink>
          </w:p>
        </w:tc>
        <w:tc>
          <w:tcPr>
            <w:tcW w:w="4360" w:type="dxa"/>
            <w:vAlign w:val="bottom"/>
            <w:gridSpan w:val="7"/>
          </w:tcPr>
          <w:p>
            <w:pPr>
              <w:spacing w:after="0"/>
              <w:rPr>
                <w:sz w:val="12"/>
                <w:szCs w:val="12"/>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6</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6">
              <w:r>
                <w:rPr>
                  <w:rFonts w:ascii="Times New Roman" w:cs="Times New Roman" w:eastAsia="Times New Roman" w:hAnsi="Times New Roman"/>
                  <w:sz w:val="13"/>
                  <w:szCs w:val="13"/>
                  <w:color w:val="0000EE"/>
                </w:rPr>
                <w:t>First Supplemental Indenture, dated as of June 13, 2017, by and between Dime Community Bancshares, Inc., as Issuer,</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6">
              <w:r>
                <w:rPr>
                  <w:rFonts w:ascii="Times New Roman" w:cs="Times New Roman" w:eastAsia="Times New Roman" w:hAnsi="Times New Roman"/>
                  <w:sz w:val="13"/>
                  <w:szCs w:val="13"/>
                  <w:color w:val="0000EE"/>
                </w:rPr>
                <w:t>and Wilmington Trust, National Association, as Trustee, including the form of the 4.50% fixed-to-floating rate</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6">
              <w:r>
                <w:rPr>
                  <w:rFonts w:ascii="Times New Roman" w:cs="Times New Roman" w:eastAsia="Times New Roman" w:hAnsi="Times New Roman"/>
                  <w:sz w:val="13"/>
                  <w:szCs w:val="13"/>
                  <w:color w:val="0000EE"/>
                </w:rPr>
                <w:t>subordinated debentures due 2027 attached as Exhibit A thereto (incorporated by reference to Exhibit 4.2 to Dime</w:t>
              </w:r>
            </w:hyperlink>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0" w:type="dxa"/>
            <w:vAlign w:val="bottom"/>
            <w:tcBorders>
              <w:top w:val="single" w:sz="8" w:color="0000EE"/>
              <w:bottom w:val="single" w:sz="8" w:color="0000EE"/>
            </w:tcBorders>
            <w:gridSpan w:val="12"/>
          </w:tcPr>
          <w:p>
            <w:pPr>
              <w:spacing w:after="0" w:line="141" w:lineRule="exact"/>
              <w:rPr>
                <w:rFonts w:ascii="Times New Roman" w:cs="Times New Roman" w:eastAsia="Times New Roman" w:hAnsi="Times New Roman"/>
                <w:sz w:val="13"/>
                <w:szCs w:val="13"/>
                <w:color w:val="0000EE"/>
              </w:rPr>
            </w:pPr>
            <w:hyperlink r:id="rId126">
              <w:r>
                <w:rPr>
                  <w:rFonts w:ascii="Times New Roman" w:cs="Times New Roman" w:eastAsia="Times New Roman" w:hAnsi="Times New Roman"/>
                  <w:sz w:val="13"/>
                  <w:szCs w:val="13"/>
                  <w:color w:val="0000EE"/>
                </w:rPr>
                <w:t>Community Bancshares, Inc.’s Form 8-K, filed on June 13, 2017 (SEC File No. 000-27782))</w:t>
              </w:r>
            </w:hyperlink>
          </w:p>
        </w:tc>
        <w:tc>
          <w:tcPr>
            <w:tcW w:w="1580" w:type="dxa"/>
            <w:vAlign w:val="bottom"/>
            <w:tcBorders>
              <w:top w:val="single" w:sz="8" w:color="0000EE"/>
            </w:tcBorders>
            <w:gridSpan w:val="2"/>
          </w:tcPr>
          <w:p>
            <w:pPr>
              <w:spacing w:after="0"/>
              <w:rPr>
                <w:sz w:val="12"/>
                <w:szCs w:val="12"/>
                <w:color w:val="auto"/>
              </w:rPr>
            </w:pPr>
          </w:p>
        </w:tc>
        <w:tc>
          <w:tcPr>
            <w:tcW w:w="1100" w:type="dxa"/>
            <w:vAlign w:val="bottom"/>
            <w:gridSpan w:val="3"/>
          </w:tcPr>
          <w:p>
            <w:pPr>
              <w:spacing w:after="0"/>
              <w:rPr>
                <w:sz w:val="12"/>
                <w:szCs w:val="12"/>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7</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Second Supplemental Indenture, dated as of February 1, 2021, by and between the Registrant and Wilmington Trust,</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National Association, as Trustee (incorporated by reference to Exhibit 4.3 to the Registrant’s Form 8-K, filed February 1,</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2021 (SEC File No. 000-27782))</w:t>
              </w:r>
            </w:hyperlink>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8</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8">
              <w:r>
                <w:rPr>
                  <w:rFonts w:ascii="Times New Roman" w:cs="Times New Roman" w:eastAsia="Times New Roman" w:hAnsi="Times New Roman"/>
                  <w:sz w:val="13"/>
                  <w:szCs w:val="13"/>
                  <w:color w:val="0000EE"/>
                </w:rPr>
                <w:t>Indenture, dated May 6, 2022, between the Registrant and Wilmington Trust National Association, as Trustee</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10"/>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320" w:type="dxa"/>
            <w:vAlign w:val="bottom"/>
            <w:tcBorders>
              <w:bottom w:val="single" w:sz="8" w:color="0000EE"/>
            </w:tcBorders>
            <w:gridSpan w:val="13"/>
          </w:tcPr>
          <w:p>
            <w:pPr>
              <w:spacing w:after="0" w:line="141" w:lineRule="exact"/>
              <w:rPr>
                <w:rFonts w:ascii="Times New Roman" w:cs="Times New Roman" w:eastAsia="Times New Roman" w:hAnsi="Times New Roman"/>
                <w:sz w:val="13"/>
                <w:szCs w:val="13"/>
                <w:color w:val="0000EE"/>
              </w:rPr>
            </w:pPr>
            <w:hyperlink r:id="rId128">
              <w:r>
                <w:rPr>
                  <w:rFonts w:ascii="Times New Roman" w:cs="Times New Roman" w:eastAsia="Times New Roman" w:hAnsi="Times New Roman"/>
                  <w:sz w:val="13"/>
                  <w:szCs w:val="13"/>
                  <w:color w:val="0000EE"/>
                </w:rPr>
                <w:t>(incorporated by reference to Exhibit 4.1 to the Registrant’s Form 8-K, filed May 6, 2022 (SEC File No. 001-34096))</w:t>
              </w:r>
            </w:hyperlink>
          </w:p>
        </w:tc>
        <w:tc>
          <w:tcPr>
            <w:tcW w:w="1360" w:type="dxa"/>
            <w:vAlign w:val="bottom"/>
            <w:gridSpan w:val="4"/>
          </w:tcPr>
          <w:p>
            <w:pPr>
              <w:spacing w:after="0"/>
              <w:rPr>
                <w:sz w:val="12"/>
                <w:szCs w:val="12"/>
                <w:color w:val="auto"/>
              </w:rPr>
            </w:pPr>
          </w:p>
        </w:tc>
      </w:tr>
      <w:tr>
        <w:trPr>
          <w:trHeight w:val="30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9</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7"/>
          </w:tcPr>
          <w:p>
            <w:pPr>
              <w:spacing w:after="0"/>
              <w:rPr>
                <w:rFonts w:ascii="Times New Roman" w:cs="Times New Roman" w:eastAsia="Times New Roman" w:hAnsi="Times New Roman"/>
                <w:sz w:val="13"/>
                <w:szCs w:val="13"/>
                <w:color w:val="0000EE"/>
              </w:rPr>
            </w:pPr>
            <w:hyperlink r:id="rId129">
              <w:r>
                <w:rPr>
                  <w:rFonts w:ascii="Times New Roman" w:cs="Times New Roman" w:eastAsia="Times New Roman" w:hAnsi="Times New Roman"/>
                  <w:sz w:val="13"/>
                  <w:szCs w:val="13"/>
                  <w:color w:val="0000EE"/>
                </w:rPr>
                <w:t>First Supplemental Indenture, May 6, 2022, between the Registrant and Wilmington Trust National Association, as</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10"/>
            <w:shd w:val="clear" w:color="auto" w:fill="0000EE"/>
          </w:tcPr>
          <w:p>
            <w:pPr>
              <w:spacing w:after="0" w:line="20" w:lineRule="exact"/>
              <w:rPr>
                <w:sz w:val="1"/>
                <w:szCs w:val="1"/>
                <w:color w:val="auto"/>
              </w:rPr>
            </w:pPr>
          </w:p>
        </w:tc>
        <w:tc>
          <w:tcPr>
            <w:tcW w:w="1900" w:type="dxa"/>
            <w:vAlign w:val="bottom"/>
            <w:tcBorders>
              <w:right w:val="single" w:sz="8" w:color="0000EE"/>
            </w:tcBorders>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2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29">
              <w:r>
                <w:rPr>
                  <w:rFonts w:ascii="Times New Roman" w:cs="Times New Roman" w:eastAsia="Times New Roman" w:hAnsi="Times New Roman"/>
                  <w:sz w:val="13"/>
                  <w:szCs w:val="13"/>
                  <w:color w:val="0000EE"/>
                </w:rPr>
                <w:t>Trustee, including the form of 5.000% Fixed-to-Floating Rate Subordinated Notes due 2032 (incorporated by reference to</w:t>
              </w:r>
            </w:hyperlink>
          </w:p>
        </w:tc>
        <w:tc>
          <w:tcPr>
            <w:tcW w:w="1060" w:type="dxa"/>
            <w:vAlign w:val="bottom"/>
            <w:gridSpan w:val="2"/>
          </w:tcPr>
          <w:p>
            <w:pPr>
              <w:spacing w:after="0"/>
              <w:rPr>
                <w:sz w:val="12"/>
                <w:szCs w:val="12"/>
                <w:color w:val="auto"/>
              </w:rPr>
            </w:pPr>
          </w:p>
        </w:tc>
      </w:tr>
      <w:tr>
        <w:trPr>
          <w:trHeight w:val="141"/>
        </w:trPr>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7"/>
          </w:tcPr>
          <w:p>
            <w:pPr>
              <w:spacing w:after="0" w:line="141" w:lineRule="exact"/>
              <w:rPr>
                <w:rFonts w:ascii="Times New Roman" w:cs="Times New Roman" w:eastAsia="Times New Roman" w:hAnsi="Times New Roman"/>
                <w:sz w:val="13"/>
                <w:szCs w:val="13"/>
                <w:color w:val="0000EE"/>
              </w:rPr>
            </w:pPr>
            <w:hyperlink r:id="rId129">
              <w:r>
                <w:rPr>
                  <w:rFonts w:ascii="Times New Roman" w:cs="Times New Roman" w:eastAsia="Times New Roman" w:hAnsi="Times New Roman"/>
                  <w:sz w:val="13"/>
                  <w:szCs w:val="13"/>
                  <w:color w:val="0000EE"/>
                </w:rPr>
                <w:t>Exhibit 4.2 to the Registrant’s Form 8-K, filed May 6, 2022 (SEC File No. 001-34096))</w:t>
              </w:r>
            </w:hyperlink>
          </w:p>
        </w:tc>
      </w:tr>
      <w:tr>
        <w:trPr>
          <w:trHeight w:val="433"/>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300" w:type="dxa"/>
            <w:vAlign w:val="bottom"/>
            <w:tcBorders>
              <w:top w:val="single" w:sz="8" w:color="0000EE"/>
            </w:tcBorders>
            <w:gridSpan w:val="9"/>
          </w:tcPr>
          <w:p>
            <w:pPr>
              <w:jc w:val="right"/>
              <w:ind w:right="20"/>
              <w:spacing w:after="0"/>
              <w:rPr>
                <w:sz w:val="20"/>
                <w:szCs w:val="20"/>
                <w:color w:val="auto"/>
              </w:rPr>
            </w:pPr>
            <w:r>
              <w:rPr>
                <w:rFonts w:ascii="Times New Roman" w:cs="Times New Roman" w:eastAsia="Times New Roman" w:hAnsi="Times New Roman"/>
                <w:sz w:val="13"/>
                <w:szCs w:val="13"/>
                <w:color w:val="auto"/>
              </w:rPr>
              <w:t>105</w:t>
            </w:r>
          </w:p>
        </w:tc>
        <w:tc>
          <w:tcPr>
            <w:tcW w:w="1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4"/>
        </w:trPr>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2" w:right="1440" w:bottom="1440" w:gutter="0" w:footer="0" w:header="0"/>
        </w:sectPr>
      </w:pPr>
    </w:p>
    <w:bookmarkStart w:id="105" w:name="page106"/>
    <w:bookmarkEnd w:id="10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635"/>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4.</w:t>
            </w:r>
            <w:r>
              <w:rPr>
                <w:rFonts w:ascii="Times New Roman" w:cs="Times New Roman" w:eastAsia="Times New Roman" w:hAnsi="Times New Roman"/>
                <w:sz w:val="13"/>
                <w:szCs w:val="13"/>
                <w:u w:val="single" w:color="auto"/>
                <w:color w:val="0000FF"/>
                <w:w w:val="87"/>
              </w:rPr>
              <w:t>10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Second Supplemental Indenture, June 28, 2024, between Dime Community Bancshares, Inc. and Wilmington Trust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National Association, as trustee, including the form of 9.000% Fixed-to-Floating Rate Subordinated Notes due 2034</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80" w:type="dxa"/>
            <w:vAlign w:val="bottom"/>
            <w:tcBorders>
              <w:bottom w:val="single" w:sz="8" w:color="0000EE"/>
            </w:tcBorders>
            <w:gridSpan w:val="14"/>
          </w:tcPr>
          <w:p>
            <w:pPr>
              <w:spacing w:after="0" w:line="141" w:lineRule="exact"/>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(incorporated by reference to Exhibit 4.2 and 4.3, respectively, to the Registrant’s Form 8-K, filed June 28, 2024 (SEC</w:t>
              </w:r>
            </w:hyperlink>
          </w:p>
        </w:tc>
        <w:tc>
          <w:tcPr>
            <w:tcW w:w="1100" w:type="dxa"/>
            <w:vAlign w:val="bottom"/>
            <w:gridSpan w:val="2"/>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bottom w:val="single" w:sz="8" w:color="0000EE"/>
            </w:tcBorders>
            <w:gridSpan w:val="3"/>
          </w:tcPr>
          <w:p>
            <w:pPr>
              <w:spacing w:after="0" w:line="141" w:lineRule="exact"/>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File No. 001-34096))</w:t>
              </w:r>
            </w:hyperlink>
          </w:p>
        </w:tc>
        <w:tc>
          <w:tcPr>
            <w:tcW w:w="6520" w:type="dxa"/>
            <w:vAlign w:val="bottom"/>
            <w:gridSpan w:val="13"/>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Form of Employment Agreement entered into with Stuart H. Lubow, Avinash Reddy and Conrad J. Gunther (incorporated</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80" w:type="dxa"/>
            <w:vAlign w:val="bottom"/>
            <w:tcBorders>
              <w:bottom w:val="single" w:sz="8" w:color="0000EE"/>
            </w:tcBorders>
            <w:gridSpan w:val="14"/>
          </w:tcPr>
          <w:p>
            <w:pPr>
              <w:spacing w:after="0" w:line="141" w:lineRule="exact"/>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by reference to Exhibit 10.4 to Pre-Effective Amendment No. 1 to the Registrant’s Registration Statement on Form S-4,</w:t>
              </w:r>
            </w:hyperlink>
          </w:p>
        </w:tc>
        <w:tc>
          <w:tcPr>
            <w:tcW w:w="1100" w:type="dxa"/>
            <w:vAlign w:val="bottom"/>
            <w:gridSpan w:val="2"/>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Borders>
              <w:bottom w:val="single" w:sz="8" w:color="0000EE"/>
            </w:tcBorders>
            <w:gridSpan w:val="8"/>
          </w:tcPr>
          <w:p>
            <w:pPr>
              <w:spacing w:after="0" w:line="141" w:lineRule="exact"/>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filed October 15, 2020 (File No. 333-248787))</w:t>
              </w:r>
            </w:hyperlink>
          </w:p>
        </w:tc>
        <w:tc>
          <w:tcPr>
            <w:tcW w:w="5160" w:type="dxa"/>
            <w:vAlign w:val="bottom"/>
            <w:gridSpan w:val="8"/>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Form of Amendment to Employment Agreement entered into with Stuart H. Lubow, Avinash Reddy and Conrad J.</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6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Gunther (incorporated by reference to Exhibit 10.1 to the Registrant’s Current Report on Form 8-K, filed June 28, 2021</w:t>
              </w:r>
            </w:hyperlink>
          </w:p>
        </w:tc>
        <w:tc>
          <w:tcPr>
            <w:tcW w:w="1020" w:type="dxa"/>
            <w:vAlign w:val="bottom"/>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Borders>
              <w:bottom w:val="single" w:sz="8" w:color="0000EE"/>
            </w:tcBorders>
            <w:gridSpan w:val="5"/>
          </w:tcPr>
          <w:p>
            <w:pPr>
              <w:spacing w:after="0" w:line="141" w:lineRule="exact"/>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(File No. 001-34096))</w:t>
              </w:r>
            </w:hyperlink>
          </w:p>
        </w:tc>
        <w:tc>
          <w:tcPr>
            <w:tcW w:w="6480" w:type="dxa"/>
            <w:vAlign w:val="bottom"/>
            <w:gridSpan w:val="11"/>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3">
              <w:r>
                <w:rPr>
                  <w:rFonts w:ascii="Times New Roman" w:cs="Times New Roman" w:eastAsia="Times New Roman" w:hAnsi="Times New Roman"/>
                  <w:sz w:val="13"/>
                  <w:szCs w:val="13"/>
                  <w:color w:val="0000EE"/>
                </w:rPr>
                <w:t>Second Amendment to Employment Agreement entered into with Stuart H. Lubow (incorporated by reference to Exhibit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60" w:type="dxa"/>
            <w:vAlign w:val="bottom"/>
            <w:tcBorders>
              <w:bottom w:val="single" w:sz="8" w:color="0000EE"/>
            </w:tcBorders>
            <w:gridSpan w:val="12"/>
          </w:tcPr>
          <w:p>
            <w:pPr>
              <w:spacing w:after="0" w:line="141" w:lineRule="exact"/>
              <w:rPr>
                <w:rFonts w:ascii="Times New Roman" w:cs="Times New Roman" w:eastAsia="Times New Roman" w:hAnsi="Times New Roman"/>
                <w:sz w:val="13"/>
                <w:szCs w:val="13"/>
                <w:color w:val="0000EE"/>
              </w:rPr>
            </w:pPr>
            <w:hyperlink r:id="rId133">
              <w:r>
                <w:rPr>
                  <w:rFonts w:ascii="Times New Roman" w:cs="Times New Roman" w:eastAsia="Times New Roman" w:hAnsi="Times New Roman"/>
                  <w:sz w:val="13"/>
                  <w:szCs w:val="13"/>
                  <w:color w:val="0000EE"/>
                </w:rPr>
                <w:t>10.</w:t>
              </w:r>
              <w:r>
                <w:rPr>
                  <w:rFonts w:ascii="Times New Roman" w:cs="Times New Roman" w:eastAsia="Times New Roman" w:hAnsi="Times New Roman"/>
                  <w:sz w:val="13"/>
                  <w:szCs w:val="13"/>
                  <w:u w:val="single" w:color="auto"/>
                  <w:color w:val="0000EE"/>
                </w:rPr>
                <w:t>1</w:t>
              </w:r>
              <w:r>
                <w:rPr>
                  <w:rFonts w:ascii="Times New Roman" w:cs="Times New Roman" w:eastAsia="Times New Roman" w:hAnsi="Times New Roman"/>
                  <w:sz w:val="13"/>
                  <w:szCs w:val="13"/>
                  <w:color w:val="0000EE"/>
                </w:rPr>
                <w:t xml:space="preserve"> to the Registrant’s Current Report on Form 8-K, filed December 23, 2021 (File No. 001-34096))</w:t>
              </w:r>
            </w:hyperlink>
          </w:p>
        </w:tc>
        <w:tc>
          <w:tcPr>
            <w:tcW w:w="2220" w:type="dxa"/>
            <w:vAlign w:val="bottom"/>
            <w:gridSpan w:val="4"/>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Amended and Restated Change in Control Employment Agreement between Dime Community Bancshares, Inc. and</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EE"/>
              </w:rPr>
              <w:t>Michael Fegan</w:t>
            </w:r>
          </w:p>
        </w:tc>
        <w:tc>
          <w:tcPr>
            <w:tcW w:w="6860" w:type="dxa"/>
            <w:vAlign w:val="bottom"/>
            <w:gridSpan w:val="14"/>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Amended and Restated Change in Control Employment Agreement between Dime Community Bancshares, Inc. and</w:t>
            </w: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Borders>
              <w:bottom w:val="single" w:sz="8" w:color="0000EE"/>
            </w:tcBorders>
            <w:gridSpan w:val="4"/>
          </w:tcPr>
          <w:p>
            <w:pPr>
              <w:spacing w:after="0" w:line="141" w:lineRule="exact"/>
              <w:rPr>
                <w:sz w:val="20"/>
                <w:szCs w:val="20"/>
                <w:color w:val="auto"/>
              </w:rPr>
            </w:pPr>
            <w:r>
              <w:rPr>
                <w:rFonts w:ascii="Times New Roman" w:cs="Times New Roman" w:eastAsia="Times New Roman" w:hAnsi="Times New Roman"/>
                <w:sz w:val="13"/>
                <w:szCs w:val="13"/>
                <w:color w:val="0000EE"/>
              </w:rPr>
              <w:t>Christopher J. Porzelt</w:t>
            </w:r>
          </w:p>
        </w:tc>
        <w:tc>
          <w:tcPr>
            <w:tcW w:w="6500" w:type="dxa"/>
            <w:vAlign w:val="bottom"/>
            <w:gridSpan w:val="12"/>
          </w:tcPr>
          <w:p>
            <w:pPr>
              <w:spacing w:after="0"/>
              <w:rPr>
                <w:sz w:val="12"/>
                <w:szCs w:val="12"/>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Form of Retention and Award Agreement entered into with Stuart H. Lubow, Avinash Reddy and Conrad J. Gunther</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80" w:type="dxa"/>
            <w:vAlign w:val="bottom"/>
            <w:tcBorders>
              <w:bottom w:val="single" w:sz="8" w:color="0000EE"/>
            </w:tcBorders>
            <w:gridSpan w:val="14"/>
          </w:tcPr>
          <w:p>
            <w:pPr>
              <w:spacing w:after="0" w:line="141" w:lineRule="exact"/>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(incorporated by reference to Exhibit 10.5 to Pre-Effective Amendment No. 1 to the Registrant’s Registration Statement</w:t>
              </w:r>
            </w:hyperlink>
          </w:p>
        </w:tc>
        <w:tc>
          <w:tcPr>
            <w:tcW w:w="1100" w:type="dxa"/>
            <w:vAlign w:val="bottom"/>
            <w:gridSpan w:val="2"/>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on Form S-4, filed October 15, 2020 (File No. 333-248787))</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Form of Defense of Tax Position Agreement entered into with Kenneth J. Mahon, Stuart H. Lubow, Avinash Reddy and</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60" w:type="dxa"/>
            <w:vAlign w:val="bottom"/>
            <w:tcBorders>
              <w:bottom w:val="single" w:sz="8" w:color="0000EE"/>
            </w:tcBorders>
            <w:gridSpan w:val="15"/>
          </w:tcPr>
          <w:p>
            <w:pPr>
              <w:spacing w:after="0" w:line="141" w:lineRule="exact"/>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Conrad J. Gunther (incorporated by reference to Exhibit 10.6 to Pre-Effective Amendment No. 1 to the Registrant’s</w:t>
              </w:r>
            </w:hyperlink>
          </w:p>
        </w:tc>
        <w:tc>
          <w:tcPr>
            <w:tcW w:w="1020" w:type="dxa"/>
            <w:vAlign w:val="bottom"/>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Registration Statement on Form S-4, filed October 15, 2020 (File No. 333-248787))</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6">
              <w:r>
                <w:rPr>
                  <w:rFonts w:ascii="Times New Roman" w:cs="Times New Roman" w:eastAsia="Times New Roman" w:hAnsi="Times New Roman"/>
                  <w:sz w:val="13"/>
                  <w:szCs w:val="13"/>
                  <w:color w:val="0000EE"/>
                </w:rPr>
                <w:t>Executive Chairman and Separation Agreement entered into with Kenneth J. Mahon (incorporated by reference to Exhibit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80" w:type="dxa"/>
            <w:vAlign w:val="bottom"/>
            <w:tcBorders>
              <w:bottom w:val="single" w:sz="8" w:color="0000EE"/>
            </w:tcBorders>
            <w:gridSpan w:val="14"/>
          </w:tcPr>
          <w:p>
            <w:pPr>
              <w:spacing w:after="0" w:line="141" w:lineRule="exact"/>
              <w:rPr>
                <w:rFonts w:ascii="Times New Roman" w:cs="Times New Roman" w:eastAsia="Times New Roman" w:hAnsi="Times New Roman"/>
                <w:sz w:val="13"/>
                <w:szCs w:val="13"/>
                <w:color w:val="0000EE"/>
              </w:rPr>
            </w:pPr>
            <w:hyperlink r:id="rId136">
              <w:r>
                <w:rPr>
                  <w:rFonts w:ascii="Times New Roman" w:cs="Times New Roman" w:eastAsia="Times New Roman" w:hAnsi="Times New Roman"/>
                  <w:sz w:val="13"/>
                  <w:szCs w:val="13"/>
                  <w:color w:val="0000EE"/>
                </w:rPr>
                <w:t>10.</w:t>
              </w:r>
              <w:r>
                <w:rPr>
                  <w:rFonts w:ascii="Times New Roman" w:cs="Times New Roman" w:eastAsia="Times New Roman" w:hAnsi="Times New Roman"/>
                  <w:sz w:val="13"/>
                  <w:szCs w:val="13"/>
                  <w:u w:val="single" w:color="auto"/>
                  <w:color w:val="0000EE"/>
                </w:rPr>
                <w:t>7</w:t>
              </w:r>
              <w:r>
                <w:rPr>
                  <w:rFonts w:ascii="Times New Roman" w:cs="Times New Roman" w:eastAsia="Times New Roman" w:hAnsi="Times New Roman"/>
                  <w:sz w:val="13"/>
                  <w:szCs w:val="13"/>
                  <w:color w:val="0000EE"/>
                </w:rPr>
                <w:t xml:space="preserve"> to Pre-Effective Amendment No. 1 to the Registrant’s Registration Statement on Form S-4, filed October 15, 2020</w:t>
              </w:r>
            </w:hyperlink>
          </w:p>
        </w:tc>
        <w:tc>
          <w:tcPr>
            <w:tcW w:w="1100" w:type="dxa"/>
            <w:vAlign w:val="bottom"/>
            <w:gridSpan w:val="2"/>
          </w:tcPr>
          <w:p>
            <w:pPr>
              <w:spacing w:after="0"/>
              <w:rPr>
                <w:sz w:val="12"/>
                <w:szCs w:val="12"/>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6">
              <w:r>
                <w:rPr>
                  <w:rFonts w:ascii="Times New Roman" w:cs="Times New Roman" w:eastAsia="Times New Roman" w:hAnsi="Times New Roman"/>
                  <w:sz w:val="13"/>
                  <w:szCs w:val="13"/>
                  <w:color w:val="0000EE"/>
                </w:rPr>
                <w:t>(File No. 333-248787))</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0000FF"/>
                <w:w w:val="87"/>
              </w:rPr>
              <w:t>10.</w:t>
            </w:r>
            <w:r>
              <w:rPr>
                <w:rFonts w:ascii="Times New Roman" w:cs="Times New Roman" w:eastAsia="Times New Roman" w:hAnsi="Times New Roman"/>
                <w:sz w:val="13"/>
                <w:szCs w:val="13"/>
                <w:u w:val="single" w:color="auto"/>
                <w:color w:val="0000FF"/>
                <w:w w:val="87"/>
              </w:rPr>
              <w:t>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7">
              <w:r>
                <w:rPr>
                  <w:rFonts w:ascii="Times New Roman" w:cs="Times New Roman" w:eastAsia="Times New Roman" w:hAnsi="Times New Roman"/>
                  <w:sz w:val="13"/>
                  <w:szCs w:val="13"/>
                  <w:color w:val="0000EE"/>
                </w:rPr>
                <w:t>Dime Community Bank Supplemental Executive Retirement Plan (incorporated by reference to Exhibit 10.1 to the</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7">
              <w:r>
                <w:rPr>
                  <w:rFonts w:ascii="Times New Roman" w:cs="Times New Roman" w:eastAsia="Times New Roman" w:hAnsi="Times New Roman"/>
                  <w:sz w:val="13"/>
                  <w:szCs w:val="13"/>
                  <w:color w:val="0000EE"/>
                </w:rPr>
                <w:t>Registrant’s Current Report on Form 8-K, filed November 2, 2021 (File No. 001-34096))</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10</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Amendment One to the Dime Community Bancshares, Inc. 2021 Equity Incentive Plan (incorporated by reference to</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Exhibit 10.10 to Registrant’s Annual Report on Form 10-K, filed February 28, 2023 (File No. 001-34096))</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tcBorders>
              <w:left w:val="single" w:sz="8" w:color="0000EE"/>
            </w:tcBorders>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11</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39">
              <w:r>
                <w:rPr>
                  <w:rFonts w:ascii="Times New Roman" w:cs="Times New Roman" w:eastAsia="Times New Roman" w:hAnsi="Times New Roman"/>
                  <w:sz w:val="13"/>
                  <w:szCs w:val="13"/>
                  <w:color w:val="0000EE"/>
                </w:rPr>
                <w:t>Dime Community Bancshares, Inc. 2021 Equity Incentive Plan (incorporated by reference to the Registrant’s Definitive</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380" w:type="dxa"/>
            <w:vAlign w:val="bottom"/>
            <w:tcBorders>
              <w:left w:val="single" w:sz="8" w:color="0000EE"/>
            </w:tcBorders>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39">
              <w:r>
                <w:rPr>
                  <w:rFonts w:ascii="Times New Roman" w:cs="Times New Roman" w:eastAsia="Times New Roman" w:hAnsi="Times New Roman"/>
                  <w:sz w:val="13"/>
                  <w:szCs w:val="13"/>
                  <w:color w:val="0000EE"/>
                </w:rPr>
                <w:t>Proxy Statement, File No. 001-34096, filed April 16, 2021)</w:t>
              </w:r>
            </w:hyperlink>
          </w:p>
        </w:tc>
      </w:tr>
      <w:tr>
        <w:trPr>
          <w:trHeight w:val="20"/>
        </w:trPr>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2"/>
        </w:trPr>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12</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40">
              <w:r>
                <w:rPr>
                  <w:rFonts w:ascii="Times New Roman" w:cs="Times New Roman" w:eastAsia="Times New Roman" w:hAnsi="Times New Roman"/>
                  <w:sz w:val="13"/>
                  <w:szCs w:val="13"/>
                  <w:color w:val="0000EE"/>
                </w:rPr>
                <w:t>Dime Community Bancshares, Inc. 2019 Equity Incentive Plan (incorporated by reference to the Registrant’s Definitive</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3380" w:type="dxa"/>
            <w:vAlign w:val="bottom"/>
            <w:tcBorders>
              <w:left w:val="single" w:sz="8" w:color="0000EE"/>
            </w:tcBorders>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tcBorders>
              <w:bottom w:val="single" w:sz="8" w:color="0000EE"/>
            </w:tcBorders>
            <w:gridSpan w:val="9"/>
          </w:tcPr>
          <w:p>
            <w:pPr>
              <w:spacing w:after="0" w:line="141" w:lineRule="exact"/>
              <w:rPr>
                <w:rFonts w:ascii="Times New Roman" w:cs="Times New Roman" w:eastAsia="Times New Roman" w:hAnsi="Times New Roman"/>
                <w:sz w:val="13"/>
                <w:szCs w:val="13"/>
                <w:color w:val="0000EE"/>
              </w:rPr>
            </w:pPr>
            <w:hyperlink r:id="rId140">
              <w:r>
                <w:rPr>
                  <w:rFonts w:ascii="Times New Roman" w:cs="Times New Roman" w:eastAsia="Times New Roman" w:hAnsi="Times New Roman"/>
                  <w:sz w:val="13"/>
                  <w:szCs w:val="13"/>
                  <w:color w:val="0000EE"/>
                </w:rPr>
                <w:t>Proxy Statement, File No. 001-34096, filed April 1, 2019)</w:t>
              </w:r>
            </w:hyperlink>
          </w:p>
        </w:tc>
        <w:tc>
          <w:tcPr>
            <w:tcW w:w="4480" w:type="dxa"/>
            <w:vAlign w:val="bottom"/>
            <w:gridSpan w:val="7"/>
          </w:tcPr>
          <w:p>
            <w:pPr>
              <w:spacing w:after="0"/>
              <w:rPr>
                <w:sz w:val="12"/>
                <w:szCs w:val="12"/>
                <w:color w:val="auto"/>
              </w:rPr>
            </w:pPr>
          </w:p>
        </w:tc>
      </w:tr>
      <w:tr>
        <w:trPr>
          <w:trHeight w:val="302"/>
        </w:trPr>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13</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80" w:type="dxa"/>
            <w:vAlign w:val="bottom"/>
            <w:gridSpan w:val="16"/>
          </w:tcPr>
          <w:p>
            <w:pPr>
              <w:spacing w:after="0"/>
              <w:rPr>
                <w:rFonts w:ascii="Times New Roman" w:cs="Times New Roman" w:eastAsia="Times New Roman" w:hAnsi="Times New Roman"/>
                <w:sz w:val="13"/>
                <w:szCs w:val="13"/>
                <w:color w:val="0000EE"/>
              </w:rPr>
            </w:pPr>
            <w:hyperlink r:id="rId141">
              <w:r>
                <w:rPr>
                  <w:rFonts w:ascii="Times New Roman" w:cs="Times New Roman" w:eastAsia="Times New Roman" w:hAnsi="Times New Roman"/>
                  <w:sz w:val="13"/>
                  <w:szCs w:val="13"/>
                  <w:color w:val="0000EE"/>
                </w:rPr>
                <w:t>Employee Stock Purchase Plan (incorporated by reference to the Registrant’s Definitive Proxy Statement, filed April 2,</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4800" w:type="dxa"/>
            <w:vAlign w:val="bottom"/>
            <w:gridSpan w:val="7"/>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41"/>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80" w:type="dxa"/>
            <w:vAlign w:val="bottom"/>
            <w:gridSpan w:val="16"/>
          </w:tcPr>
          <w:p>
            <w:pPr>
              <w:spacing w:after="0" w:line="141" w:lineRule="exact"/>
              <w:rPr>
                <w:rFonts w:ascii="Times New Roman" w:cs="Times New Roman" w:eastAsia="Times New Roman" w:hAnsi="Times New Roman"/>
                <w:sz w:val="13"/>
                <w:szCs w:val="13"/>
                <w:color w:val="0000EE"/>
              </w:rPr>
            </w:pPr>
            <w:hyperlink r:id="rId141">
              <w:r>
                <w:rPr>
                  <w:rFonts w:ascii="Times New Roman" w:cs="Times New Roman" w:eastAsia="Times New Roman" w:hAnsi="Times New Roman"/>
                  <w:sz w:val="13"/>
                  <w:szCs w:val="13"/>
                  <w:color w:val="0000EE"/>
                </w:rPr>
                <w:t>2018 (SEC File No. 001-34096))</w:t>
              </w:r>
            </w:hyperlink>
          </w:p>
        </w:tc>
      </w:tr>
      <w:tr>
        <w:trPr>
          <w:trHeight w:val="433"/>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760" w:type="dxa"/>
            <w:vAlign w:val="bottom"/>
            <w:tcBorders>
              <w:top w:val="single" w:sz="8" w:color="0000EE"/>
            </w:tcBorders>
            <w:gridSpan w:val="6"/>
          </w:tcPr>
          <w:p>
            <w:pPr>
              <w:spacing w:after="0"/>
              <w:rPr>
                <w:sz w:val="24"/>
                <w:szCs w:val="24"/>
                <w:color w:val="auto"/>
              </w:rPr>
            </w:pPr>
          </w:p>
        </w:tc>
        <w:tc>
          <w:tcPr>
            <w:tcW w:w="2740" w:type="dxa"/>
            <w:vAlign w:val="bottom"/>
            <w:gridSpan w:val="3"/>
          </w:tcPr>
          <w:p>
            <w:pPr>
              <w:jc w:val="right"/>
              <w:ind w:right="1220"/>
              <w:spacing w:after="0"/>
              <w:rPr>
                <w:sz w:val="20"/>
                <w:szCs w:val="20"/>
                <w:color w:val="auto"/>
              </w:rPr>
            </w:pPr>
            <w:r>
              <w:rPr>
                <w:rFonts w:ascii="Times New Roman" w:cs="Times New Roman" w:eastAsia="Times New Roman" w:hAnsi="Times New Roman"/>
                <w:sz w:val="13"/>
                <w:szCs w:val="13"/>
                <w:color w:val="auto"/>
              </w:rPr>
              <w:t>106</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3" w:right="1440" w:bottom="1440" w:gutter="0" w:footer="0" w:header="0"/>
        </w:sectPr>
      </w:pPr>
    </w:p>
    <w:bookmarkStart w:id="106" w:name="page107"/>
    <w:bookmarkEnd w:id="10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60" w:type="dxa"/>
            <w:vAlign w:val="bottom"/>
          </w:tcPr>
          <w:p>
            <w:pPr>
              <w:spacing w:after="0"/>
              <w:rPr>
                <w:sz w:val="12"/>
                <w:szCs w:val="12"/>
                <w:color w:val="auto"/>
              </w:rPr>
            </w:pPr>
          </w:p>
        </w:tc>
      </w:tr>
      <w:tr>
        <w:trPr>
          <w:trHeight w:val="635"/>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14</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Employment Agreement by and between Dime Community Bancshares, Inc., Dime Community Bank and Thomas X.</w:t>
            </w:r>
          </w:p>
        </w:tc>
      </w:tr>
      <w:tr>
        <w:trPr>
          <w:trHeight w:val="141"/>
        </w:trPr>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Borders>
              <w:bottom w:val="single" w:sz="8" w:color="0000EE"/>
            </w:tcBorders>
          </w:tcPr>
          <w:p>
            <w:pPr>
              <w:spacing w:after="0" w:line="141" w:lineRule="exact"/>
              <w:rPr>
                <w:sz w:val="20"/>
                <w:szCs w:val="20"/>
                <w:color w:val="auto"/>
              </w:rPr>
            </w:pPr>
            <w:r>
              <w:rPr>
                <w:rFonts w:ascii="Times New Roman" w:cs="Times New Roman" w:eastAsia="Times New Roman" w:hAnsi="Times New Roman"/>
                <w:sz w:val="13"/>
                <w:szCs w:val="13"/>
                <w:color w:val="0000EE"/>
              </w:rPr>
              <w:t>Geisel, dated February 20, 2025</w:t>
            </w:r>
          </w:p>
        </w:tc>
        <w:tc>
          <w:tcPr>
            <w:tcW w:w="4860" w:type="dxa"/>
            <w:vAlign w:val="bottom"/>
          </w:tcPr>
          <w:p>
            <w:pPr>
              <w:spacing w:after="0"/>
              <w:rPr>
                <w:sz w:val="12"/>
                <w:szCs w:val="12"/>
                <w:color w:val="auto"/>
              </w:rPr>
            </w:pPr>
          </w:p>
        </w:tc>
      </w:tr>
    </w:tbl>
    <w:p>
      <w:pPr>
        <w:spacing w:after="0" w:line="169" w:lineRule="exact"/>
        <w:rPr>
          <w:sz w:val="20"/>
          <w:szCs w:val="20"/>
          <w:color w:val="auto"/>
        </w:rPr>
      </w:pPr>
    </w:p>
    <w:p>
      <w:pPr>
        <w:ind w:left="1300" w:hanging="1271"/>
        <w:spacing w:after="0"/>
        <w:tabs>
          <w:tab w:leader="none" w:pos="1300" w:val="left"/>
        </w:tabs>
        <w:numPr>
          <w:ilvl w:val="0"/>
          <w:numId w:val="32"/>
        </w:numPr>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EE"/>
        </w:rPr>
        <w:t>Dime Community Bancshares, Inc. Insider Trading Policy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3"/>
                <w:szCs w:val="13"/>
                <w:color w:val="0000FF"/>
                <w:w w:val="96"/>
              </w:rPr>
              <w:t>21.</w:t>
            </w:r>
            <w:r>
              <w:rPr>
                <w:rFonts w:ascii="Times New Roman" w:cs="Times New Roman" w:eastAsia="Times New Roman" w:hAnsi="Times New Roman"/>
                <w:sz w:val="13"/>
                <w:szCs w:val="13"/>
                <w:u w:val="single" w:color="auto"/>
                <w:color w:val="0000FF"/>
                <w:w w:val="96"/>
              </w:rPr>
              <w:t>1</w:t>
            </w:r>
          </w:p>
        </w:tc>
        <w:tc>
          <w:tcPr>
            <w:tcW w:w="1040" w:type="dxa"/>
            <w:vAlign w:val="bottom"/>
          </w:tcPr>
          <w:p>
            <w:pPr>
              <w:spacing w:after="0"/>
              <w:rPr>
                <w:sz w:val="12"/>
                <w:szCs w:val="12"/>
                <w:color w:val="auto"/>
              </w:rPr>
            </w:pPr>
          </w:p>
        </w:tc>
        <w:tc>
          <w:tcPr>
            <w:tcW w:w="1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Subsidiaries of Registrant</w:t>
            </w:r>
          </w:p>
        </w:tc>
        <w:tc>
          <w:tcPr>
            <w:tcW w:w="4980" w:type="dxa"/>
            <w:vAlign w:val="bottom"/>
            <w:gridSpan w:val="4"/>
          </w:tcPr>
          <w:p>
            <w:pPr>
              <w:spacing w:after="0"/>
              <w:rPr>
                <w:sz w:val="12"/>
                <w:szCs w:val="12"/>
                <w:color w:val="auto"/>
              </w:rPr>
            </w:pPr>
          </w:p>
        </w:tc>
      </w:tr>
      <w:tr>
        <w:trPr>
          <w:trHeight w:val="302"/>
        </w:trPr>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3"/>
                <w:szCs w:val="13"/>
                <w:color w:val="0000FF"/>
                <w:w w:val="96"/>
              </w:rPr>
              <w:t>23.</w:t>
            </w:r>
            <w:r>
              <w:rPr>
                <w:rFonts w:ascii="Times New Roman" w:cs="Times New Roman" w:eastAsia="Times New Roman" w:hAnsi="Times New Roman"/>
                <w:sz w:val="13"/>
                <w:szCs w:val="13"/>
                <w:u w:val="single" w:color="auto"/>
                <w:color w:val="0000FF"/>
                <w:w w:val="96"/>
              </w:rPr>
              <w:t>1</w:t>
            </w:r>
          </w:p>
        </w:tc>
        <w:tc>
          <w:tcPr>
            <w:tcW w:w="1040" w:type="dxa"/>
            <w:vAlign w:val="bottom"/>
          </w:tcPr>
          <w:p>
            <w:pPr>
              <w:spacing w:after="0"/>
              <w:rPr>
                <w:sz w:val="24"/>
                <w:szCs w:val="24"/>
                <w:color w:val="auto"/>
              </w:rPr>
            </w:pPr>
          </w:p>
        </w:tc>
        <w:tc>
          <w:tcPr>
            <w:tcW w:w="3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Consent of Independent Registered Public Accounting Firm</w:t>
            </w:r>
          </w:p>
        </w:tc>
        <w:tc>
          <w:tcPr>
            <w:tcW w:w="3140" w:type="dxa"/>
            <w:vAlign w:val="bottom"/>
            <w:gridSpan w:val="3"/>
          </w:tcPr>
          <w:p>
            <w:pPr>
              <w:spacing w:after="0"/>
              <w:rPr>
                <w:sz w:val="24"/>
                <w:szCs w:val="24"/>
                <w:color w:val="auto"/>
              </w:rPr>
            </w:pPr>
          </w:p>
        </w:tc>
      </w:tr>
      <w:tr>
        <w:trPr>
          <w:trHeight w:val="302"/>
        </w:trPr>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6"/>
              </w:rPr>
              <w:t>31.</w:t>
            </w:r>
            <w:r>
              <w:rPr>
                <w:rFonts w:ascii="Times New Roman" w:cs="Times New Roman" w:eastAsia="Times New Roman" w:hAnsi="Times New Roman"/>
                <w:sz w:val="13"/>
                <w:szCs w:val="13"/>
                <w:u w:val="single" w:color="auto"/>
                <w:color w:val="0000FF"/>
                <w:w w:val="96"/>
              </w:rPr>
              <w:t>1</w:t>
            </w:r>
          </w:p>
        </w:tc>
        <w:tc>
          <w:tcPr>
            <w:tcW w:w="1040" w:type="dxa"/>
            <w:vAlign w:val="bottom"/>
          </w:tcPr>
          <w:p>
            <w:pPr>
              <w:spacing w:after="0"/>
              <w:rPr>
                <w:sz w:val="24"/>
                <w:szCs w:val="24"/>
                <w:color w:val="auto"/>
              </w:rPr>
            </w:pPr>
          </w:p>
        </w:tc>
        <w:tc>
          <w:tcPr>
            <w:tcW w:w="638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Certification of Principal Executive Officer Pursuant to Rule 13a-14(a)</w:t>
            </w:r>
          </w:p>
        </w:tc>
      </w:tr>
      <w:tr>
        <w:trPr>
          <w:trHeight w:val="302"/>
        </w:trPr>
        <w:tc>
          <w:tcPr>
            <w:tcW w:w="2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3"/>
                <w:szCs w:val="13"/>
                <w:color w:val="0000FF"/>
                <w:w w:val="96"/>
              </w:rPr>
              <w:t>31.</w:t>
            </w:r>
            <w:r>
              <w:rPr>
                <w:rFonts w:ascii="Times New Roman" w:cs="Times New Roman" w:eastAsia="Times New Roman" w:hAnsi="Times New Roman"/>
                <w:sz w:val="13"/>
                <w:szCs w:val="13"/>
                <w:u w:val="single" w:color="auto"/>
                <w:color w:val="0000FF"/>
                <w:w w:val="96"/>
              </w:rPr>
              <w:t>2</w:t>
            </w:r>
          </w:p>
        </w:tc>
        <w:tc>
          <w:tcPr>
            <w:tcW w:w="1040" w:type="dxa"/>
            <w:vAlign w:val="bottom"/>
          </w:tcPr>
          <w:p>
            <w:pPr>
              <w:spacing w:after="0"/>
              <w:rPr>
                <w:sz w:val="24"/>
                <w:szCs w:val="24"/>
                <w:color w:val="auto"/>
              </w:rPr>
            </w:pPr>
          </w:p>
        </w:tc>
        <w:tc>
          <w:tcPr>
            <w:tcW w:w="38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Certification of Principal Financial Officer Pursuant to Rule 13a-14(a)</w:t>
            </w:r>
          </w:p>
        </w:tc>
        <w:tc>
          <w:tcPr>
            <w:tcW w:w="2560" w:type="dxa"/>
            <w:vAlign w:val="bottom"/>
          </w:tcPr>
          <w:p>
            <w:pPr>
              <w:spacing w:after="0"/>
              <w:rPr>
                <w:sz w:val="24"/>
                <w:szCs w:val="2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302"/>
        </w:trPr>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3"/>
                <w:szCs w:val="13"/>
                <w:color w:val="0000FF"/>
                <w:w w:val="96"/>
              </w:rPr>
              <w:t>32.</w:t>
            </w:r>
            <w:r>
              <w:rPr>
                <w:rFonts w:ascii="Times New Roman" w:cs="Times New Roman" w:eastAsia="Times New Roman" w:hAnsi="Times New Roman"/>
                <w:sz w:val="13"/>
                <w:szCs w:val="13"/>
                <w:u w:val="single" w:color="auto"/>
                <w:color w:val="0000FF"/>
                <w:w w:val="96"/>
              </w:rPr>
              <w:t>1</w:t>
            </w:r>
          </w:p>
        </w:tc>
        <w:tc>
          <w:tcPr>
            <w:tcW w:w="1040" w:type="dxa"/>
            <w:vAlign w:val="bottom"/>
          </w:tcPr>
          <w:p>
            <w:pPr>
              <w:spacing w:after="0"/>
              <w:rPr>
                <w:sz w:val="24"/>
                <w:szCs w:val="24"/>
                <w:color w:val="auto"/>
              </w:rPr>
            </w:pPr>
          </w:p>
        </w:tc>
        <w:tc>
          <w:tcPr>
            <w:tcW w:w="6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Certification of Chief Executive Officer and Chief Financial Officer Pursuant to Rule 13a-14(b) and 18 U.S.C. Section</w:t>
            </w:r>
          </w:p>
        </w:tc>
      </w:tr>
      <w:tr>
        <w:trPr>
          <w:trHeight w:val="141"/>
        </w:trPr>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Borders>
              <w:bottom w:val="single" w:sz="8" w:color="0000EE"/>
            </w:tcBorders>
          </w:tcPr>
          <w:p>
            <w:pPr>
              <w:spacing w:after="0" w:line="141" w:lineRule="exact"/>
              <w:rPr>
                <w:sz w:val="20"/>
                <w:szCs w:val="20"/>
                <w:color w:val="auto"/>
              </w:rPr>
            </w:pPr>
            <w:r>
              <w:rPr>
                <w:rFonts w:ascii="Times New Roman" w:cs="Times New Roman" w:eastAsia="Times New Roman" w:hAnsi="Times New Roman"/>
                <w:sz w:val="13"/>
                <w:szCs w:val="13"/>
                <w:color w:val="0000EE"/>
                <w:w w:val="99"/>
              </w:rPr>
              <w:t>1350</w:t>
            </w:r>
          </w:p>
        </w:tc>
        <w:tc>
          <w:tcPr>
            <w:tcW w:w="1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r>
    </w:tbl>
    <w:p>
      <w:pPr>
        <w:spacing w:after="0" w:line="169" w:lineRule="exact"/>
        <w:rPr>
          <w:sz w:val="20"/>
          <w:szCs w:val="20"/>
          <w:color w:val="auto"/>
        </w:rPr>
      </w:pPr>
    </w:p>
    <w:p>
      <w:pPr>
        <w:ind w:left="1300" w:hanging="1271"/>
        <w:spacing w:after="0"/>
        <w:tabs>
          <w:tab w:leader="none" w:pos="1300" w:val="left"/>
        </w:tabs>
        <w:numPr>
          <w:ilvl w:val="0"/>
          <w:numId w:val="33"/>
        </w:numPr>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EE"/>
        </w:rPr>
        <w:t>Dime Community Bancshares, Inc. Clawback Policy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INS</w:t>
            </w: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XBRL Instance Document – the instance document does not appear in the Interactive Data File because its XBRL tags are</w:t>
            </w:r>
          </w:p>
        </w:tc>
      </w:tr>
      <w:tr>
        <w:trPr>
          <w:trHeight w:val="171"/>
        </w:trPr>
        <w:tc>
          <w:tcPr>
            <w:tcW w:w="4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embedded within the Inline XBRL document</w:t>
            </w:r>
          </w:p>
        </w:tc>
      </w:tr>
      <w:tr>
        <w:trPr>
          <w:trHeight w:val="293"/>
        </w:trPr>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SCH</w:t>
            </w: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302"/>
        </w:trPr>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CAL</w:t>
            </w: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02"/>
        </w:trPr>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LAB</w:t>
            </w: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r>
      <w:tr>
        <w:trPr>
          <w:trHeight w:val="302"/>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PRE</w:t>
            </w:r>
          </w:p>
        </w:tc>
        <w:tc>
          <w:tcPr>
            <w:tcW w:w="20" w:type="dxa"/>
            <w:vAlign w:val="bottom"/>
          </w:tcPr>
          <w:p>
            <w:pPr>
              <w:spacing w:after="0"/>
              <w:rPr>
                <w:sz w:val="24"/>
                <w:szCs w:val="24"/>
                <w:color w:val="auto"/>
              </w:rPr>
            </w:pP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XBRL Taxonomy Extension Presentation Linkbase Document</w:t>
            </w:r>
          </w:p>
        </w:tc>
      </w:tr>
      <w:tr>
        <w:trPr>
          <w:trHeight w:val="302"/>
        </w:trPr>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101.</w:t>
            </w:r>
            <w:r>
              <w:rPr>
                <w:rFonts w:ascii="Times New Roman" w:cs="Times New Roman" w:eastAsia="Times New Roman" w:hAnsi="Times New Roman"/>
                <w:sz w:val="13"/>
                <w:szCs w:val="13"/>
                <w:u w:val="single" w:color="auto"/>
                <w:color w:val="0000FF"/>
              </w:rPr>
              <w:t>DEF</w:t>
            </w:r>
          </w:p>
        </w:tc>
        <w:tc>
          <w:tcPr>
            <w:tcW w:w="7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Inline XBRL Taxonomy Extension Definitions Linkbase Document</w:t>
            </w:r>
          </w:p>
        </w:tc>
      </w:tr>
    </w:tbl>
    <w:p>
      <w:pPr>
        <w:spacing w:after="0" w:line="169" w:lineRule="exact"/>
        <w:rPr>
          <w:sz w:val="20"/>
          <w:szCs w:val="20"/>
          <w:color w:val="auto"/>
        </w:rPr>
      </w:pPr>
    </w:p>
    <w:p>
      <w:pPr>
        <w:ind w:left="1300" w:hanging="1271"/>
        <w:spacing w:after="0"/>
        <w:tabs>
          <w:tab w:leader="none" w:pos="1300" w:val="left"/>
        </w:tabs>
        <w:numPr>
          <w:ilvl w:val="0"/>
          <w:numId w:val="34"/>
        </w:numPr>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Cover page to this Annual Report on Form 10-K, formatted in Inline XBRL</w:t>
      </w: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3" w:right="1440"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9"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580" w:type="dxa"/>
            <w:vAlign w:val="bottom"/>
          </w:tcPr>
          <w:p>
            <w:pPr>
              <w:spacing w:after="0"/>
              <w:rPr>
                <w:sz w:val="13"/>
                <w:szCs w:val="13"/>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DIME COMMUNITY BANCSHARES, INC.</w:t>
            </w:r>
          </w:p>
        </w:tc>
      </w:tr>
      <w:tr>
        <w:trPr>
          <w:trHeight w:val="150"/>
        </w:trPr>
        <w:tc>
          <w:tcPr>
            <w:tcW w:w="45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Registrant</w:t>
            </w:r>
          </w:p>
        </w:tc>
      </w:tr>
      <w:tr>
        <w:trPr>
          <w:trHeight w:val="294"/>
        </w:trPr>
        <w:tc>
          <w:tcPr>
            <w:tcW w:w="458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Stuart H. Lubow</w:t>
            </w:r>
          </w:p>
        </w:tc>
      </w:tr>
      <w:tr>
        <w:trPr>
          <w:trHeight w:val="132"/>
        </w:trPr>
        <w:tc>
          <w:tcPr>
            <w:tcW w:w="4580" w:type="dxa"/>
            <w:vAlign w:val="bottom"/>
          </w:tcPr>
          <w:p>
            <w:pPr>
              <w:spacing w:after="0"/>
              <w:rPr>
                <w:sz w:val="11"/>
                <w:szCs w:val="11"/>
                <w:color w:val="auto"/>
              </w:rPr>
            </w:pPr>
          </w:p>
        </w:tc>
        <w:tc>
          <w:tcPr>
            <w:tcW w:w="43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Stuart H. Lubow</w:t>
            </w:r>
          </w:p>
        </w:tc>
      </w:tr>
      <w:tr>
        <w:trPr>
          <w:trHeight w:val="158"/>
        </w:trPr>
        <w:tc>
          <w:tcPr>
            <w:tcW w:w="45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304"/>
        </w:trPr>
        <w:tc>
          <w:tcPr>
            <w:tcW w:w="458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Avinash Reddy</w:t>
            </w:r>
          </w:p>
        </w:tc>
      </w:tr>
      <w:tr>
        <w:trPr>
          <w:trHeight w:val="132"/>
        </w:trPr>
        <w:tc>
          <w:tcPr>
            <w:tcW w:w="4580" w:type="dxa"/>
            <w:vAlign w:val="bottom"/>
          </w:tcPr>
          <w:p>
            <w:pPr>
              <w:spacing w:after="0"/>
              <w:rPr>
                <w:sz w:val="11"/>
                <w:szCs w:val="11"/>
                <w:color w:val="auto"/>
              </w:rPr>
            </w:pPr>
          </w:p>
        </w:tc>
        <w:tc>
          <w:tcPr>
            <w:tcW w:w="43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Avinash Reddy</w:t>
            </w:r>
          </w:p>
        </w:tc>
      </w:tr>
      <w:tr>
        <w:trPr>
          <w:trHeight w:val="151"/>
        </w:trPr>
        <w:tc>
          <w:tcPr>
            <w:tcW w:w="45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Senior Executive Vice President, Chief Financial Officer and Principal Accounting</w:t>
            </w:r>
          </w:p>
        </w:tc>
      </w:tr>
      <w:tr>
        <w:trPr>
          <w:trHeight w:val="158"/>
        </w:trPr>
        <w:tc>
          <w:tcPr>
            <w:tcW w:w="45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Officer</w:t>
            </w:r>
          </w:p>
        </w:tc>
      </w:tr>
    </w:tbl>
    <w:p>
      <w:pPr>
        <w:spacing w:after="0" w:line="29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indicated.</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Kenneth J. Mahon</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Kenneth J. Mahon</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M. Aguggia</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Paul M. Aguggia</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Rosemarie Chen</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Rosemarie Chen</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P. Devine</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Michael P. Devine</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Judith H. Germano</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Judith H. Germano</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Matthew A. Lindenbaum</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Matthew A. Lindenbaum</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Stuart H. Lubow</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Stuart H. Lubow</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Albert E. McCoy, Jr.</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Albert E. McCoy, Jr.</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Raymond A. Nielsen</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Raymond A. Nielsen</w:t>
            </w:r>
          </w:p>
        </w:tc>
        <w:tc>
          <w:tcPr>
            <w:tcW w:w="580" w:type="dxa"/>
            <w:vAlign w:val="bottom"/>
          </w:tcPr>
          <w:p>
            <w:pPr>
              <w:spacing w:after="0"/>
              <w:rPr>
                <w:sz w:val="13"/>
                <w:szCs w:val="13"/>
                <w:color w:val="auto"/>
              </w:rPr>
            </w:pPr>
          </w:p>
        </w:tc>
      </w:tr>
      <w:tr>
        <w:trPr>
          <w:trHeight w:val="263"/>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J. Perry</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Joseph J. Perry</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Kevin Stein</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Kevin Stein</w:t>
            </w:r>
          </w:p>
        </w:tc>
        <w:tc>
          <w:tcPr>
            <w:tcW w:w="580" w:type="dxa"/>
            <w:vAlign w:val="bottom"/>
          </w:tcPr>
          <w:p>
            <w:pPr>
              <w:spacing w:after="0"/>
              <w:rPr>
                <w:sz w:val="13"/>
                <w:szCs w:val="13"/>
                <w:color w:val="auto"/>
              </w:rPr>
            </w:pPr>
          </w:p>
        </w:tc>
      </w:tr>
      <w:tr>
        <w:trPr>
          <w:trHeight w:val="294"/>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February 20, 2025</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Dennis A. Suskind</w:t>
            </w:r>
          </w:p>
        </w:tc>
        <w:tc>
          <w:tcPr>
            <w:tcW w:w="580" w:type="dxa"/>
            <w:vAlign w:val="bottom"/>
          </w:tcPr>
          <w:p>
            <w:pPr>
              <w:ind w:left="180"/>
              <w:spacing w:after="0"/>
              <w:rPr>
                <w:sz w:val="20"/>
                <w:szCs w:val="20"/>
                <w:color w:val="auto"/>
              </w:rPr>
            </w:pPr>
            <w:r>
              <w:rPr>
                <w:rFonts w:ascii="Times New Roman" w:cs="Times New Roman" w:eastAsia="Times New Roman" w:hAnsi="Times New Roman"/>
                <w:sz w:val="12"/>
                <w:szCs w:val="12"/>
                <w:color w:val="auto"/>
                <w:w w:val="94"/>
              </w:rPr>
              <w:t>Director</w:t>
            </w:r>
          </w:p>
        </w:tc>
      </w:tr>
      <w:tr>
        <w:trPr>
          <w:trHeight w:val="150"/>
        </w:trPr>
        <w:tc>
          <w:tcPr>
            <w:tcW w:w="456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Dennis A. Suskind</w:t>
            </w:r>
          </w:p>
        </w:tc>
        <w:tc>
          <w:tcPr>
            <w:tcW w:w="580" w:type="dxa"/>
            <w:vAlign w:val="bottom"/>
          </w:tcPr>
          <w:p>
            <w:pPr>
              <w:spacing w:after="0"/>
              <w:rPr>
                <w:sz w:val="13"/>
                <w:szCs w:val="13"/>
                <w:color w:val="auto"/>
              </w:rPr>
            </w:pPr>
          </w:p>
        </w:tc>
      </w:tr>
    </w:tbl>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108" w:name="page109"/>
    <w:bookmarkEnd w:id="108"/>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Dime Community Bancshares, Inc. Securities</w:t>
      </w:r>
    </w:p>
    <w:p>
      <w:pPr>
        <w:spacing w:after="0" w:line="137" w:lineRule="exact"/>
        <w:rPr>
          <w:sz w:val="20"/>
          <w:szCs w:val="20"/>
          <w:color w:val="auto"/>
        </w:rPr>
      </w:pPr>
    </w:p>
    <w:p>
      <w:pPr>
        <w:jc w:val="both"/>
        <w:ind w:left="180" w:right="199" w:firstLine="484"/>
        <w:spacing w:after="0" w:line="313" w:lineRule="auto"/>
        <w:rPr>
          <w:sz w:val="20"/>
          <w:szCs w:val="20"/>
          <w:color w:val="auto"/>
        </w:rPr>
      </w:pPr>
      <w:r>
        <w:rPr>
          <w:rFonts w:ascii="Times New Roman" w:cs="Times New Roman" w:eastAsia="Times New Roman" w:hAnsi="Times New Roman"/>
          <w:sz w:val="13"/>
          <w:szCs w:val="13"/>
          <w:color w:val="auto"/>
        </w:rPr>
        <w:t>Unless otherwise indicated or unless the context requires otherwise, all references in this prospectus to “Dime Community Bancshares,” the “Company,” “we,” “us,” “our” or similar references mean Dime Community Bancshares, Inc.</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Common Stock</w:t>
      </w:r>
    </w:p>
    <w:p>
      <w:pPr>
        <w:spacing w:after="0" w:line="187" w:lineRule="exact"/>
        <w:rPr>
          <w:sz w:val="20"/>
          <w:szCs w:val="20"/>
          <w:color w:val="auto"/>
        </w:rPr>
      </w:pPr>
    </w:p>
    <w:p>
      <w:pPr>
        <w:jc w:val="both"/>
        <w:ind w:left="180" w:right="199" w:firstLine="484"/>
        <w:spacing w:after="0" w:line="270" w:lineRule="auto"/>
        <w:rPr>
          <w:sz w:val="20"/>
          <w:szCs w:val="20"/>
          <w:color w:val="auto"/>
        </w:rPr>
      </w:pPr>
      <w:r>
        <w:rPr>
          <w:rFonts w:ascii="Times New Roman" w:cs="Times New Roman" w:eastAsia="Times New Roman" w:hAnsi="Times New Roman"/>
          <w:sz w:val="13"/>
          <w:szCs w:val="13"/>
          <w:color w:val="auto"/>
        </w:rPr>
        <w:t>We are authorized to issue 90,000,000 shares of capital stock, 80,000,000 of which are shares of common stock, par value of $0.01 per share, and 10,000,000 of which are shares of preferred stock, par value of $0.01 per share. Each share of common stock has the same relative rights as, and is identical in all respects to, each other share of common stock. All of our shares of common stock are duly authorized, fully paid and nonassessable.</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87" w:lineRule="exact"/>
        <w:rPr>
          <w:sz w:val="20"/>
          <w:szCs w:val="20"/>
          <w:color w:val="auto"/>
        </w:rPr>
      </w:pPr>
    </w:p>
    <w:p>
      <w:pPr>
        <w:jc w:val="both"/>
        <w:ind w:left="180" w:right="199" w:firstLine="484"/>
        <w:spacing w:after="0" w:line="262" w:lineRule="auto"/>
        <w:rPr>
          <w:sz w:val="20"/>
          <w:szCs w:val="20"/>
          <w:color w:val="auto"/>
        </w:rPr>
      </w:pPr>
      <w:r>
        <w:rPr>
          <w:rFonts w:ascii="Times New Roman" w:cs="Times New Roman" w:eastAsia="Times New Roman" w:hAnsi="Times New Roman"/>
          <w:sz w:val="13"/>
          <w:szCs w:val="13"/>
          <w:color w:val="auto"/>
        </w:rPr>
        <w:t>The holders of our common stock are entitled to receive and share equally in such dividends, if any, declared by the Board of Directors out of funds legally available therefor. Under the New York Business Corporation Law, we may pay dividends on our outstanding shares except when the Company is insolvent or would be made insolvent by the dividend. In addition, we may pay dividends and other distributions either (1) out of surplus, so that our net assets remaining after such payment or distribution shall at least equal the amount of our stated capital, or (2) if we have no such surplus, out of our net profits for the fiscal year in which the dividend is declared and/or the preceding fiscal year; provided, that, if our capital is less than the aggregate amount of the stated capital represented by the issued and outstanding shares of all classes having a preference upon the distribution of assets, we may not pay dividends out of such net profits until the deficiency in the amount of stated capital represented by the issued and outstanding shares of all classes having a preference upon the distribution of assets shall have been repaired. Under the terms of the Company’s 5.50% Fixed-Rate Non-Cumulative Perpetual Preferred Stock, Series A, unless full dividends for the most recently completed preferred stock dividend period on all outstanding shares of preferred stock have been declared and paid in full or declared or a sum sufficient for the payment thereof has been set aside, dividends may not be paid to the holders of our common stock (except for stock dividends and a dividend in connection with a stockholders’ rights plan).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Voting Rights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holders of our common stock are generally entitled to one vote per share.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187" w:lineRule="exact"/>
        <w:rPr>
          <w:sz w:val="20"/>
          <w:szCs w:val="20"/>
          <w:color w:val="auto"/>
        </w:rPr>
      </w:pPr>
    </w:p>
    <w:p>
      <w:pPr>
        <w:jc w:val="both"/>
        <w:ind w:left="180" w:right="199" w:firstLine="484"/>
        <w:spacing w:after="0" w:line="271" w:lineRule="auto"/>
        <w:rPr>
          <w:sz w:val="20"/>
          <w:szCs w:val="20"/>
          <w:color w:val="auto"/>
        </w:rPr>
      </w:pPr>
      <w:r>
        <w:rPr>
          <w:rFonts w:ascii="Times New Roman" w:cs="Times New Roman" w:eastAsia="Times New Roman" w:hAnsi="Times New Roman"/>
          <w:sz w:val="13"/>
          <w:szCs w:val="13"/>
          <w:color w:val="auto"/>
        </w:rPr>
        <w:t>Our bylaws provide that the Board of Directors must consist of not less than five nor more than 25 directors, the exact number to be determined by resolution of a majority of the full Board of Directors. The members of the Board of Directors are elected on an annual basis. Directors are elected by a plurality of the votes cast by shareholders present at the annual shareholders’ meeting, or if the annual meeting is not held, at a special meeting called for the purpose of the election of directors. Holders of our common stock are not entitled to cumulate their votes in the election of directors.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Liquidation</w:t>
      </w:r>
    </w:p>
    <w:p>
      <w:pPr>
        <w:spacing w:after="0" w:line="177" w:lineRule="exact"/>
        <w:rPr>
          <w:sz w:val="20"/>
          <w:szCs w:val="20"/>
          <w:color w:val="auto"/>
        </w:rPr>
      </w:pPr>
    </w:p>
    <w:p>
      <w:pPr>
        <w:jc w:val="both"/>
        <w:ind w:left="180" w:right="199" w:firstLine="498"/>
        <w:spacing w:after="0" w:line="297" w:lineRule="auto"/>
        <w:rPr>
          <w:sz w:val="20"/>
          <w:szCs w:val="20"/>
          <w:color w:val="auto"/>
        </w:rPr>
      </w:pPr>
      <w:r>
        <w:rPr>
          <w:rFonts w:ascii="Times New Roman" w:cs="Times New Roman" w:eastAsia="Times New Roman" w:hAnsi="Times New Roman"/>
          <w:sz w:val="13"/>
          <w:szCs w:val="13"/>
          <w:color w:val="auto"/>
        </w:rPr>
        <w:t>In the event of our liquidation, dissolution or winding up, the holders of our common stock would be entitled to receive, after payment or provision for payment of all our debts and liabilities and the holders of any preferred stock, all of our assets available for distribution.</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No Preemptive or Redemption Rights</w:t>
      </w:r>
    </w:p>
    <w:p>
      <w:pPr>
        <w:spacing w:after="0" w:line="187" w:lineRule="exact"/>
        <w:rPr>
          <w:sz w:val="20"/>
          <w:szCs w:val="20"/>
          <w:color w:val="auto"/>
        </w:rPr>
      </w:pPr>
    </w:p>
    <w:p>
      <w:pPr>
        <w:jc w:val="both"/>
        <w:ind w:left="180" w:right="199" w:firstLine="484"/>
        <w:spacing w:after="0" w:line="297" w:lineRule="auto"/>
        <w:rPr>
          <w:sz w:val="20"/>
          <w:szCs w:val="20"/>
          <w:color w:val="auto"/>
        </w:rPr>
      </w:pPr>
      <w:r>
        <w:rPr>
          <w:rFonts w:ascii="Times New Roman" w:cs="Times New Roman" w:eastAsia="Times New Roman" w:hAnsi="Times New Roman"/>
          <w:sz w:val="13"/>
          <w:szCs w:val="13"/>
          <w:color w:val="auto"/>
        </w:rPr>
        <w:t>Holders of our common stock are not entitled to preemptive rights with respect to any shares that may be issued. The common stock is not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342900</wp:posOffset>
            </wp:positionV>
            <wp:extent cx="547751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09" w:name="page110"/>
    <w:bookmarkEnd w:id="109"/>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Certain Provisions in Our Certificate of Incorporation, Our Bylaws, and Applicable Laws and Regulations</w:t>
      </w:r>
    </w:p>
    <w:p>
      <w:pPr>
        <w:spacing w:after="0" w:line="137" w:lineRule="exact"/>
        <w:rPr>
          <w:sz w:val="20"/>
          <w:szCs w:val="20"/>
          <w:color w:val="auto"/>
        </w:rPr>
      </w:pPr>
    </w:p>
    <w:p>
      <w:pPr>
        <w:jc w:val="both"/>
        <w:ind w:left="180" w:right="199" w:firstLine="484"/>
        <w:spacing w:after="0" w:line="294" w:lineRule="auto"/>
        <w:rPr>
          <w:sz w:val="20"/>
          <w:szCs w:val="20"/>
          <w:color w:val="auto"/>
        </w:rPr>
      </w:pPr>
      <w:r>
        <w:rPr>
          <w:rFonts w:ascii="Times New Roman" w:cs="Times New Roman" w:eastAsia="Times New Roman" w:hAnsi="Times New Roman"/>
          <w:sz w:val="13"/>
          <w:szCs w:val="13"/>
          <w:color w:val="auto"/>
        </w:rPr>
        <w:t>Our certificate of incorporation, our bylaws, and applicable federal and New York laws and regulations contain a number of provisions relating to corporate governance and rights of shareholders that might have the effect of delaying, deferring or preventing a change in control of the Company. Such provisions are listed below.</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Provisions in our Certificate of Incorporation and Bylaws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Prohibition of Cumulative Voting. </w:t>
      </w:r>
      <w:r>
        <w:rPr>
          <w:rFonts w:ascii="Times New Roman" w:cs="Times New Roman" w:eastAsia="Times New Roman" w:hAnsi="Times New Roman"/>
          <w:sz w:val="13"/>
          <w:szCs w:val="13"/>
          <w:color w:val="auto"/>
        </w:rPr>
        <w:t>Our shareholders are not entitled to cumulative voting in the election of directors.</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i w:val="1"/>
          <w:iCs w:val="1"/>
          <w:color w:val="auto"/>
        </w:rPr>
        <w:t>Restrictions on Call of Special Meetings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bylaws provide that special meetings of stockholders can be called by the Board of Directors.</w:t>
      </w:r>
    </w:p>
    <w:p>
      <w:pPr>
        <w:spacing w:after="0" w:line="133" w:lineRule="exact"/>
        <w:rPr>
          <w:sz w:val="20"/>
          <w:szCs w:val="20"/>
          <w:color w:val="auto"/>
        </w:rPr>
      </w:pPr>
    </w:p>
    <w:p>
      <w:pPr>
        <w:jc w:val="both"/>
        <w:ind w:left="180" w:right="199" w:firstLine="484"/>
        <w:spacing w:after="0" w:line="336" w:lineRule="auto"/>
        <w:rPr>
          <w:sz w:val="20"/>
          <w:szCs w:val="20"/>
          <w:color w:val="auto"/>
        </w:rPr>
      </w:pPr>
      <w:r>
        <w:rPr>
          <w:rFonts w:ascii="Times New Roman" w:cs="Times New Roman" w:eastAsia="Times New Roman" w:hAnsi="Times New Roman"/>
          <w:sz w:val="13"/>
          <w:szCs w:val="13"/>
          <w:b w:val="1"/>
          <w:bCs w:val="1"/>
          <w:i w:val="1"/>
          <w:iCs w:val="1"/>
          <w:color w:val="auto"/>
        </w:rPr>
        <w:t xml:space="preserve">Amendments to Certificate of Incorporation. </w:t>
      </w:r>
      <w:r>
        <w:rPr>
          <w:rFonts w:ascii="Times New Roman" w:cs="Times New Roman" w:eastAsia="Times New Roman" w:hAnsi="Times New Roman"/>
          <w:sz w:val="13"/>
          <w:szCs w:val="13"/>
          <w:color w:val="auto"/>
        </w:rPr>
        <w:t>Our certificate of incorporation provides that certain provisions may only be amended by the approval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75% of the shares entitled to vote on such amendment, unless such amendment has been approved by an affirmative vote of 75% of directors then in office.</w:t>
      </w:r>
    </w:p>
    <w:p>
      <w:pPr>
        <w:spacing w:after="0" w:line="35" w:lineRule="exact"/>
        <w:rPr>
          <w:sz w:val="20"/>
          <w:szCs w:val="20"/>
          <w:color w:val="auto"/>
        </w:rPr>
      </w:pPr>
    </w:p>
    <w:p>
      <w:pPr>
        <w:jc w:val="both"/>
        <w:ind w:left="180" w:right="199" w:firstLine="484"/>
        <w:spacing w:after="0" w:line="287" w:lineRule="auto"/>
        <w:rPr>
          <w:sz w:val="20"/>
          <w:szCs w:val="20"/>
          <w:color w:val="auto"/>
        </w:rPr>
      </w:pPr>
      <w:r>
        <w:rPr>
          <w:rFonts w:ascii="Times New Roman" w:cs="Times New Roman" w:eastAsia="Times New Roman" w:hAnsi="Times New Roman"/>
          <w:sz w:val="13"/>
          <w:szCs w:val="13"/>
          <w:b w:val="1"/>
          <w:bCs w:val="1"/>
          <w:i w:val="1"/>
          <w:iCs w:val="1"/>
          <w:color w:val="auto"/>
        </w:rPr>
        <w:t>Business Combinations Involving Interested Shareholders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certificate of incorporation provides that an “interested shareholder” (a person who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owns or an affiliate or associate of the Company who has owned in the previous two-year period more than 5% of the Company’s common stock) may engage in a business combination with the Company (i) if approved by the affirmative vote of not less than 75% of the votes entitled to be cast by the holders or (ii) (a) if approved by 75% or more of the continuing directors and (b) the per share value of the consideration for the transaction is equal to the higher of the highest per share price paid by the interested shareholder in acquiring Company common stock in the preceding two years and the fair market value per share of common stock on the date on which the interested shareholder became an interested shareholder.</w:t>
      </w:r>
    </w:p>
    <w:p>
      <w:pPr>
        <w:spacing w:after="0" w:line="66" w:lineRule="exact"/>
        <w:rPr>
          <w:sz w:val="20"/>
          <w:szCs w:val="20"/>
          <w:color w:val="auto"/>
        </w:rPr>
      </w:pPr>
    </w:p>
    <w:p>
      <w:pPr>
        <w:jc w:val="both"/>
        <w:ind w:left="180" w:right="199" w:firstLine="484"/>
        <w:spacing w:after="0" w:line="278" w:lineRule="auto"/>
        <w:rPr>
          <w:sz w:val="20"/>
          <w:szCs w:val="20"/>
          <w:color w:val="auto"/>
        </w:rPr>
      </w:pPr>
      <w:r>
        <w:rPr>
          <w:rFonts w:ascii="Times New Roman" w:cs="Times New Roman" w:eastAsia="Times New Roman" w:hAnsi="Times New Roman"/>
          <w:sz w:val="13"/>
          <w:szCs w:val="13"/>
          <w:b w:val="1"/>
          <w:bCs w:val="1"/>
          <w:i w:val="1"/>
          <w:iCs w:val="1"/>
          <w:color w:val="auto"/>
        </w:rPr>
        <w:t>Evaluation of Offers</w:t>
      </w:r>
      <w:r>
        <w:rPr>
          <w:rFonts w:ascii="Times New Roman" w:cs="Times New Roman" w:eastAsia="Times New Roman" w:hAnsi="Times New Roman"/>
          <w:sz w:val="13"/>
          <w:szCs w:val="13"/>
          <w:color w:val="auto"/>
        </w:rPr>
        <w:t>. Our certificate of incorporation provides that the Board of Directors may, in the context of opposing a tender offer, take into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account (i) the social and economic effects of the offer or transaction on the employees, depositors, loan and other customers, creditors, shareholders and other elements of the communities in which we operate or are located, (ii) the reputation and business practices of the offeror and its management and affiliates, and</w:t>
      </w:r>
    </w:p>
    <w:p>
      <w:pPr>
        <w:spacing w:after="0" w:line="1" w:lineRule="exact"/>
        <w:rPr>
          <w:sz w:val="20"/>
          <w:szCs w:val="20"/>
          <w:color w:val="auto"/>
        </w:rPr>
      </w:pPr>
    </w:p>
    <w:p>
      <w:pPr>
        <w:ind w:left="180" w:right="199" w:firstLine="8"/>
        <w:spacing w:after="0" w:line="310" w:lineRule="auto"/>
        <w:tabs>
          <w:tab w:leader="none" w:pos="427"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and financial condition and earnings prospects of the offer or, including the possible effect of such conditions on the other elements of the communities in which we operate or are located.</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Federal Laws and Regulations</w:t>
      </w:r>
    </w:p>
    <w:p>
      <w:pPr>
        <w:spacing w:after="0" w:line="137" w:lineRule="exact"/>
        <w:rPr>
          <w:sz w:val="20"/>
          <w:szCs w:val="20"/>
          <w:color w:val="auto"/>
        </w:rPr>
      </w:pPr>
    </w:p>
    <w:p>
      <w:pPr>
        <w:jc w:val="both"/>
        <w:ind w:left="180" w:right="199" w:firstLine="484"/>
        <w:spacing w:after="0" w:line="281" w:lineRule="auto"/>
        <w:rPr>
          <w:sz w:val="20"/>
          <w:szCs w:val="20"/>
          <w:color w:val="auto"/>
        </w:rPr>
      </w:pPr>
      <w:r>
        <w:rPr>
          <w:rFonts w:ascii="Times New Roman" w:cs="Times New Roman" w:eastAsia="Times New Roman" w:hAnsi="Times New Roman"/>
          <w:sz w:val="13"/>
          <w:szCs w:val="13"/>
          <w:color w:val="auto"/>
        </w:rPr>
        <w:t>The Bank Holding Company Act generally would prohibit any company that is not engaged in financial activities and activities that are permissible for a bank holding company or a financial holding company from acquiring control of us. “Control” is generally defined as ownership of 25% or more of the voting stock or other exercise of a controlling influence. In addition, any existing bank holding company would need the prior approval of the Federal Reserve before acquiring 5% or more of our voting stock.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us, could constitute acquisition of control of the bank holding company.</w:t>
      </w: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i w:val="1"/>
          <w:iCs w:val="1"/>
          <w:color w:val="auto"/>
        </w:rPr>
        <w:t>New York Business Corporation Law</w:t>
      </w:r>
    </w:p>
    <w:p>
      <w:pPr>
        <w:spacing w:after="0" w:line="137" w:lineRule="exact"/>
        <w:rPr>
          <w:sz w:val="20"/>
          <w:szCs w:val="20"/>
          <w:color w:val="auto"/>
        </w:rPr>
      </w:pPr>
    </w:p>
    <w:p>
      <w:pPr>
        <w:jc w:val="both"/>
        <w:ind w:left="180" w:right="199" w:firstLine="484"/>
        <w:spacing w:after="0" w:line="284" w:lineRule="auto"/>
        <w:rPr>
          <w:sz w:val="20"/>
          <w:szCs w:val="20"/>
          <w:color w:val="auto"/>
        </w:rPr>
      </w:pPr>
      <w:r>
        <w:rPr>
          <w:rFonts w:ascii="Times New Roman" w:cs="Times New Roman" w:eastAsia="Times New Roman" w:hAnsi="Times New Roman"/>
          <w:sz w:val="13"/>
          <w:szCs w:val="13"/>
          <w:color w:val="auto"/>
        </w:rPr>
        <w:t>The business combination provisions of the New York Business Corporation Law could prohibit or delay mergers or other takeovers or change in control attempts with respect to the Company and, accordingly, may discourage attempts to acquire the Company. In general such provisions prohibit an “interested shareholder” (i.e., a person who owns 20% or more of our outstanding voting stock) from engaging in various business combination transactions with our company, unless (a) the business combination transaction, or the transaction in which the interested shareholder became an interested shareholder, was approved by the Board of Directors prior to the interested shareholder's stock acquisition date, (b) the business combination transaction was approved by the disinterested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348615</wp:posOffset>
            </wp:positionV>
            <wp:extent cx="547751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0" w:name="page111"/>
    <w:bookmarkEnd w:id="110"/>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10" w:lineRule="exact"/>
        <w:rPr>
          <w:sz w:val="20"/>
          <w:szCs w:val="20"/>
          <w:color w:val="auto"/>
        </w:rPr>
      </w:pPr>
    </w:p>
    <w:p>
      <w:pPr>
        <w:jc w:val="both"/>
        <w:ind w:left="180" w:right="199"/>
        <w:spacing w:after="0" w:line="294" w:lineRule="auto"/>
        <w:rPr>
          <w:sz w:val="20"/>
          <w:szCs w:val="20"/>
          <w:color w:val="auto"/>
        </w:rPr>
      </w:pPr>
      <w:r>
        <w:rPr>
          <w:rFonts w:ascii="Times New Roman" w:cs="Times New Roman" w:eastAsia="Times New Roman" w:hAnsi="Times New Roman"/>
          <w:sz w:val="13"/>
          <w:szCs w:val="13"/>
          <w:color w:val="auto"/>
        </w:rPr>
        <w:t>shareholders at a meeting called no earlier than five years after the interested shareholder's stock acquisition date, or (c) if the business combination transaction takes place no earlier than five years after the interested stockholder's stock acquisition date, the price paid to all the stockholders under such transaction meets statutory criteria.</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Series A Preferred Stock</w:t>
      </w:r>
    </w:p>
    <w:p>
      <w:pPr>
        <w:spacing w:after="0" w:line="187" w:lineRule="exact"/>
        <w:rPr>
          <w:sz w:val="20"/>
          <w:szCs w:val="20"/>
          <w:color w:val="auto"/>
        </w:rPr>
      </w:pPr>
    </w:p>
    <w:p>
      <w:pPr>
        <w:jc w:val="both"/>
        <w:ind w:left="180" w:right="199" w:firstLine="484"/>
        <w:spacing w:after="0" w:line="262" w:lineRule="auto"/>
        <w:rPr>
          <w:sz w:val="20"/>
          <w:szCs w:val="20"/>
          <w:color w:val="auto"/>
        </w:rPr>
      </w:pPr>
      <w:r>
        <w:rPr>
          <w:rFonts w:ascii="Times New Roman" w:cs="Times New Roman" w:eastAsia="Times New Roman" w:hAnsi="Times New Roman"/>
          <w:sz w:val="13"/>
          <w:szCs w:val="13"/>
          <w:color w:val="auto"/>
        </w:rPr>
        <w:t>Our certificate of incorporation authorizes the Board of Directors, without further stockholder action, to issue up to 10,000,000 shares of preferred stock, par value $0.01 per share, in series, and to fix the designation, powers, preferences, and rights of the shares of such series and any qualifications, limitations, or restrictions thereof, without further vote or action by the Company’s stockholders. The number of authorized shares of preferred stock may be increased or decreased (but not below the number of shares then outstanding) by the affirmative vote of the holders of a majority of the shares of common stock, without a vote of the holders of the preferred stock, or of any series thereof, unless a vote of any such holders is required pursuant to the terms of any preferred stock designation. The Company has issued shares of its 5.50% Fixed-Rate Non-Cumulative Perpetual Preferred Stock, Series A, par value $0.01 per share, with a liquidation preference of $25.00 per share (which we refer to below as the “preferred stock”).</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87" w:lineRule="exact"/>
        <w:rPr>
          <w:sz w:val="20"/>
          <w:szCs w:val="20"/>
          <w:color w:val="auto"/>
        </w:rPr>
      </w:pPr>
    </w:p>
    <w:p>
      <w:pPr>
        <w:jc w:val="both"/>
        <w:ind w:left="180" w:right="199" w:firstLine="484"/>
        <w:spacing w:after="0" w:line="264" w:lineRule="auto"/>
        <w:rPr>
          <w:sz w:val="20"/>
          <w:szCs w:val="20"/>
          <w:color w:val="auto"/>
        </w:rPr>
      </w:pPr>
      <w:r>
        <w:rPr>
          <w:rFonts w:ascii="Times New Roman" w:cs="Times New Roman" w:eastAsia="Times New Roman" w:hAnsi="Times New Roman"/>
          <w:sz w:val="13"/>
          <w:szCs w:val="13"/>
          <w:color w:val="auto"/>
        </w:rPr>
        <w:t>Holders of the preferred stock are entitled to receive, when, as and if declared by the Board of Directors, out of assets legally available for payment of dividends under New York law, non-cumulative cash dividends based on the liquidation preference of the preferred stock at a rate equal to 5.50% per annum for each “Dividend Period,” which is the period from and including a dividend payment date to but excluding the next dividend payment date. Dividends payable on the preferred stock will be computed on the basis of a 360-day year consisting of twelve 30-day months. Dollar amounts resulting from that calculation will be rounded to the nearest cent, with one-half cent being rounded upward. If declared by the Board of Directors, the Company will pay dividends on the preferred stock quarterly, in arrears, on February 15, May 15, August 15 and November 15 of each year, or the next business day thereafter. No dividends on the preferred stock will be declared, paid or set aside to the extent such act would cause us to fail to comply with any applicable laws and regulations, including applicable capital adequacy rules of any appropriate federal banking regulator or agency.</w:t>
      </w:r>
    </w:p>
    <w:p>
      <w:pPr>
        <w:spacing w:after="0" w:line="307" w:lineRule="exact"/>
        <w:rPr>
          <w:sz w:val="20"/>
          <w:szCs w:val="20"/>
          <w:color w:val="auto"/>
        </w:rPr>
      </w:pPr>
    </w:p>
    <w:p>
      <w:pPr>
        <w:jc w:val="both"/>
        <w:ind w:left="180" w:right="199" w:firstLine="484"/>
        <w:spacing w:after="0" w:line="271" w:lineRule="auto"/>
        <w:rPr>
          <w:sz w:val="20"/>
          <w:szCs w:val="20"/>
          <w:color w:val="auto"/>
        </w:rPr>
      </w:pPr>
      <w:r>
        <w:rPr>
          <w:rFonts w:ascii="Times New Roman" w:cs="Times New Roman" w:eastAsia="Times New Roman" w:hAnsi="Times New Roman"/>
          <w:sz w:val="13"/>
          <w:szCs w:val="13"/>
          <w:color w:val="auto"/>
        </w:rPr>
        <w:t>Dividends on the preferred stock are not cumulative. If the Board of Directors does not declare a dividend on the preferred stock in respect of a Dividend Period, then no dividend will be deemed to have accrued for such Dividend Period, be payable on the applicable dividend payment date, or be cumulative, and the Company will have no obligation to pay any dividend for that Dividend Period, whether or not the Board of Directors declares a dividend on the preferred stock for any future Dividend Period.</w:t>
      </w:r>
    </w:p>
    <w:p>
      <w:pPr>
        <w:spacing w:after="0" w:line="141" w:lineRule="exact"/>
        <w:rPr>
          <w:sz w:val="20"/>
          <w:szCs w:val="20"/>
          <w:color w:val="auto"/>
        </w:rPr>
      </w:pPr>
    </w:p>
    <w:p>
      <w:pPr>
        <w:jc w:val="both"/>
        <w:ind w:left="180" w:right="219" w:firstLine="484"/>
        <w:spacing w:after="0" w:line="291" w:lineRule="auto"/>
        <w:rPr>
          <w:sz w:val="20"/>
          <w:szCs w:val="20"/>
          <w:color w:val="auto"/>
        </w:rPr>
      </w:pPr>
      <w:r>
        <w:rPr>
          <w:rFonts w:ascii="Times New Roman" w:cs="Times New Roman" w:eastAsia="Times New Roman" w:hAnsi="Times New Roman"/>
          <w:sz w:val="13"/>
          <w:szCs w:val="13"/>
          <w:color w:val="auto"/>
        </w:rPr>
        <w:t>So long as any shares of preferred stock are outstanding, unless, in each case, the full dividends for the most recently completed Dividend Period on all outstanding shares of preferred stock have been declared and paid in full or declared or a sum sufficient for the payment thereof has been set aside:</w:t>
      </w:r>
    </w:p>
    <w:p>
      <w:pPr>
        <w:spacing w:after="0" w:line="293" w:lineRule="exact"/>
        <w:rPr>
          <w:sz w:val="20"/>
          <w:szCs w:val="20"/>
          <w:color w:val="auto"/>
        </w:rPr>
      </w:pPr>
    </w:p>
    <w:p>
      <w:pPr>
        <w:jc w:val="both"/>
        <w:ind w:left="680" w:right="219" w:hanging="250"/>
        <w:spacing w:after="0" w:line="278" w:lineRule="auto"/>
        <w:tabs>
          <w:tab w:leader="none" w:pos="6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 shall be declared or paid or set aside for payment on any Junior Stock (as defined below) (other than (i) a dividend payable solely in Junior Stock, or (ii) any dividend in connection with the implementation of a stockholders’ rights plan, or the redemption or repurchase of any rights under any such plan),</w:t>
      </w:r>
    </w:p>
    <w:p>
      <w:pPr>
        <w:spacing w:after="0" w:line="135" w:lineRule="exact"/>
        <w:rPr>
          <w:rFonts w:ascii="Times New Roman" w:cs="Times New Roman" w:eastAsia="Times New Roman" w:hAnsi="Times New Roman"/>
          <w:sz w:val="13"/>
          <w:szCs w:val="13"/>
          <w:color w:val="auto"/>
        </w:rPr>
      </w:pPr>
    </w:p>
    <w:p>
      <w:pPr>
        <w:jc w:val="both"/>
        <w:ind w:left="680" w:right="219" w:hanging="250"/>
        <w:spacing w:after="0" w:line="265" w:lineRule="auto"/>
        <w:tabs>
          <w:tab w:leader="none" w:pos="6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shares of Junior Stock shall be repurchased, redeemed or otherwise acquired for consideration by us, directly or indirectly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w:t>
      </w:r>
    </w:p>
    <w:p>
      <w:pPr>
        <w:jc w:val="both"/>
        <w:ind w:left="680" w:right="219" w:hanging="8"/>
        <w:spacing w:after="0" w:line="265" w:lineRule="auto"/>
        <w:tabs>
          <w:tab w:leader="none" w:pos="93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redemptions or other acquisitions of shares of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or (vi) the purchase of fractional interests in shares of Junior Stock pursuant to the conversion or exchange provisions of such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348615</wp:posOffset>
            </wp:positionV>
            <wp:extent cx="547751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1" w:name="page112"/>
    <w:bookmarkEnd w:id="111"/>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99" w:lineRule="exact"/>
        <w:rPr>
          <w:sz w:val="20"/>
          <w:szCs w:val="20"/>
          <w:color w:val="auto"/>
        </w:rPr>
      </w:pPr>
    </w:p>
    <w:p>
      <w:pPr>
        <w:ind w:left="680" w:right="219"/>
        <w:spacing w:after="0" w:line="297" w:lineRule="auto"/>
        <w:rPr>
          <w:sz w:val="20"/>
          <w:szCs w:val="20"/>
          <w:color w:val="auto"/>
        </w:rPr>
      </w:pPr>
      <w:r>
        <w:rPr>
          <w:rFonts w:ascii="Times New Roman" w:cs="Times New Roman" w:eastAsia="Times New Roman" w:hAnsi="Times New Roman"/>
          <w:sz w:val="13"/>
          <w:szCs w:val="13"/>
          <w:color w:val="auto"/>
        </w:rPr>
        <w:t>the security being converted or exchanged) nor shall any monies be paid to or made available for a sinking fund for the redemption of any such securities by the Company; and</w:t>
      </w:r>
    </w:p>
    <w:p>
      <w:pPr>
        <w:spacing w:after="0" w:line="124" w:lineRule="exact"/>
        <w:rPr>
          <w:sz w:val="20"/>
          <w:szCs w:val="20"/>
          <w:color w:val="auto"/>
        </w:rPr>
      </w:pPr>
    </w:p>
    <w:p>
      <w:pPr>
        <w:jc w:val="both"/>
        <w:ind w:left="680" w:right="199" w:hanging="250"/>
        <w:spacing w:after="0" w:line="263" w:lineRule="auto"/>
        <w:tabs>
          <w:tab w:leader="none" w:pos="6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shares of Parity Stock (as defined below) shall be repurchased, redeemed or otherwise acquired for consideration by us, directly or indirectly (other than (i) pursuant to offers to purchase all or a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portion of the preferred stock and such Parity Stock, (ii) as a result of a reclassification of Parity Stock for or into other Parity Stock, (iii) the exchange or conversion of one share of Parity Stock for or into another share of Parity Stock or Junior Stock, (iv) through the use of the proceeds of a substantially contemporaneous sale of other shares of Parity Stock, (v) purchases, redemptions or other acquisitions of shares of Parity Stock in connection with any employment contract, benefit plan or other similar arrangement with or for the benefit of employees, officers, directors or consultants, (vi) purchases of shares of Parity Stock pursuant to a contractually binding requirement to buy Parity Stock existing prior to the preceding Dividend Period, including under a contractually binding stock repurchase plan, or (vii) the purchase of fractional interests in shares of Parity Stock pursuant to the conversion or exchange provisions of such stock or the security being converted or exchanged) nor shall any monies be paid to or made available for a sinking fund for the redemption of any such securities by the Company.</w:t>
      </w:r>
    </w:p>
    <w:p>
      <w:pPr>
        <w:spacing w:after="0" w:line="309" w:lineRule="exact"/>
        <w:rPr>
          <w:sz w:val="20"/>
          <w:szCs w:val="20"/>
          <w:color w:val="auto"/>
        </w:rPr>
      </w:pPr>
    </w:p>
    <w:p>
      <w:pPr>
        <w:jc w:val="both"/>
        <w:ind w:left="180" w:right="199" w:firstLine="484"/>
        <w:spacing w:after="0" w:line="271" w:lineRule="auto"/>
        <w:rPr>
          <w:sz w:val="20"/>
          <w:szCs w:val="20"/>
          <w:color w:val="auto"/>
        </w:rPr>
      </w:pPr>
      <w:r>
        <w:rPr>
          <w:rFonts w:ascii="Times New Roman" w:cs="Times New Roman" w:eastAsia="Times New Roman" w:hAnsi="Times New Roman"/>
          <w:sz w:val="13"/>
          <w:szCs w:val="13"/>
          <w:color w:val="auto"/>
        </w:rPr>
        <w:t>When dividends are not paid in full upon the shares of the preferred stock and any Parity Stock, if any, all dividends declared upon shares of the preferred stock and any Parity Stock, if any, will be declared on a proportional basis so that the amount of dividends declared per share will bear to each other the same ratio that accrued dividends for the then-current per share on the preferred stock, and accrued dividends, including any accumulations, on any Parity Stock, bear to each other. No interest shall be payable in respect of any dividend payment on the preferred stock that may be in arrears.</w:t>
      </w:r>
    </w:p>
    <w:p>
      <w:pPr>
        <w:spacing w:after="0" w:line="141" w:lineRule="exact"/>
        <w:rPr>
          <w:sz w:val="20"/>
          <w:szCs w:val="20"/>
          <w:color w:val="auto"/>
        </w:rPr>
      </w:pPr>
    </w:p>
    <w:p>
      <w:pPr>
        <w:jc w:val="both"/>
        <w:ind w:left="180" w:right="199" w:firstLine="484"/>
        <w:spacing w:after="0" w:line="266" w:lineRule="auto"/>
        <w:rPr>
          <w:sz w:val="20"/>
          <w:szCs w:val="20"/>
          <w:color w:val="auto"/>
        </w:rPr>
      </w:pPr>
      <w:r>
        <w:rPr>
          <w:rFonts w:ascii="Times New Roman" w:cs="Times New Roman" w:eastAsia="Times New Roman" w:hAnsi="Times New Roman"/>
          <w:sz w:val="13"/>
          <w:szCs w:val="13"/>
          <w:color w:val="auto"/>
        </w:rPr>
        <w:t>As used in this description of the preferred stock, “Junior Stock” means the Company’s common stock and any other class or series of stock hereafter authorized over which the preferred stock has preference or priority in the payment of dividends and/or in the distribution of assets upon any liquidation, dissolution or winding up of the Company. “Parity Stock” means any other class or series of Company stock that ranks equally with the preferred stock in the payment of dividends and/or in the distribution of assets upon any liquidation, dissolution or winding up of the Company. “Senior Stock” means any other class or series of Company stock ranking senior to the preferred stock with respect to payment of dividends and/or the distribution of assets upon liquidation, dissolution or winding up of the Company.</w:t>
      </w:r>
    </w:p>
    <w:p>
      <w:pPr>
        <w:spacing w:after="0" w:line="145" w:lineRule="exact"/>
        <w:rPr>
          <w:sz w:val="20"/>
          <w:szCs w:val="20"/>
          <w:color w:val="auto"/>
        </w:rPr>
      </w:pPr>
    </w:p>
    <w:p>
      <w:pPr>
        <w:jc w:val="both"/>
        <w:ind w:left="180" w:right="199" w:firstLine="484"/>
        <w:spacing w:after="0" w:line="278" w:lineRule="auto"/>
        <w:rPr>
          <w:sz w:val="20"/>
          <w:szCs w:val="20"/>
          <w:color w:val="auto"/>
        </w:rPr>
      </w:pPr>
      <w:r>
        <w:rPr>
          <w:rFonts w:ascii="Times New Roman" w:cs="Times New Roman" w:eastAsia="Times New Roman" w:hAnsi="Times New Roman"/>
          <w:sz w:val="13"/>
          <w:szCs w:val="13"/>
          <w:color w:val="auto"/>
        </w:rPr>
        <w:t>Subject to the considerations described above, dividends (payable in cash, stock or otherwise) may be declared and paid on the Company’s common stock and any other stock ranking equally with or junior to the preferred stock, from time to time out of any assets legally available for such payment, and the holders of the preferred stock shall not be entitled to participate in any such dividend.</w:t>
      </w:r>
    </w:p>
    <w:p>
      <w:pPr>
        <w:spacing w:after="0" w:line="1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Preemptive Rights</w:t>
      </w:r>
    </w:p>
    <w:p>
      <w:pPr>
        <w:spacing w:after="0" w:line="187" w:lineRule="exact"/>
        <w:rPr>
          <w:sz w:val="20"/>
          <w:szCs w:val="20"/>
          <w:color w:val="auto"/>
        </w:rPr>
      </w:pPr>
    </w:p>
    <w:p>
      <w:pPr>
        <w:jc w:val="both"/>
        <w:ind w:left="180" w:right="199" w:firstLine="484"/>
        <w:spacing w:after="0" w:line="297" w:lineRule="auto"/>
        <w:rPr>
          <w:sz w:val="20"/>
          <w:szCs w:val="20"/>
          <w:color w:val="auto"/>
        </w:rPr>
      </w:pPr>
      <w:r>
        <w:rPr>
          <w:rFonts w:ascii="Times New Roman" w:cs="Times New Roman" w:eastAsia="Times New Roman" w:hAnsi="Times New Roman"/>
          <w:sz w:val="13"/>
          <w:szCs w:val="13"/>
          <w:color w:val="auto"/>
        </w:rPr>
        <w:t>The holders of the preferred stock do not have any preemptive rights with respect to any shares of the Company’s capital stock or any of its other securities convertible into or carrying rights or options to purchase any such capital stock.</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Conversion Rights</w:t>
      </w:r>
    </w:p>
    <w:p>
      <w:pPr>
        <w:spacing w:after="0" w:line="187" w:lineRule="exact"/>
        <w:rPr>
          <w:sz w:val="20"/>
          <w:szCs w:val="20"/>
          <w:color w:val="auto"/>
        </w:rPr>
      </w:pPr>
    </w:p>
    <w:p>
      <w:pPr>
        <w:jc w:val="both"/>
        <w:ind w:left="180" w:right="199" w:firstLine="484"/>
        <w:spacing w:after="0" w:line="268" w:lineRule="auto"/>
        <w:rPr>
          <w:sz w:val="20"/>
          <w:szCs w:val="20"/>
          <w:color w:val="auto"/>
        </w:rPr>
      </w:pPr>
      <w:r>
        <w:rPr>
          <w:rFonts w:ascii="Times New Roman" w:cs="Times New Roman" w:eastAsia="Times New Roman" w:hAnsi="Times New Roman"/>
          <w:sz w:val="13"/>
          <w:szCs w:val="13"/>
          <w:color w:val="auto"/>
        </w:rPr>
        <w:t>The preferred stock is not convertible into or exchangeable for any other of the Company’s property, interests or any other class or series of securities.</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87" w:lineRule="exact"/>
        <w:rPr>
          <w:sz w:val="20"/>
          <w:szCs w:val="20"/>
          <w:color w:val="auto"/>
        </w:rPr>
      </w:pPr>
    </w:p>
    <w:p>
      <w:pPr>
        <w:jc w:val="both"/>
        <w:ind w:left="180" w:right="199" w:firstLine="484"/>
        <w:spacing w:after="0" w:line="278" w:lineRule="auto"/>
        <w:rPr>
          <w:sz w:val="20"/>
          <w:szCs w:val="20"/>
          <w:color w:val="auto"/>
        </w:rPr>
      </w:pPr>
      <w:r>
        <w:rPr>
          <w:rFonts w:ascii="Times New Roman" w:cs="Times New Roman" w:eastAsia="Times New Roman" w:hAnsi="Times New Roman"/>
          <w:sz w:val="13"/>
          <w:szCs w:val="13"/>
          <w:color w:val="auto"/>
        </w:rPr>
        <w:t>The preferred stock is not subject to any mandatory redemption, sinking fund or other similar provisions. The Company may redeem the preferred stock at our option, in whole or in part, from time to time, on or after June 15, 2025, subject to approval of the appropriate federal banking agency, at a redemption price equal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241300</wp:posOffset>
            </wp:positionV>
            <wp:extent cx="547751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2" w:name="page113"/>
    <w:bookmarkEnd w:id="112"/>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99" w:lineRule="exact"/>
        <w:rPr>
          <w:sz w:val="20"/>
          <w:szCs w:val="20"/>
          <w:color w:val="auto"/>
        </w:rPr>
      </w:pPr>
    </w:p>
    <w:p>
      <w:pPr>
        <w:jc w:val="both"/>
        <w:ind w:left="180" w:right="199"/>
        <w:spacing w:after="0" w:line="278" w:lineRule="auto"/>
        <w:rPr>
          <w:sz w:val="20"/>
          <w:szCs w:val="20"/>
          <w:color w:val="auto"/>
        </w:rPr>
      </w:pPr>
      <w:r>
        <w:rPr>
          <w:rFonts w:ascii="Times New Roman" w:cs="Times New Roman" w:eastAsia="Times New Roman" w:hAnsi="Times New Roman"/>
          <w:sz w:val="13"/>
          <w:szCs w:val="13"/>
          <w:color w:val="auto"/>
        </w:rPr>
        <w:t>per share, plus declared and unpaid dividends for prior Dividend Periods and any accrued but unpaid (whether or not declared) dividends for the then current Dividend Period to, but excluding, the redemption date. The holders of preferred stock do not have the right to require the redemption or repurchase of the preferred stock.</w:t>
      </w:r>
    </w:p>
    <w:p>
      <w:pPr>
        <w:spacing w:after="0" w:line="136" w:lineRule="exact"/>
        <w:rPr>
          <w:sz w:val="20"/>
          <w:szCs w:val="20"/>
          <w:color w:val="auto"/>
        </w:rPr>
      </w:pPr>
    </w:p>
    <w:p>
      <w:pPr>
        <w:jc w:val="both"/>
        <w:ind w:left="180" w:right="199" w:firstLine="484"/>
        <w:spacing w:after="0" w:line="262" w:lineRule="auto"/>
        <w:rPr>
          <w:sz w:val="20"/>
          <w:szCs w:val="20"/>
          <w:color w:val="auto"/>
        </w:rPr>
      </w:pPr>
      <w:r>
        <w:rPr>
          <w:rFonts w:ascii="Times New Roman" w:cs="Times New Roman" w:eastAsia="Times New Roman" w:hAnsi="Times New Roman"/>
          <w:sz w:val="13"/>
          <w:szCs w:val="13"/>
          <w:color w:val="auto"/>
        </w:rPr>
        <w:t>The Company may also redeem shares of the preferred stock at any time within 90 days following a “Regulatory Capital Treatment Event” (as defined below), in whole but not part, subject to the approval of the appropriate federal banking agency, at a redemption price equal to $25 per share, plus any declared and unpaid dividends, without accumulation of any undeclared dividends for prior Dividend Periods and any accrued but unpaid (whether or not declared) dividends for the then-current Dividend Period to but excluding the redemption date. A “Regulatory Capital Treatment Event” means the Company’s good faith determination that, as a result of (i) any amendment to, or change in (including any announced prospective change), the laws or regulations of the United States or any political subdivision of or in the United States that is enacted or becomes effective after the initial issuance of the preferred stock; (ii) any proposed change in those laws or regulations that is announced after the initial issuance of the preferred stock; or (iii) final official administrative decision or judicial decision or administrative action or other official pronouncement interpreting or applying those laws or regulations that is made, adopted, approved, announced or becomes effective after the initial issuance of the preferred stock, there is more than an insubstantial risk that the Company will not be entitled to treat the full liquidation value of the shares of preferred stock then outstanding as “additional tier 1 capital” (or its equivalent) for purposes of the capital adequacy guidelines of Federal Reserve Regulation Y (or, as and if applicable, the capital adequacy guidelines or regulations of any successor appropriate federal banking agency), as then in effect and applicable, for as long as any preferred stock is outstanding.</w:t>
      </w:r>
    </w:p>
    <w:p>
      <w:pPr>
        <w:spacing w:after="0" w:line="309" w:lineRule="exact"/>
        <w:rPr>
          <w:sz w:val="20"/>
          <w:szCs w:val="20"/>
          <w:color w:val="auto"/>
        </w:rPr>
      </w:pPr>
    </w:p>
    <w:p>
      <w:pPr>
        <w:jc w:val="both"/>
        <w:ind w:left="180" w:right="219" w:firstLine="484"/>
        <w:spacing w:after="0" w:line="297" w:lineRule="auto"/>
        <w:rPr>
          <w:sz w:val="20"/>
          <w:szCs w:val="20"/>
          <w:color w:val="auto"/>
        </w:rPr>
      </w:pPr>
      <w:r>
        <w:rPr>
          <w:rFonts w:ascii="Times New Roman" w:cs="Times New Roman" w:eastAsia="Times New Roman" w:hAnsi="Times New Roman"/>
          <w:sz w:val="13"/>
          <w:szCs w:val="13"/>
          <w:color w:val="auto"/>
        </w:rPr>
        <w:t>Our certificate of incorporation set forth the procedures for redemption. Subject to the provisions therein, the Board of Directors may prescribe the terms and conditions upon which shares of preferred stock are redeemed from time to time.</w:t>
      </w:r>
    </w:p>
    <w:p>
      <w:pPr>
        <w:spacing w:after="0" w:line="124" w:lineRule="exact"/>
        <w:rPr>
          <w:sz w:val="20"/>
          <w:szCs w:val="20"/>
          <w:color w:val="auto"/>
        </w:rPr>
      </w:pPr>
    </w:p>
    <w:p>
      <w:pPr>
        <w:jc w:val="both"/>
        <w:ind w:left="180" w:right="199" w:firstLine="484"/>
        <w:spacing w:after="0" w:line="297" w:lineRule="auto"/>
        <w:rPr>
          <w:sz w:val="20"/>
          <w:szCs w:val="20"/>
          <w:color w:val="auto"/>
        </w:rPr>
      </w:pPr>
      <w:r>
        <w:rPr>
          <w:rFonts w:ascii="Times New Roman" w:cs="Times New Roman" w:eastAsia="Times New Roman" w:hAnsi="Times New Roman"/>
          <w:sz w:val="13"/>
          <w:szCs w:val="13"/>
          <w:color w:val="auto"/>
        </w:rPr>
        <w:t>Any redemption of the preferred stock is subject to receipt of any required prior approval of the Federal Reserve and to the satisfaction of any conditions set forth in the capital guidelines or regulations of the Federal Reserve applicable to redemption of the preferred stock.</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Liquidation Rights</w:t>
      </w:r>
    </w:p>
    <w:p>
      <w:pPr>
        <w:spacing w:after="0" w:line="187" w:lineRule="exact"/>
        <w:rPr>
          <w:sz w:val="20"/>
          <w:szCs w:val="20"/>
          <w:color w:val="auto"/>
        </w:rPr>
      </w:pPr>
    </w:p>
    <w:p>
      <w:pPr>
        <w:jc w:val="both"/>
        <w:ind w:left="180" w:right="199" w:firstLine="484"/>
        <w:spacing w:after="0" w:line="263" w:lineRule="auto"/>
        <w:rPr>
          <w:sz w:val="20"/>
          <w:szCs w:val="20"/>
          <w:color w:val="auto"/>
        </w:rPr>
      </w:pPr>
      <w:r>
        <w:rPr>
          <w:rFonts w:ascii="Times New Roman" w:cs="Times New Roman" w:eastAsia="Times New Roman" w:hAnsi="Times New Roman"/>
          <w:sz w:val="13"/>
          <w:szCs w:val="13"/>
          <w:color w:val="auto"/>
        </w:rPr>
        <w:t xml:space="preserve">In the event of our liquidation, dissolution, or winding up, the holders of the preferred stock would be entitled to receive a liquidating distribution of $25 per share, plus any declared and unpaid dividends, without accumulation of any undeclared dividends, after satisfaction of liabilities to creditors and subject to the rights of holders of any securities ranking senior to the preferred stock but before the Company makes any distribution of assets to the holders of the Company’s common stock or any other class or series of shares ranking junior to the preferred stock. If the Company’s assets are not sufficient to pay the liquidation preferences plus declared and unpaid dividends in full to all holders of the preferred stock and all holders of Parity Stock, the amounts paid to the holders of preferred stock and any Parity Stock will be paid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in accordance with the respective aggregate liquidating distribution owed to those holders. Holders of the preferred stock will not be entitled to any other amounts from the Company after they have received their full liquidating distribution (including declared and unpaid dividends). Claims of holders of the preferred stock would be subordinate to all of the Company’s indebtedness, including any subordinated debt securities, and to other non-equity claims on the Company and its assets, including any interests held by the United States government.</w:t>
      </w:r>
    </w:p>
    <w:p>
      <w:pPr>
        <w:spacing w:after="0" w:line="309" w:lineRule="exact"/>
        <w:rPr>
          <w:sz w:val="20"/>
          <w:szCs w:val="20"/>
          <w:color w:val="auto"/>
        </w:rPr>
      </w:pPr>
    </w:p>
    <w:p>
      <w:pPr>
        <w:jc w:val="both"/>
        <w:ind w:left="180" w:right="199" w:firstLine="484"/>
        <w:spacing w:after="0" w:line="271" w:lineRule="auto"/>
        <w:rPr>
          <w:sz w:val="20"/>
          <w:szCs w:val="20"/>
          <w:color w:val="auto"/>
        </w:rPr>
      </w:pPr>
      <w:r>
        <w:rPr>
          <w:rFonts w:ascii="Times New Roman" w:cs="Times New Roman" w:eastAsia="Times New Roman" w:hAnsi="Times New Roman"/>
          <w:sz w:val="13"/>
          <w:szCs w:val="13"/>
          <w:color w:val="auto"/>
        </w:rPr>
        <w:t>The merger or consolidation of the Company with any other entity or by another entity with or into the Company will not constitute a liquidation, dissolution or winding up of the Company. If the Company enters into any merger or consolidation transaction with or into any other entity and the Company is not the surviving entity in such transaction, the preferred stock may be converted into shares of the surviving or successor corporation, or its parent company, with terms that are substantially similar to the terms of the Company’s preferred stock.</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Voting Rights</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Except as provided below, the holders of the preferred stock have no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271780</wp:posOffset>
            </wp:positionV>
            <wp:extent cx="547751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3" w:name="page114"/>
    <w:bookmarkEnd w:id="113"/>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spacing w:after="0" w:line="267" w:lineRule="exact"/>
        <w:rPr>
          <w:sz w:val="20"/>
          <w:szCs w:val="20"/>
          <w:color w:val="auto"/>
        </w:rPr>
      </w:pPr>
    </w:p>
    <w:p>
      <w:pPr>
        <w:jc w:val="both"/>
        <w:ind w:left="180" w:right="199" w:firstLine="484"/>
        <w:spacing w:after="0" w:line="263" w:lineRule="auto"/>
        <w:rPr>
          <w:sz w:val="20"/>
          <w:szCs w:val="20"/>
          <w:color w:val="auto"/>
        </w:rPr>
      </w:pPr>
      <w:r>
        <w:rPr>
          <w:rFonts w:ascii="Times New Roman" w:cs="Times New Roman" w:eastAsia="Times New Roman" w:hAnsi="Times New Roman"/>
          <w:sz w:val="13"/>
          <w:szCs w:val="13"/>
          <w:b w:val="1"/>
          <w:bCs w:val="1"/>
          <w:color w:val="auto"/>
        </w:rPr>
        <w:t>Right to Elect Two Directors Upon Nonpayment</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the Company fails to pay, or declare and set apart for payment, dividends on outstanding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shares of the preferred stock or any other series of our preferred stock for six quarterly Dividend Periods, whether or not consecutive, the holders of shares of the preferred stock will have the right, voting as a class with holders of any other voting Parity Stock, to vote for the election of two additional members of the board of directors of the Company to hold office for a term of one year (the “Preferred Directors”) at a special meeting called at the request of the holders of record of at least 20% of the aggregate voting power of the preferred stock or any other series of Parity Stock (unless such request is received less than 90 days before the date fixed for the Company’s next annual or special meeting of the stockholders, or if no such request is made, in either event such election shall be held at such next annual or special meeting of the stockholders). Upon payment, or declaration and setting apart for payment, in full, the terms of the two Preferred Directors will terminate, and the number of the Company’s directors will be reduced by two, and the voting right of the holders of the preferred stock (and holders of any other equally ranked series of our preferred stock that have similar voting rights) will cease, subject to increase in the number of directors as described above and to revesting of such voting right in the event of each and every additional failure in the payment of dividends for six quarterly Dividend Periods, or their equivalent, whether or not consecutive, as described above.</w:t>
      </w:r>
    </w:p>
    <w:p>
      <w:pPr>
        <w:spacing w:after="0" w:line="147" w:lineRule="exact"/>
        <w:rPr>
          <w:sz w:val="20"/>
          <w:szCs w:val="20"/>
          <w:color w:val="auto"/>
        </w:rPr>
      </w:pPr>
    </w:p>
    <w:p>
      <w:pPr>
        <w:jc w:val="both"/>
        <w:ind w:left="180" w:right="199" w:firstLine="484"/>
        <w:spacing w:after="0" w:line="264" w:lineRule="auto"/>
        <w:rPr>
          <w:sz w:val="20"/>
          <w:szCs w:val="20"/>
          <w:color w:val="auto"/>
        </w:rPr>
      </w:pPr>
      <w:r>
        <w:rPr>
          <w:rFonts w:ascii="Times New Roman" w:cs="Times New Roman" w:eastAsia="Times New Roman" w:hAnsi="Times New Roman"/>
          <w:sz w:val="13"/>
          <w:szCs w:val="13"/>
          <w:color w:val="auto"/>
        </w:rPr>
        <w:t>Any Preferred Director may be removed and replaced at any time, with cause as provided by law or without cause by the affirmative vote of the holders of the preferred stock voting together as a class with the holders of voting Parity Stock, to the extent the voting rights of such holders described above are then exercisable. Any vacancy created by removal with or without cause may be filled only as described in the preceding sentence. If the office of any Preferred Director becomes vacant for any reason other than removal, the remaining Preferred Director may choose a successor who will hold office for the unexpired term in respect of which such vacancy occurred. In addition, if and when the rights of holders of the preferred stock terminate for any reason, including under circumstances described above under “—Redemption,” such voting rights will terminate along with the other rights (except, if applicable, the right to receive the redemption price plus any declared and unpaid dividends), and the terms of any Preferred Directors will terminate automatically and the number of directors will be reduced by two, assuming that the rights of holders of voting Parity Stock have similarly terminated.</w:t>
      </w:r>
    </w:p>
    <w:p>
      <w:pPr>
        <w:spacing w:after="0" w:line="307" w:lineRule="exact"/>
        <w:rPr>
          <w:sz w:val="20"/>
          <w:szCs w:val="20"/>
          <w:color w:val="auto"/>
        </w:rPr>
      </w:pPr>
    </w:p>
    <w:p>
      <w:pPr>
        <w:jc w:val="both"/>
        <w:ind w:left="180" w:right="199" w:firstLine="484"/>
        <w:spacing w:after="0" w:line="266" w:lineRule="auto"/>
        <w:rPr>
          <w:sz w:val="20"/>
          <w:szCs w:val="20"/>
          <w:color w:val="auto"/>
        </w:rPr>
      </w:pPr>
      <w:r>
        <w:rPr>
          <w:rFonts w:ascii="Times New Roman" w:cs="Times New Roman" w:eastAsia="Times New Roman" w:hAnsi="Times New Roman"/>
          <w:sz w:val="13"/>
          <w:szCs w:val="13"/>
          <w:color w:val="auto"/>
        </w:rPr>
        <w:t>Under regulations adopted by the Federal Reserve, if the holders of any series of preferred stock are or become entitled to vote for the election of directors, such series will be deemed a class of voting securities. A company holding 25% or more of the series, or 10% or more if it otherwise exercises a “controlling influence” over the Company, will be subject to regulation as a bank holding company under the Bank Holding Company Act. In addition, at the time the series is deemed a class of voting securities, any other bank holding company will be required to obtain the prior approval of the Federal Reserve under the Bank Holding Company Act to acquire or retain more than 5% of that series. Any other person (other than a bank holding company) will be required to obtain the non-objection of the Federal Reserve under the Change in Bank Control Act of 1978, as amended, to acquire or retain 10% or more of that series.</w:t>
      </w:r>
    </w:p>
    <w:p>
      <w:pPr>
        <w:spacing w:after="0" w:line="302" w:lineRule="exact"/>
        <w:rPr>
          <w:sz w:val="20"/>
          <w:szCs w:val="20"/>
          <w:color w:val="auto"/>
        </w:rPr>
      </w:pPr>
    </w:p>
    <w:p>
      <w:pPr>
        <w:jc w:val="both"/>
        <w:ind w:left="180" w:right="199" w:firstLine="484"/>
        <w:spacing w:after="0" w:line="272" w:lineRule="auto"/>
        <w:rPr>
          <w:sz w:val="20"/>
          <w:szCs w:val="20"/>
          <w:color w:val="auto"/>
        </w:rPr>
      </w:pPr>
      <w:r>
        <w:rPr>
          <w:rFonts w:ascii="Times New Roman" w:cs="Times New Roman" w:eastAsia="Times New Roman" w:hAnsi="Times New Roman"/>
          <w:sz w:val="13"/>
          <w:szCs w:val="13"/>
          <w:b w:val="1"/>
          <w:bCs w:val="1"/>
          <w:color w:val="auto"/>
        </w:rPr>
        <w:t>Other Voting Rights</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 long as any shares of preferred stock remain outstanding, the affirmative vote or consent of the holders of at least two-thirds of the voting power of all outstanding shares of the preferred stock and any voting Parity Stock, voting together as a single class of the Company’s capital stock, will be required to authorize or increase the authorized amount of, or issue or create shares of, any class or series of Senior Stock, or reclassify any authorized capital stock into any such shares of Senior Stock, or issue any obligation or security convertible into or evidencing the right to purchase any such shares of Senior Stock.</w:t>
      </w:r>
    </w:p>
    <w:p>
      <w:pPr>
        <w:spacing w:after="0" w:line="304" w:lineRule="exact"/>
        <w:rPr>
          <w:sz w:val="20"/>
          <w:szCs w:val="20"/>
          <w:color w:val="auto"/>
        </w:rPr>
      </w:pPr>
    </w:p>
    <w:p>
      <w:pPr>
        <w:jc w:val="both"/>
        <w:ind w:left="180" w:right="199" w:firstLine="484"/>
        <w:spacing w:after="0" w:line="297" w:lineRule="auto"/>
        <w:rPr>
          <w:sz w:val="20"/>
          <w:szCs w:val="20"/>
          <w:color w:val="auto"/>
        </w:rPr>
      </w:pPr>
      <w:r>
        <w:rPr>
          <w:rFonts w:ascii="Times New Roman" w:cs="Times New Roman" w:eastAsia="Times New Roman" w:hAnsi="Times New Roman"/>
          <w:sz w:val="13"/>
          <w:szCs w:val="13"/>
          <w:color w:val="auto"/>
        </w:rPr>
        <w:t>So long as any shares of preferred stock remain outstanding, the affirmative vote or consent of the holders of at least two-thirds of the voting power of all outstanding shares of the preferred stock, voting together as a separate class of the Company’s capital stock, will also be required to:</w:t>
      </w:r>
    </w:p>
    <w:p>
      <w:pPr>
        <w:spacing w:after="0" w:line="124" w:lineRule="exact"/>
        <w:rPr>
          <w:sz w:val="20"/>
          <w:szCs w:val="20"/>
          <w:color w:val="auto"/>
        </w:rPr>
      </w:pPr>
    </w:p>
    <w:p>
      <w:pPr>
        <w:jc w:val="both"/>
        <w:ind w:left="680" w:right="199" w:hanging="250"/>
        <w:spacing w:after="0" w:line="278" w:lineRule="auto"/>
        <w:tabs>
          <w:tab w:leader="none" w:pos="6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alter or repeal any provision of our certificate of incorporation, including by merger, consolidation or otherwise, so as to adversely affect the powers, preferences, privileges or rights of the preferred stock, taken as a whole; provided, however, that any increase in the amount of the authorized or issued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241300</wp:posOffset>
            </wp:positionV>
            <wp:extent cx="547751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4" w:name="page115"/>
    <w:bookmarkEnd w:id="114"/>
    <w:p>
      <w:pPr>
        <w:ind w:left="180"/>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99" w:lineRule="exact"/>
        <w:rPr>
          <w:sz w:val="20"/>
          <w:szCs w:val="20"/>
          <w:color w:val="auto"/>
        </w:rPr>
      </w:pPr>
    </w:p>
    <w:p>
      <w:pPr>
        <w:jc w:val="both"/>
        <w:ind w:left="680" w:right="199"/>
        <w:spacing w:after="0" w:line="271" w:lineRule="auto"/>
        <w:rPr>
          <w:sz w:val="20"/>
          <w:szCs w:val="20"/>
          <w:color w:val="auto"/>
        </w:rPr>
      </w:pPr>
      <w:r>
        <w:rPr>
          <w:rFonts w:ascii="Times New Roman" w:cs="Times New Roman" w:eastAsia="Times New Roman" w:hAnsi="Times New Roman"/>
          <w:sz w:val="13"/>
          <w:szCs w:val="13"/>
          <w:color w:val="auto"/>
        </w:rPr>
        <w:t>stock or common stock, or the creation and issuance or an increase or decrease in the authorized or issued amount of any other series of capital stock ranking equally with or junior to the preferred stock with respect to the payment of dividends (whether such dividends are cumulative or non-cumulative) or the distribution of assets upon liquidation, dissolution or winding up of the Company, will not be deemed to adversely affect the powers, preferences, privileges or rights of the preferred stock; or</w:t>
      </w:r>
    </w:p>
    <w:p>
      <w:pPr>
        <w:spacing w:after="0" w:line="141" w:lineRule="exact"/>
        <w:rPr>
          <w:sz w:val="20"/>
          <w:szCs w:val="20"/>
          <w:color w:val="auto"/>
        </w:rPr>
      </w:pPr>
    </w:p>
    <w:p>
      <w:pPr>
        <w:jc w:val="both"/>
        <w:ind w:left="680" w:right="199" w:hanging="250"/>
        <w:spacing w:after="0" w:line="275" w:lineRule="auto"/>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consummate a binding share exchange or reclassification involving the preferred stock, or a merger or consolidation of the Company with or into another entity, unless (i) the shares of preferred stock remain outstanding or are converted into or exchanged for preference securities of the new surviving entity, and (ii) the shares of the remaining preferred stock or new preferred securities have terms that are substantially similar to the terms of the preferred stock.</w:t>
      </w:r>
    </w:p>
    <w:p>
      <w:pPr>
        <w:spacing w:after="0" w:line="302" w:lineRule="exact"/>
        <w:rPr>
          <w:sz w:val="20"/>
          <w:szCs w:val="20"/>
          <w:color w:val="auto"/>
        </w:rPr>
      </w:pPr>
    </w:p>
    <w:p>
      <w:pPr>
        <w:jc w:val="both"/>
        <w:ind w:left="180" w:right="199" w:firstLine="484"/>
        <w:spacing w:after="0" w:line="278" w:lineRule="auto"/>
        <w:rPr>
          <w:sz w:val="20"/>
          <w:szCs w:val="20"/>
          <w:color w:val="auto"/>
        </w:rPr>
      </w:pPr>
      <w:r>
        <w:rPr>
          <w:rFonts w:ascii="Times New Roman" w:cs="Times New Roman" w:eastAsia="Times New Roman" w:hAnsi="Times New Roman"/>
          <w:sz w:val="13"/>
          <w:szCs w:val="13"/>
          <w:color w:val="auto"/>
        </w:rPr>
        <w:t>The foregoing voting provisions will not apply if, at or prior to the time when the act with respect to which such vote would otherwise be required shall be effected, all outstanding shares of preferred stock been redeemed. In exercising the voting rights described above or when otherwise granted voting rights by operation of law or by the Company, each share of preferred stock will be entitled to one vote.</w:t>
      </w:r>
    </w:p>
    <w:p>
      <w:pPr>
        <w:spacing w:after="0" w:line="136" w:lineRule="exact"/>
        <w:rPr>
          <w:sz w:val="20"/>
          <w:szCs w:val="20"/>
          <w:color w:val="auto"/>
        </w:rPr>
      </w:pPr>
    </w:p>
    <w:p>
      <w:pPr>
        <w:jc w:val="both"/>
        <w:ind w:left="180" w:right="199" w:firstLine="484"/>
        <w:spacing w:after="0" w:line="278" w:lineRule="auto"/>
        <w:rPr>
          <w:sz w:val="20"/>
          <w:szCs w:val="20"/>
          <w:color w:val="auto"/>
        </w:rPr>
      </w:pPr>
      <w:r>
        <w:rPr>
          <w:rFonts w:ascii="Times New Roman" w:cs="Times New Roman" w:eastAsia="Times New Roman" w:hAnsi="Times New Roman"/>
          <w:sz w:val="13"/>
          <w:szCs w:val="13"/>
          <w:color w:val="auto"/>
        </w:rPr>
        <w:t>If the Company redeems or calls for redemption all outstanding shares of preferred stock and irrevocably deposits in trust sufficient funds to effect such redemption, at or prior to the time when the act with respect to which such vote would otherwise be required or upon which the holders of the preferred stock will be entitled to vote will be effected, the voting provisions described above will not apply.</w:t>
      </w:r>
    </w:p>
    <w:p>
      <w:pPr>
        <w:spacing w:after="0" w:line="132" w:lineRule="exact"/>
        <w:rPr>
          <w:sz w:val="20"/>
          <w:szCs w:val="20"/>
          <w:color w:val="auto"/>
        </w:rPr>
      </w:pPr>
    </w:p>
    <w:p>
      <w:pPr>
        <w:jc w:val="both"/>
        <w:ind w:left="180" w:right="199" w:firstLine="484"/>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Voting Rights under New York Law. </w:t>
      </w:r>
      <w:r>
        <w:rPr>
          <w:rFonts w:ascii="Times New Roman" w:cs="Times New Roman" w:eastAsia="Times New Roman" w:hAnsi="Times New Roman"/>
          <w:sz w:val="13"/>
          <w:szCs w:val="13"/>
          <w:color w:val="auto"/>
        </w:rPr>
        <w:t>New York law provides that, notwithstanding any provision in the certificate of incorporation, the holders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preferred stock have the right to vote separately as a class on any amendment to the Company’s certificate of incorporation that would reduce the par value of the preferred shares, change the authorized preferred shares into a different number of shares of the same class or into one or more classes or series, or to fix, change or abolish the designation of or any of the relative rights, preferences and limitations of the shares, including any provisions in respect of any undeclared dividends, whether or not cumulative or accrued, or the redemption of any shares, or any sinking fund for the redemption or purchase of any shares, or any preemptive right to acquire shares or other securities.</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Other Preferred Stock</w:t>
      </w:r>
    </w:p>
    <w:p>
      <w:pPr>
        <w:spacing w:after="0" w:line="187" w:lineRule="exact"/>
        <w:rPr>
          <w:sz w:val="20"/>
          <w:szCs w:val="20"/>
          <w:color w:val="auto"/>
        </w:rPr>
      </w:pPr>
    </w:p>
    <w:p>
      <w:pPr>
        <w:jc w:val="both"/>
        <w:ind w:left="180" w:right="199" w:firstLine="484"/>
        <w:spacing w:after="0" w:line="268" w:lineRule="auto"/>
        <w:rPr>
          <w:sz w:val="20"/>
          <w:szCs w:val="20"/>
          <w:color w:val="auto"/>
        </w:rPr>
      </w:pPr>
      <w:r>
        <w:rPr>
          <w:rFonts w:ascii="Times New Roman" w:cs="Times New Roman" w:eastAsia="Times New Roman" w:hAnsi="Times New Roman"/>
          <w:sz w:val="13"/>
          <w:szCs w:val="13"/>
          <w:color w:val="auto"/>
        </w:rPr>
        <w:t>The Company’s authorized capital stock includes 10,000,000 shares of our preferred stock, $0.01 par value. Our Board of Directors is authorized without further stockholder action to cause the issuance of additional shares of preferred stock, in addition to the 5.50% Fixed-Rate Non-Cumulative Perpetual Preferred Stock, Series A. Any additional preferred stock may be issued in one or more series, each with preferences, limitations, designations, conversion or exchange rights, voting rights, dividend rights, redemption provisions, voluntary and involuntary liquidation rights and other rights as the Board of Directors may determine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245745</wp:posOffset>
            </wp:positionV>
            <wp:extent cx="547751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AMENDED AND RESTATED CHANGE IN CONTROL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EMPLOYMENT AGREEMENT</w:t>
      </w:r>
    </w:p>
    <w:p>
      <w:pPr>
        <w:spacing w:after="0" w:line="159" w:lineRule="exact"/>
        <w:rPr>
          <w:sz w:val="20"/>
          <w:szCs w:val="20"/>
          <w:color w:val="auto"/>
        </w:rPr>
      </w:pPr>
    </w:p>
    <w:p>
      <w:pPr>
        <w:jc w:val="both"/>
        <w:ind w:left="520" w:right="59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THIS </w:t>
      </w:r>
      <w:r>
        <w:rPr>
          <w:rFonts w:ascii="Times New Roman" w:cs="Times New Roman" w:eastAsia="Times New Roman" w:hAnsi="Times New Roman"/>
          <w:sz w:val="16"/>
          <w:szCs w:val="16"/>
          <w:color w:val="auto"/>
        </w:rPr>
        <w:t>AMENDED AND RESTATED</w:t>
      </w:r>
      <w:r>
        <w:rPr>
          <w:rFonts w:ascii="Times New Roman" w:cs="Times New Roman" w:eastAsia="Times New Roman" w:hAnsi="Times New Roman"/>
          <w:sz w:val="16"/>
          <w:szCs w:val="16"/>
          <w:b w:val="1"/>
          <w:bCs w:val="1"/>
          <w:color w:val="auto"/>
        </w:rPr>
        <w:t xml:space="preserve"> CHANGE IN CONTROL EMPLOYMENT AGREEMENT </w:t>
      </w:r>
      <w:r>
        <w:rPr>
          <w:rFonts w:ascii="Times New Roman" w:cs="Times New Roman" w:eastAsia="Times New Roman" w:hAnsi="Times New Roman"/>
          <w:sz w:val="16"/>
          <w:szCs w:val="16"/>
          <w:color w:val="auto"/>
        </w:rPr>
        <w:t>(this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December 19, 2023, by and between Dime Community Bancshares, Inc., a New York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Michael Fegan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jc w:val="both"/>
        <w:ind w:left="520" w:right="539" w:firstLine="968"/>
        <w:spacing w:after="0" w:line="24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Executive is presently the SEVP/Chief Technology &amp; Operations Officer of the Company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Dime Community Bank (the “</w:t>
      </w:r>
      <w:r>
        <w:rPr>
          <w:rFonts w:ascii="Times New Roman" w:cs="Times New Roman" w:eastAsia="Times New Roman" w:hAnsi="Times New Roman"/>
          <w:sz w:val="16"/>
          <w:szCs w:val="16"/>
          <w:b w:val="1"/>
          <w:bCs w:val="1"/>
          <w:color w:val="auto"/>
        </w:rPr>
        <w:t>Bank</w:t>
      </w:r>
      <w:r>
        <w:rPr>
          <w:rFonts w:ascii="Times New Roman" w:cs="Times New Roman" w:eastAsia="Times New Roman" w:hAnsi="Times New Roman"/>
          <w:sz w:val="16"/>
          <w:szCs w:val="16"/>
          <w:color w:val="auto"/>
        </w:rPr>
        <w:t>”) and is a party to a change in control employment agreement with Dime Community Bancshares, Inc., dated as of February 1, 2019, as amended by First Amendment to Change in Control Agreement, dated as of June 28, 2021 (collectively, the “</w:t>
      </w:r>
      <w:r>
        <w:rPr>
          <w:rFonts w:ascii="Times New Roman" w:cs="Times New Roman" w:eastAsia="Times New Roman" w:hAnsi="Times New Roman"/>
          <w:sz w:val="16"/>
          <w:szCs w:val="16"/>
          <w:b w:val="1"/>
          <w:bCs w:val="1"/>
          <w:color w:val="auto"/>
        </w:rPr>
        <w:t>Prior Agreement</w:t>
      </w:r>
      <w:r>
        <w:rPr>
          <w:rFonts w:ascii="Times New Roman" w:cs="Times New Roman" w:eastAsia="Times New Roman" w:hAnsi="Times New Roman"/>
          <w:sz w:val="16"/>
          <w:szCs w:val="16"/>
          <w:color w:val="auto"/>
        </w:rPr>
        <w:t>”); and</w:t>
      </w:r>
    </w:p>
    <w:p>
      <w:pPr>
        <w:spacing w:after="0" w:line="146" w:lineRule="exact"/>
        <w:rPr>
          <w:sz w:val="20"/>
          <w:szCs w:val="20"/>
          <w:color w:val="auto"/>
        </w:rPr>
      </w:pPr>
    </w:p>
    <w:p>
      <w:pPr>
        <w:jc w:val="both"/>
        <w:ind w:left="520" w:right="57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the Company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and has determined that it is in the best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interests of the Company and its stockholders to assure that the Company will have the continued dedication of Executive, notwithstanding the possibility, threat or occurrence of a Change in Control (as defined below); and</w:t>
      </w:r>
    </w:p>
    <w:p>
      <w:pPr>
        <w:spacing w:after="0" w:line="121" w:lineRule="exact"/>
        <w:rPr>
          <w:sz w:val="20"/>
          <w:szCs w:val="20"/>
          <w:color w:val="auto"/>
        </w:rPr>
      </w:pPr>
    </w:p>
    <w:p>
      <w:pPr>
        <w:ind w:left="520" w:right="539" w:firstLine="968"/>
        <w:spacing w:after="0" w:line="24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believes it is imperative to diminish the inevitable distraction of Executive by virtue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personal uncertainties and risks created by a pending or threatened Change in Control and to encourage Executive’s full attention and dedication to the Company currently and in the event of any threatened or pending Change in Control, and to provide Executive with compensation and benefits arrangements upon a Change in Control that ensure that the compensation and benefits expectations of Executive will be satisfied and that are competitive with those of other corporations; and</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this Agreement shall supersede and replace the Prior Agreement as of the date first written</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above.</w:t>
      </w:r>
    </w:p>
    <w:p>
      <w:pPr>
        <w:spacing w:after="0" w:line="139" w:lineRule="exact"/>
        <w:rPr>
          <w:sz w:val="20"/>
          <w:szCs w:val="20"/>
          <w:color w:val="auto"/>
        </w:rPr>
      </w:pPr>
    </w:p>
    <w:p>
      <w:pPr>
        <w:ind w:left="520" w:right="65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order to accomplish the foregoing objectives and in consideration of the mutual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promises contained herein and other good and valuable consideration, the receipt and sufficiency of which are acknowledged, the parties agree as follows.</w:t>
      </w:r>
    </w:p>
    <w:p>
      <w:pPr>
        <w:spacing w:after="0" w:line="121" w:lineRule="exact"/>
        <w:rPr>
          <w:sz w:val="20"/>
          <w:szCs w:val="20"/>
          <w:color w:val="auto"/>
        </w:rPr>
      </w:pPr>
    </w:p>
    <w:p>
      <w:pPr>
        <w:ind w:left="1980" w:hanging="492"/>
        <w:spacing w:after="0"/>
        <w:tabs>
          <w:tab w:leader="none" w:pos="1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Certain Definitions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1980" w:hanging="492"/>
        <w:spacing w:after="0"/>
        <w:tabs>
          <w:tab w:leader="none" w:pos="1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shall mean an entity controlled by, controlling or under common control with another</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entity.</w:t>
      </w:r>
    </w:p>
    <w:p>
      <w:pPr>
        <w:spacing w:after="0" w:line="139" w:lineRule="exact"/>
        <w:rPr>
          <w:sz w:val="20"/>
          <w:szCs w:val="20"/>
          <w:color w:val="auto"/>
        </w:rPr>
      </w:pPr>
    </w:p>
    <w:p>
      <w:pPr>
        <w:ind w:left="1980" w:hanging="492"/>
        <w:spacing w:after="0"/>
        <w:tabs>
          <w:tab w:leader="none" w:pos="19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in Control</w:t>
      </w:r>
      <w:r>
        <w:rPr>
          <w:rFonts w:ascii="Times New Roman" w:cs="Times New Roman" w:eastAsia="Times New Roman" w:hAnsi="Times New Roman"/>
          <w:sz w:val="16"/>
          <w:szCs w:val="16"/>
          <w:color w:val="auto"/>
        </w:rPr>
        <w:t>” shall mean:</w:t>
      </w:r>
    </w:p>
    <w:p>
      <w:pPr>
        <w:spacing w:after="0" w:line="161" w:lineRule="exact"/>
        <w:rPr>
          <w:sz w:val="20"/>
          <w:szCs w:val="20"/>
          <w:color w:val="auto"/>
        </w:rPr>
      </w:pPr>
    </w:p>
    <w:p>
      <w:pPr>
        <w:ind w:left="1000" w:right="559" w:firstLine="488"/>
        <w:spacing w:after="0" w:line="253" w:lineRule="auto"/>
        <w:tabs>
          <w:tab w:leader="none" w:pos="196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(other than an event satisfying the conditions of Section 1(b)(iii)(A)(I) and (II)) upon which any “person” (as such term is used in Sections 13(d) and 14(d)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0" w:lineRule="exact"/>
        <w:rPr>
          <w:sz w:val="20"/>
          <w:szCs w:val="20"/>
          <w:color w:val="auto"/>
        </w:rPr>
      </w:pPr>
    </w:p>
    <w:p>
      <w:pPr>
        <w:ind w:left="1000" w:right="539"/>
        <w:spacing w:after="0" w:line="242" w:lineRule="auto"/>
        <w:rPr>
          <w:sz w:val="20"/>
          <w:szCs w:val="20"/>
          <w:color w:val="auto"/>
        </w:rPr>
      </w:pPr>
      <w:r>
        <w:rPr>
          <w:rFonts w:ascii="Times New Roman" w:cs="Times New Roman" w:eastAsia="Times New Roman" w:hAnsi="Times New Roman"/>
          <w:sz w:val="16"/>
          <w:szCs w:val="16"/>
          <w:color w:val="auto"/>
        </w:rPr>
        <w:t>as amended, or any successor thereto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becomes the “beneficial owner” (as defined in Rule 13d-3 promulgated under the Exchange Act), directly or indirectly, of securities issued by the Company representing 25% or more of the combined voting power of all of the Company's then outstanding securities, other than an acquisition by (A) a trustee or other fiduciary holding securities under an employee benefit plan maintained for the benefit of employees of the Company; (B) a corporation owned, directly or indirectly, by the stockholders of the Company in substantially the same proportions as their ownership of stock of the Company; or (C) any group constituting a person in which employees of the Company are substantial members;</w:t>
      </w:r>
    </w:p>
    <w:p>
      <w:pPr>
        <w:spacing w:after="0" w:line="134" w:lineRule="exact"/>
        <w:rPr>
          <w:sz w:val="20"/>
          <w:szCs w:val="20"/>
          <w:color w:val="auto"/>
        </w:rPr>
      </w:pPr>
    </w:p>
    <w:p>
      <w:pPr>
        <w:ind w:left="1000" w:right="559" w:firstLine="488"/>
        <w:spacing w:after="0" w:line="242" w:lineRule="auto"/>
        <w:tabs>
          <w:tab w:leader="none" w:pos="19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upon which the individuals who, on the date of this Agreement, are members of the Board, together with individuals whose election by the Board or nomination for election by the Company’s stockholders was approved by the affirmative vote of at least two-thirds of the members of the Board then in office who were either members of the Board on the date of this Agreement or whose nomination or election was previously so approved, cease for any reason to constitute a majority of the members of the Board, but excluding, for this purpose, any such individual whose initial assumption of office is in connection with an actual or threatened election contest relating to the election of directors of the Company;</w:t>
      </w:r>
    </w:p>
    <w:p>
      <w:pPr>
        <w:spacing w:after="0" w:line="132" w:lineRule="exact"/>
        <w:rPr>
          <w:rFonts w:ascii="Times New Roman" w:cs="Times New Roman" w:eastAsia="Times New Roman" w:hAnsi="Times New Roman"/>
          <w:sz w:val="16"/>
          <w:szCs w:val="16"/>
          <w:color w:val="auto"/>
        </w:rPr>
      </w:pPr>
    </w:p>
    <w:p>
      <w:pPr>
        <w:ind w:left="1000" w:right="859" w:firstLine="488"/>
        <w:spacing w:after="0" w:line="270" w:lineRule="auto"/>
        <w:tabs>
          <w:tab w:leader="none" w:pos="19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consummation of a merger or consolidation of the Company with any other corporation, other than a merger or consolidation following which both of the following conditions are satisfied:</w:t>
      </w:r>
    </w:p>
    <w:p>
      <w:pPr>
        <w:spacing w:after="0" w:line="110" w:lineRule="exact"/>
        <w:rPr>
          <w:rFonts w:ascii="Times New Roman" w:cs="Times New Roman" w:eastAsia="Times New Roman" w:hAnsi="Times New Roman"/>
          <w:sz w:val="16"/>
          <w:szCs w:val="16"/>
          <w:color w:val="auto"/>
        </w:rPr>
      </w:pPr>
    </w:p>
    <w:p>
      <w:pPr>
        <w:ind w:left="1480" w:right="579" w:firstLine="976"/>
        <w:spacing w:after="0" w:line="243" w:lineRule="auto"/>
        <w:tabs>
          <w:tab w:leader="none" w:pos="293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(x) the members of the Board immediately prior to such merger or consolidation constitute at least a majority of the members of the governing body of the institution resulting from such merger or consolidation; or (y) the stockholders of the Company own securities of the institution resulting from such merger or consolidation representing 80% or more of the combined voting power of all such securities of the resulting institution then outstanding in substantially the same proportions as their ownership of voting securities of the Company immediately before such merger or consolidation; and</w:t>
      </w:r>
    </w:p>
    <w:p>
      <w:pPr>
        <w:spacing w:after="0" w:line="132" w:lineRule="exact"/>
        <w:rPr>
          <w:sz w:val="20"/>
          <w:szCs w:val="20"/>
          <w:color w:val="auto"/>
        </w:rPr>
      </w:pPr>
    </w:p>
    <w:p>
      <w:pPr>
        <w:ind w:left="1480" w:right="599" w:firstLine="976"/>
        <w:spacing w:after="0" w:line="270" w:lineRule="auto"/>
        <w:tabs>
          <w:tab w:leader="none" w:pos="2931"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entity which results from such merger or consolidation is not the Company, such entity expressly agrees in writing to assume and perform the Company's obligations under the Plan; or</w:t>
      </w:r>
    </w:p>
    <w:p>
      <w:pPr>
        <w:spacing w:after="0" w:line="110" w:lineRule="exact"/>
        <w:rPr>
          <w:rFonts w:ascii="Times New Roman" w:cs="Times New Roman" w:eastAsia="Times New Roman" w:hAnsi="Times New Roman"/>
          <w:sz w:val="16"/>
          <w:szCs w:val="16"/>
          <w:color w:val="auto"/>
        </w:rPr>
      </w:pPr>
    </w:p>
    <w:p>
      <w:pPr>
        <w:ind w:left="2460" w:hanging="488"/>
        <w:spacing w:after="0"/>
        <w:tabs>
          <w:tab w:leader="none" w:pos="2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stockholders of the Company of a complete liquidation or dissolution of</w:t>
      </w:r>
    </w:p>
    <w:p>
      <w:pPr>
        <w:spacing w:after="0" w:line="15"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w:t>
      </w:r>
    </w:p>
    <w:p>
      <w:pPr>
        <w:spacing w:after="0" w:line="140" w:lineRule="exact"/>
        <w:rPr>
          <w:rFonts w:ascii="Times New Roman" w:cs="Times New Roman" w:eastAsia="Times New Roman" w:hAnsi="Times New Roman"/>
          <w:sz w:val="16"/>
          <w:szCs w:val="16"/>
          <w:color w:val="auto"/>
        </w:rPr>
      </w:pPr>
    </w:p>
    <w:p>
      <w:pPr>
        <w:ind w:left="1000" w:right="539" w:firstLine="972"/>
        <w:spacing w:after="0" w:line="270" w:lineRule="auto"/>
        <w:tabs>
          <w:tab w:leader="none" w:pos="245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would be described in section 1(b)(i), (ii) or (iii) if “Bank (and any successor thereto)” were substituted for the “Company”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454025</wp:posOffset>
            </wp:positionV>
            <wp:extent cx="50552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0" w:lineRule="exact"/>
        <w:rPr>
          <w:sz w:val="20"/>
          <w:szCs w:val="20"/>
          <w:color w:val="auto"/>
        </w:rPr>
      </w:pPr>
    </w:p>
    <w:p>
      <w:pPr>
        <w:ind w:left="520" w:right="619" w:firstLine="968"/>
        <w:spacing w:after="0" w:line="245" w:lineRule="auto"/>
        <w:tabs>
          <w:tab w:leader="none" w:pos="197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in Control Period</w:t>
      </w:r>
      <w:r>
        <w:rPr>
          <w:rFonts w:ascii="Times New Roman" w:cs="Times New Roman" w:eastAsia="Times New Roman" w:hAnsi="Times New Roman"/>
          <w:sz w:val="16"/>
          <w:szCs w:val="16"/>
          <w:color w:val="auto"/>
        </w:rPr>
        <w:t>” shall mean the period commencing on the date hereof and continuing for a period of thirty-six (36) months thereafter, and the Change in Control Period shall automatically renew on a daily basis, such that the remaining unexpired Change in Control Period shall be thirty-six (36) months, until the date the Company gives the Executive written notice of non-renewal (“</w:t>
      </w:r>
      <w:r>
        <w:rPr>
          <w:rFonts w:ascii="Times New Roman" w:cs="Times New Roman" w:eastAsia="Times New Roman" w:hAnsi="Times New Roman"/>
          <w:sz w:val="16"/>
          <w:szCs w:val="16"/>
          <w:b w:val="1"/>
          <w:bCs w:val="1"/>
          <w:color w:val="auto"/>
        </w:rPr>
        <w:t>Non-Renewal Notice</w:t>
      </w:r>
      <w:r>
        <w:rPr>
          <w:rFonts w:ascii="Times New Roman" w:cs="Times New Roman" w:eastAsia="Times New Roman" w:hAnsi="Times New Roman"/>
          <w:sz w:val="16"/>
          <w:szCs w:val="16"/>
          <w:color w:val="auto"/>
        </w:rPr>
        <w:t>”). The Change in Control Period shall end on the date that is thirty-six (36) months after the date of the Non-Renewal Notice.</w:t>
      </w:r>
    </w:p>
    <w:p>
      <w:pPr>
        <w:spacing w:after="0" w:line="129"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shall mean the Internal Revenue Code of 1986, as amended.</w:t>
      </w:r>
    </w:p>
    <w:p>
      <w:pPr>
        <w:spacing w:after="0" w:line="158" w:lineRule="exact"/>
        <w:rPr>
          <w:rFonts w:ascii="Times New Roman" w:cs="Times New Roman" w:eastAsia="Times New Roman" w:hAnsi="Times New Roman"/>
          <w:sz w:val="16"/>
          <w:szCs w:val="16"/>
          <w:color w:val="auto"/>
        </w:rPr>
      </w:pPr>
    </w:p>
    <w:p>
      <w:pPr>
        <w:ind w:left="520" w:right="619" w:firstLine="968"/>
        <w:spacing w:after="0" w:line="242" w:lineRule="auto"/>
        <w:tabs>
          <w:tab w:leader="none" w:pos="197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shall mean the first date during the Change in Control Period on which a Change in Control occurs. Notwithstanding anything in this Agreement to the contrary, if (i) Executive’s employment with the Company is terminated by the Company, (ii) the Date of Termination is prior to the date on which a Change in Control occurs, and (iii) it is reasonably demonstrated by Executive that such termination of employment (A) was at the request of a third party that has taken steps reasonably calculated to effect a Change in Control or (B) otherwise arose in connection with or anticipation of a Change in Control, then for all purposes of this Agreement, the “Effective Date” means the date immediately prior to such Date of Termination.</w:t>
      </w:r>
    </w:p>
    <w:p>
      <w:pPr>
        <w:spacing w:after="0" w:line="132" w:lineRule="exact"/>
        <w:rPr>
          <w:sz w:val="20"/>
          <w:szCs w:val="20"/>
          <w:color w:val="auto"/>
        </w:rPr>
      </w:pPr>
    </w:p>
    <w:p>
      <w:pPr>
        <w:ind w:left="520" w:right="739" w:firstLine="968"/>
        <w:spacing w:after="0" w:line="248" w:lineRule="auto"/>
        <w:tabs>
          <w:tab w:leader="none" w:pos="1971"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Employment Period</w:t>
      </w:r>
      <w:r>
        <w:rPr>
          <w:rFonts w:ascii="Times New Roman" w:cs="Times New Roman" w:eastAsia="Times New Roman" w:hAnsi="Times New Roman"/>
          <w:sz w:val="16"/>
          <w:szCs w:val="16"/>
          <w:color w:val="auto"/>
        </w:rPr>
        <w:t>. The Company hereby agrees to continue Executive in its employ,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hereby agrees to remain in the employ of the Company subject to the terms and conditions of this Agreement, for the period commencing on the Effective Date and ending on the second anniversary of such date (the “</w:t>
      </w:r>
      <w:r>
        <w:rPr>
          <w:rFonts w:ascii="Times New Roman" w:cs="Times New Roman" w:eastAsia="Times New Roman" w:hAnsi="Times New Roman"/>
          <w:sz w:val="16"/>
          <w:szCs w:val="16"/>
          <w:b w:val="1"/>
          <w:bCs w:val="1"/>
          <w:color w:val="auto"/>
        </w:rPr>
        <w:t>Employment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16"/>
          <w:szCs w:val="16"/>
          <w:color w:val="auto"/>
        </w:rPr>
        <w:t>”). The Employment Period shall terminate upon Executive’s termination of employment for any reason.</w:t>
      </w:r>
    </w:p>
    <w:p>
      <w:pPr>
        <w:spacing w:after="0" w:line="126"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Terms of Employment</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Position and Duties</w:t>
      </w:r>
      <w:r>
        <w:rPr>
          <w:rFonts w:ascii="Times New Roman" w:cs="Times New Roman" w:eastAsia="Times New Roman" w:hAnsi="Times New Roman"/>
          <w:sz w:val="16"/>
          <w:szCs w:val="16"/>
          <w:color w:val="auto"/>
        </w:rPr>
        <w:t>. (i) During the Employment Period,</w:t>
      </w:r>
    </w:p>
    <w:p>
      <w:pPr>
        <w:spacing w:after="0" w:line="17" w:lineRule="exact"/>
        <w:rPr>
          <w:rFonts w:ascii="Times New Roman" w:cs="Times New Roman" w:eastAsia="Times New Roman" w:hAnsi="Times New Roman"/>
          <w:sz w:val="16"/>
          <w:szCs w:val="16"/>
          <w:color w:val="auto"/>
        </w:rPr>
      </w:pPr>
    </w:p>
    <w:p>
      <w:pPr>
        <w:ind w:left="520" w:right="659" w:firstLine="1"/>
        <w:spacing w:after="0" w:line="239" w:lineRule="auto"/>
        <w:tabs>
          <w:tab w:leader="none" w:pos="78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position (including status, offices, titles and reporting requirements), authority, duties and responsibilities shall be at least commensurate in all respects with the most significant of those held, exercised and assigned to Executive at any time during the 120-day period immediately preceding the Effective Date and (B) Executive’s services shall be performed at the location where Executive was employed immediately preceding the Effective Date or any office or location less than 25 miles from such location.</w:t>
      </w:r>
    </w:p>
    <w:p>
      <w:pPr>
        <w:spacing w:after="0" w:line="134" w:lineRule="exact"/>
        <w:rPr>
          <w:rFonts w:ascii="Times New Roman" w:cs="Times New Roman" w:eastAsia="Times New Roman" w:hAnsi="Times New Roman"/>
          <w:sz w:val="16"/>
          <w:szCs w:val="16"/>
          <w:color w:val="auto"/>
        </w:rPr>
      </w:pPr>
    </w:p>
    <w:p>
      <w:pPr>
        <w:ind w:left="520" w:right="539" w:firstLine="1452"/>
        <w:spacing w:after="0"/>
        <w:tabs>
          <w:tab w:leader="none" w:pos="2455" w:val="left"/>
        </w:tabs>
        <w:numPr>
          <w:ilvl w:val="2"/>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Employment Period, and excluding any periods of vacation and sick leave to which Executive is entitled, Executive agrees to devote reasonable attention and time during normal business hours to the business and affairs of the Company and, to the extent necessary to discharge the responsibilities assigned to Executive hereunder, to use Executive’s reasonable best efforts to perform faithfully and efficiently such responsibilities. During the Employment Period it shall not be a violation of this Agreement for Executive to (A) serve on corporate, civic or charitable boards or committees, (B) deliver lectures, fulfill speaking engagements or teach at educational institutions and</w:t>
      </w:r>
    </w:p>
    <w:p>
      <w:pPr>
        <w:spacing w:after="0" w:line="2" w:lineRule="exact"/>
        <w:rPr>
          <w:rFonts w:ascii="Times New Roman" w:cs="Times New Roman" w:eastAsia="Times New Roman" w:hAnsi="Times New Roman"/>
          <w:sz w:val="16"/>
          <w:szCs w:val="16"/>
          <w:color w:val="auto"/>
        </w:rPr>
      </w:pPr>
    </w:p>
    <w:p>
      <w:pPr>
        <w:ind w:left="520" w:right="1179" w:firstLine="1"/>
        <w:spacing w:after="0" w:line="246" w:lineRule="auto"/>
        <w:tabs>
          <w:tab w:leader="none" w:pos="7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personal investments, so long as such activities do not significantly interfere with the performance of Executive’s responsibilities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466090</wp:posOffset>
            </wp:positionV>
            <wp:extent cx="50552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79"/>
        <w:spacing w:after="0" w:line="247" w:lineRule="auto"/>
        <w:rPr>
          <w:sz w:val="20"/>
          <w:szCs w:val="20"/>
          <w:color w:val="auto"/>
        </w:rPr>
      </w:pPr>
      <w:r>
        <w:rPr>
          <w:rFonts w:ascii="Times New Roman" w:cs="Times New Roman" w:eastAsia="Times New Roman" w:hAnsi="Times New Roman"/>
          <w:sz w:val="16"/>
          <w:szCs w:val="16"/>
          <w:color w:val="auto"/>
        </w:rPr>
        <w:t>employee of the Company in accordance with this Agreement.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w:t>
      </w:r>
    </w:p>
    <w:p>
      <w:pPr>
        <w:spacing w:after="0" w:line="127" w:lineRule="exact"/>
        <w:rPr>
          <w:sz w:val="20"/>
          <w:szCs w:val="20"/>
          <w:color w:val="auto"/>
        </w:rPr>
      </w:pPr>
    </w:p>
    <w:p>
      <w:pPr>
        <w:ind w:left="520" w:right="539" w:firstLine="968"/>
        <w:spacing w:after="0"/>
        <w:tabs>
          <w:tab w:leader="none" w:pos="197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Compensation</w:t>
      </w:r>
      <w:r>
        <w:rPr>
          <w:rFonts w:ascii="Times New Roman" w:cs="Times New Roman" w:eastAsia="Times New Roman" w:hAnsi="Times New Roman"/>
          <w:sz w:val="16"/>
          <w:szCs w:val="16"/>
          <w:color w:val="auto"/>
        </w:rPr>
        <w:t>.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Base Salary</w:t>
      </w:r>
      <w:r>
        <w:rPr>
          <w:rFonts w:ascii="Times New Roman" w:cs="Times New Roman" w:eastAsia="Times New Roman" w:hAnsi="Times New Roman"/>
          <w:sz w:val="16"/>
          <w:szCs w:val="16"/>
          <w:color w:val="auto"/>
        </w:rPr>
        <w:t>. During the Employment Period, Executive shall receive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annual base salary (“</w:t>
      </w:r>
      <w:r>
        <w:rPr>
          <w:rFonts w:ascii="Times New Roman" w:cs="Times New Roman" w:eastAsia="Times New Roman" w:hAnsi="Times New Roman"/>
          <w:sz w:val="16"/>
          <w:szCs w:val="16"/>
          <w:b w:val="1"/>
          <w:bCs w:val="1"/>
          <w:color w:val="auto"/>
        </w:rPr>
        <w:t>Annual Base Salary</w:t>
      </w:r>
      <w:r>
        <w:rPr>
          <w:rFonts w:ascii="Times New Roman" w:cs="Times New Roman" w:eastAsia="Times New Roman" w:hAnsi="Times New Roman"/>
          <w:sz w:val="16"/>
          <w:szCs w:val="16"/>
          <w:color w:val="auto"/>
        </w:rPr>
        <w:t>”), that shall be paid at an annual rate, at least equal to 12 times the highest monthly base salary paid or payable, including any base salary that has been earned but deferred, to Executive by the Company and its Affiliates in respect of the 12-month period immediately preceding the month in which the Effective Date occurs. The Annual Base Salary shall be paid at such intervals as the Company pays executive salaries generally. During the Employment Period, the Annual Base Salary shall be periodically reviewed and increased in the same manner and proportion as the base salaries of other senior executives of the Company and Affiliates, but in no event shall such review and adjustment be more than 12 months after the last salary increase awarded to Executive prior to the Effective Date and thereafter at least annually. Any increase in Annual Base Salary shall not serve to limit or reduce any other obligation to Executive under this Agreement. Annual Base Salary shall not be reduced after any such increase and the term Annual Base Salary as utilized in this Agreement shall refer to Annual Base Salary as so increased.</w:t>
      </w:r>
    </w:p>
    <w:p>
      <w:pPr>
        <w:spacing w:after="0" w:line="132" w:lineRule="exact"/>
        <w:rPr>
          <w:rFonts w:ascii="Times New Roman" w:cs="Times New Roman" w:eastAsia="Times New Roman" w:hAnsi="Times New Roman"/>
          <w:sz w:val="16"/>
          <w:szCs w:val="16"/>
          <w:color w:val="auto"/>
        </w:rPr>
      </w:pPr>
    </w:p>
    <w:p>
      <w:pPr>
        <w:ind w:left="520" w:right="579" w:firstLine="1452"/>
        <w:spacing w:after="0" w:line="239" w:lineRule="auto"/>
        <w:tabs>
          <w:tab w:leader="none" w:pos="245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Annual Bonus</w:t>
      </w:r>
      <w:r>
        <w:rPr>
          <w:rFonts w:ascii="Times New Roman" w:cs="Times New Roman" w:eastAsia="Times New Roman" w:hAnsi="Times New Roman"/>
          <w:sz w:val="16"/>
          <w:szCs w:val="16"/>
          <w:color w:val="auto"/>
        </w:rPr>
        <w:t>. In addition to Annual Base Salary, Executive shall be awarded, for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fiscal year ending during the Employment Period, an annual bonus (the “</w:t>
      </w:r>
      <w:r>
        <w:rPr>
          <w:rFonts w:ascii="Times New Roman" w:cs="Times New Roman" w:eastAsia="Times New Roman" w:hAnsi="Times New Roman"/>
          <w:sz w:val="16"/>
          <w:szCs w:val="16"/>
          <w:b w:val="1"/>
          <w:bCs w:val="1"/>
          <w:color w:val="auto"/>
        </w:rPr>
        <w:t>Annual Bonus</w:t>
      </w:r>
      <w:r>
        <w:rPr>
          <w:rFonts w:ascii="Times New Roman" w:cs="Times New Roman" w:eastAsia="Times New Roman" w:hAnsi="Times New Roman"/>
          <w:sz w:val="16"/>
          <w:szCs w:val="16"/>
          <w:color w:val="auto"/>
        </w:rPr>
        <w:t>”) in cash at least equal to the greater of (A) Executive’s target annual bonus for the fiscal year in which the Effective Date occurs (or (x) if no target annual bonus has been set for such fiscal year, the target annual bonus for the immediately preceding fiscal year, or (y) if Executive has no such target annual bonus, an amount equal to at least 35% of Annual Base Salary) and (B) the average of the annual bonuses paid or payable to Executive in respect of the last three full fiscal years prior to the Effective Date (or, if Executive was first employed by the Company after the beginning of the earliest of such three fiscal years, the average of the bonuses paid or payable under such plan(s) in respect of the fiscal years ending before the Effective Date during which Executive was employed by the Company), in each case, with any bonus that was prorated for a partial fiscal year being annualized (the “</w:t>
      </w:r>
      <w:r>
        <w:rPr>
          <w:rFonts w:ascii="Times New Roman" w:cs="Times New Roman" w:eastAsia="Times New Roman" w:hAnsi="Times New Roman"/>
          <w:sz w:val="16"/>
          <w:szCs w:val="16"/>
          <w:b w:val="1"/>
          <w:bCs w:val="1"/>
          <w:color w:val="auto"/>
        </w:rPr>
        <w:t>Recent Bonus</w:t>
      </w:r>
      <w:r>
        <w:rPr>
          <w:rFonts w:ascii="Times New Roman" w:cs="Times New Roman" w:eastAsia="Times New Roman" w:hAnsi="Times New Roman"/>
          <w:sz w:val="16"/>
          <w:szCs w:val="16"/>
          <w:color w:val="auto"/>
        </w:rPr>
        <w:t>”). Each such Annual Bonus shall be paid no later than two and a half months after the end of the fiscal year for which the Annual Bonus is awarded, unless Executive shall elect to defer the receipt of such Annual Bonus pursuant to an arrangement that meets the requirements of Section 409A of the Code.</w:t>
      </w:r>
    </w:p>
    <w:p>
      <w:pPr>
        <w:spacing w:after="0" w:line="139" w:lineRule="exact"/>
        <w:rPr>
          <w:rFonts w:ascii="Times New Roman" w:cs="Times New Roman" w:eastAsia="Times New Roman" w:hAnsi="Times New Roman"/>
          <w:sz w:val="16"/>
          <w:szCs w:val="16"/>
          <w:color w:val="auto"/>
        </w:rPr>
      </w:pPr>
    </w:p>
    <w:p>
      <w:pPr>
        <w:ind w:left="520" w:right="559" w:firstLine="1452"/>
        <w:spacing w:after="0" w:line="245" w:lineRule="auto"/>
        <w:tabs>
          <w:tab w:leader="none" w:pos="245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Incentive, Savings and Retirement Plans</w:t>
      </w:r>
      <w:r>
        <w:rPr>
          <w:rFonts w:ascii="Times New Roman" w:cs="Times New Roman" w:eastAsia="Times New Roman" w:hAnsi="Times New Roman"/>
          <w:sz w:val="16"/>
          <w:szCs w:val="16"/>
          <w:color w:val="auto"/>
        </w:rPr>
        <w:t>. During the Employment Period, Executive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entitled to participate in all incentive, savings and retirement plans, practices, policies and programs applicable generally to other peer executives of the Company and its Affiliates, but in no event shall such plans, practices, policies and programs provide Executive with incentive opportunities (measured with respect to both regular and special incentive opportunities, to the extent, if any,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467360</wp:posOffset>
            </wp:positionV>
            <wp:extent cx="50552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799"/>
        <w:spacing w:after="0" w:line="244" w:lineRule="auto"/>
        <w:rPr>
          <w:sz w:val="20"/>
          <w:szCs w:val="20"/>
          <w:color w:val="auto"/>
        </w:rPr>
      </w:pPr>
      <w:r>
        <w:rPr>
          <w:rFonts w:ascii="Times New Roman" w:cs="Times New Roman" w:eastAsia="Times New Roman" w:hAnsi="Times New Roman"/>
          <w:sz w:val="16"/>
          <w:szCs w:val="16"/>
          <w:color w:val="auto"/>
        </w:rPr>
        <w:t>distinction is applicable), savings opportunities and retirement benefit opportunities, in each case, less favorable, in the aggregate, than the most favorable of those provided by the Company and its Affiliates for Executive under such plans, practices, policies and programs as in effect at any time during the 120-day period immediately preceding the Effective Date or if more favorable to Executive, those provided generally at any time after the Effective Date to other peer executives of the Company and its Affiliates.</w:t>
      </w:r>
    </w:p>
    <w:p>
      <w:pPr>
        <w:spacing w:after="0" w:line="131" w:lineRule="exact"/>
        <w:rPr>
          <w:sz w:val="20"/>
          <w:szCs w:val="20"/>
          <w:color w:val="auto"/>
        </w:rPr>
      </w:pPr>
    </w:p>
    <w:p>
      <w:pPr>
        <w:ind w:left="520" w:right="579" w:firstLine="1452"/>
        <w:spacing w:after="0" w:line="239" w:lineRule="auto"/>
        <w:tabs>
          <w:tab w:leader="none" w:pos="245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Welfare and Insurance Benefit Plans</w:t>
      </w:r>
      <w:r>
        <w:rPr>
          <w:rFonts w:ascii="Times New Roman" w:cs="Times New Roman" w:eastAsia="Times New Roman" w:hAnsi="Times New Roman"/>
          <w:sz w:val="16"/>
          <w:szCs w:val="16"/>
          <w:color w:val="auto"/>
        </w:rPr>
        <w:t>. During the Employment Period, Executive and/or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family, as the case may be, shall be eligible for participation in and shall receive all benefits under welfare and insurance benefit plans, practices, policies and programs provided by the Company and its Affiliates (including medical, prescription, dental, disability, salary continuance, employee life, group life, accidental death and travel accident insurance plans and programs) (“</w:t>
      </w:r>
      <w:r>
        <w:rPr>
          <w:rFonts w:ascii="Times New Roman" w:cs="Times New Roman" w:eastAsia="Times New Roman" w:hAnsi="Times New Roman"/>
          <w:sz w:val="16"/>
          <w:szCs w:val="16"/>
          <w:b w:val="1"/>
          <w:bCs w:val="1"/>
          <w:color w:val="auto"/>
        </w:rPr>
        <w:t>Company Welfare Benefit Plans</w:t>
      </w:r>
      <w:r>
        <w:rPr>
          <w:rFonts w:ascii="Times New Roman" w:cs="Times New Roman" w:eastAsia="Times New Roman" w:hAnsi="Times New Roman"/>
          <w:sz w:val="16"/>
          <w:szCs w:val="16"/>
          <w:color w:val="auto"/>
        </w:rPr>
        <w:t>”) to the extent applicable generally to other peer executives of the Company and its Affiliates, but if the Company Welfare Benefit Plans provide Executive with benefits that are less favorable, in the aggregate, than the most favorable of such plans, practices, policies and programs in effect for Executive at any time during the 120-day period immediately preceding the Effective Date or, if more favorable to Executive, those provided generally at any time after the Effective Date (the “</w:t>
      </w:r>
      <w:r>
        <w:rPr>
          <w:rFonts w:ascii="Times New Roman" w:cs="Times New Roman" w:eastAsia="Times New Roman" w:hAnsi="Times New Roman"/>
          <w:sz w:val="16"/>
          <w:szCs w:val="16"/>
          <w:b w:val="1"/>
          <w:bCs w:val="1"/>
          <w:color w:val="auto"/>
        </w:rPr>
        <w:t>Former Company Welfare Benefit Plans</w:t>
      </w:r>
      <w:r>
        <w:rPr>
          <w:rFonts w:ascii="Times New Roman" w:cs="Times New Roman" w:eastAsia="Times New Roman" w:hAnsi="Times New Roman"/>
          <w:sz w:val="16"/>
          <w:szCs w:val="16"/>
          <w:color w:val="auto"/>
        </w:rPr>
        <w:t>”), the Company shall provide Executive with supplemental arrangements (such as individual insurance coverage purchased by the Company for Executive) such that the Company Welfare Benefit Plans together with such supplemental arrangements provide Executive with benefits that are at least as favorable, in the aggregate, as those provided by the Former Company Welfare Benefit Plans.</w:t>
      </w:r>
    </w:p>
    <w:p>
      <w:pPr>
        <w:spacing w:after="0" w:line="137" w:lineRule="exact"/>
        <w:rPr>
          <w:rFonts w:ascii="Times New Roman" w:cs="Times New Roman" w:eastAsia="Times New Roman" w:hAnsi="Times New Roman"/>
          <w:sz w:val="16"/>
          <w:szCs w:val="16"/>
          <w:color w:val="auto"/>
        </w:rPr>
      </w:pPr>
    </w:p>
    <w:p>
      <w:pPr>
        <w:ind w:left="520" w:right="599" w:firstLine="1452"/>
        <w:spacing w:after="0" w:line="245" w:lineRule="auto"/>
        <w:tabs>
          <w:tab w:leader="none" w:pos="245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Expenses</w:t>
      </w:r>
      <w:r>
        <w:rPr>
          <w:rFonts w:ascii="Times New Roman" w:cs="Times New Roman" w:eastAsia="Times New Roman" w:hAnsi="Times New Roman"/>
          <w:sz w:val="16"/>
          <w:szCs w:val="16"/>
          <w:color w:val="auto"/>
        </w:rPr>
        <w:t>. During the Employment Period, Executive shall be entitled to receive prompt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reimbursement for all reasonable expenses incurred by Executive in accordance with the most favorable policies, practices and procedures of the Company and its Affiliates in effect for Executive at any time during the 120-day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39" w:firstLine="1452"/>
        <w:spacing w:after="0" w:line="245" w:lineRule="auto"/>
        <w:tabs>
          <w:tab w:leader="none" w:pos="245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Fringe Benefits</w:t>
      </w:r>
      <w:r>
        <w:rPr>
          <w:rFonts w:ascii="Times New Roman" w:cs="Times New Roman" w:eastAsia="Times New Roman" w:hAnsi="Times New Roman"/>
          <w:sz w:val="16"/>
          <w:szCs w:val="16"/>
          <w:color w:val="auto"/>
        </w:rPr>
        <w:t>. During the Employment Period, Executive shall be entitled to fringe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and, if applicable, use of an automobile and payment of related expenses, in accordance with the most favorable plans, practices, programs and policies of the Company and its Affiliates in effect for Executive at any time during the 120-day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79" w:firstLine="1452"/>
        <w:spacing w:after="0" w:line="248" w:lineRule="auto"/>
        <w:tabs>
          <w:tab w:leader="none" w:pos="245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Office and Support Staff</w:t>
      </w:r>
      <w:r>
        <w:rPr>
          <w:rFonts w:ascii="Times New Roman" w:cs="Times New Roman" w:eastAsia="Times New Roman" w:hAnsi="Times New Roman"/>
          <w:sz w:val="16"/>
          <w:szCs w:val="16"/>
          <w:color w:val="auto"/>
        </w:rPr>
        <w:t>. During the Employment Period, Executive shall be entitled to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 or offices of a size and with furnishings and other appointments, and to personal secretarial and other assistance, at least equal to the most favorable of the foregoing provided to Executive by the Company and its Affiliates at any time during the 120-day period immediately preceding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465455</wp:posOffset>
            </wp:positionV>
            <wp:extent cx="50552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699"/>
        <w:spacing w:after="0" w:line="270" w:lineRule="auto"/>
        <w:rPr>
          <w:sz w:val="20"/>
          <w:szCs w:val="20"/>
          <w:color w:val="auto"/>
        </w:rPr>
      </w:pPr>
      <w:r>
        <w:rPr>
          <w:rFonts w:ascii="Times New Roman" w:cs="Times New Roman" w:eastAsia="Times New Roman" w:hAnsi="Times New Roman"/>
          <w:sz w:val="16"/>
          <w:szCs w:val="16"/>
          <w:color w:val="auto"/>
        </w:rPr>
        <w:t>Date or, if more favorable to Executive, as provided generally at any time thereafter with respect to other peer executives of the Company and its Affiliates.</w:t>
      </w:r>
    </w:p>
    <w:p>
      <w:pPr>
        <w:spacing w:after="0" w:line="108" w:lineRule="exact"/>
        <w:rPr>
          <w:sz w:val="20"/>
          <w:szCs w:val="20"/>
          <w:color w:val="auto"/>
        </w:rPr>
      </w:pPr>
    </w:p>
    <w:p>
      <w:pPr>
        <w:ind w:left="520" w:right="659" w:firstLine="1452"/>
        <w:spacing w:after="0" w:line="245" w:lineRule="auto"/>
        <w:tabs>
          <w:tab w:leader="none" w:pos="245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Vacation</w:t>
      </w:r>
      <w:r>
        <w:rPr>
          <w:rFonts w:ascii="Times New Roman" w:cs="Times New Roman" w:eastAsia="Times New Roman" w:hAnsi="Times New Roman"/>
          <w:sz w:val="16"/>
          <w:szCs w:val="16"/>
          <w:color w:val="auto"/>
        </w:rPr>
        <w:t>. During the Employment Period, Executive shall be entitled to paid vacation,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case in accordance with the most favorable plans, policies, programs and practices of the Company and its Affiliates as in effect for Executive at any time during the 365-day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39" w:firstLine="968"/>
        <w:spacing w:after="0"/>
        <w:tabs>
          <w:tab w:leader="none" w:pos="197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Termination of Employment</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Death or Disability</w:t>
      </w:r>
      <w:r>
        <w:rPr>
          <w:rFonts w:ascii="Times New Roman" w:cs="Times New Roman" w:eastAsia="Times New Roman" w:hAnsi="Times New Roman"/>
          <w:sz w:val="16"/>
          <w:szCs w:val="16"/>
          <w:color w:val="auto"/>
        </w:rPr>
        <w:t>. The Executive’s employment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 automatically upon Executive’s death during the Employment Period. If the Company determines in good faith that the Disability of Executive has occurred during the Employment Period (pursuant to the definition of Disability set forth below), it may give to Executive written notice in accordance with Section 11(b) of its intention to terminate Executive’s employment. In such event, Executive’s employment with the Company shall terminate effective on the 30th day after receipt of such notice by Executive (the “</w:t>
      </w:r>
      <w:r>
        <w:rPr>
          <w:rFonts w:ascii="Times New Roman" w:cs="Times New Roman" w:eastAsia="Times New Roman" w:hAnsi="Times New Roman"/>
          <w:sz w:val="16"/>
          <w:szCs w:val="16"/>
          <w:b w:val="1"/>
          <w:bCs w:val="1"/>
          <w:color w:val="auto"/>
        </w:rPr>
        <w:t>Disability Effective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16"/>
          <w:szCs w:val="16"/>
          <w:b w:val="1"/>
          <w:bCs w:val="1"/>
          <w:color w:val="auto"/>
        </w:rPr>
        <w:t>Disability</w:t>
      </w:r>
      <w:r>
        <w:rPr>
          <w:rFonts w:ascii="Times New Roman" w:cs="Times New Roman" w:eastAsia="Times New Roman" w:hAnsi="Times New Roman"/>
          <w:sz w:val="16"/>
          <w:szCs w:val="16"/>
          <w:color w:val="auto"/>
        </w:rPr>
        <w:t>” shall mean the absence of Executive from Executive’s duties with the Company on a full-time basis for 180 consecutive business days (or for 180 business days in any consecutive 365 days) as a result of incapacity due to mental or physical illness that is determined to be total and permanent by a physician selected by the Company or its insurers and acceptable to Executive or Executive’s legal representative.</w:t>
      </w:r>
    </w:p>
    <w:p>
      <w:pPr>
        <w:spacing w:after="0" w:line="133" w:lineRule="exact"/>
        <w:rPr>
          <w:sz w:val="20"/>
          <w:szCs w:val="20"/>
          <w:color w:val="auto"/>
        </w:rPr>
      </w:pPr>
    </w:p>
    <w:p>
      <w:pPr>
        <w:ind w:left="520" w:right="619" w:firstLine="968"/>
        <w:spacing w:after="0" w:line="272" w:lineRule="auto"/>
        <w:tabs>
          <w:tab w:leader="none" w:pos="197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Cause</w:t>
      </w:r>
      <w:r>
        <w:rPr>
          <w:rFonts w:ascii="Times New Roman" w:cs="Times New Roman" w:eastAsia="Times New Roman" w:hAnsi="Times New Roman"/>
          <w:sz w:val="16"/>
          <w:szCs w:val="16"/>
          <w:color w:val="auto"/>
        </w:rPr>
        <w:t>. The Company may terminate Executive’s employment during the Employment Period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without Cause. For purposes of this Agreement, “</w:t>
      </w:r>
      <w:r>
        <w:rPr>
          <w:rFonts w:ascii="Times New Roman" w:cs="Times New Roman" w:eastAsia="Times New Roman" w:hAnsi="Times New Roman"/>
          <w:sz w:val="16"/>
          <w:szCs w:val="16"/>
          <w:b w:val="1"/>
          <w:bCs w:val="1"/>
          <w:color w:val="auto"/>
        </w:rPr>
        <w:t>Cause</w:t>
      </w:r>
      <w:r>
        <w:rPr>
          <w:rFonts w:ascii="Times New Roman" w:cs="Times New Roman" w:eastAsia="Times New Roman" w:hAnsi="Times New Roman"/>
          <w:sz w:val="16"/>
          <w:szCs w:val="16"/>
          <w:color w:val="auto"/>
        </w:rPr>
        <w:t>” shall mean:</w:t>
      </w:r>
    </w:p>
    <w:p>
      <w:pPr>
        <w:spacing w:after="0" w:line="108" w:lineRule="exact"/>
        <w:rPr>
          <w:rFonts w:ascii="Times New Roman" w:cs="Times New Roman" w:eastAsia="Times New Roman" w:hAnsi="Times New Roman"/>
          <w:sz w:val="16"/>
          <w:szCs w:val="16"/>
          <w:color w:val="auto"/>
        </w:rPr>
      </w:pPr>
    </w:p>
    <w:p>
      <w:pPr>
        <w:ind w:left="1000" w:right="699" w:firstLine="972"/>
        <w:spacing w:after="0" w:line="243" w:lineRule="auto"/>
        <w:tabs>
          <w:tab w:leader="none" w:pos="2451"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willful and continued failure of Executive to perform substantially Executive’s duties with the Company or one of its Affiliates (other than any such failure resulting from incapacity due to physical or mental illness or following Executive’s delivery of a Notice of Termination for Good Reason), after a written demand for substantial performance is delivered to Executive by the Board or the Chief Executive Officer of the Company that specifically identifies the manner in which the Board or Chief Executive Officer of the Company believes that Executive has not substantially performed Executive’s duties, or</w:t>
      </w:r>
    </w:p>
    <w:p>
      <w:pPr>
        <w:spacing w:after="0" w:line="131" w:lineRule="exact"/>
        <w:rPr>
          <w:rFonts w:ascii="Times New Roman" w:cs="Times New Roman" w:eastAsia="Times New Roman" w:hAnsi="Times New Roman"/>
          <w:sz w:val="16"/>
          <w:szCs w:val="16"/>
          <w:color w:val="auto"/>
        </w:rPr>
      </w:pPr>
    </w:p>
    <w:p>
      <w:pPr>
        <w:ind w:left="1000" w:right="759" w:firstLine="972"/>
        <w:spacing w:after="0" w:line="270" w:lineRule="auto"/>
        <w:tabs>
          <w:tab w:leader="none" w:pos="2451"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willful engaging by Executive in illegal conduct or gross misconduct that is materially and demonstrably injurious to the Company.</w:t>
      </w:r>
    </w:p>
    <w:p>
      <w:pPr>
        <w:spacing w:after="0" w:line="110" w:lineRule="exact"/>
        <w:rPr>
          <w:sz w:val="20"/>
          <w:szCs w:val="20"/>
          <w:color w:val="auto"/>
        </w:rPr>
      </w:pPr>
    </w:p>
    <w:p>
      <w:pPr>
        <w:ind w:left="1000" w:right="579"/>
        <w:spacing w:after="0" w:line="253" w:lineRule="auto"/>
        <w:rPr>
          <w:sz w:val="20"/>
          <w:szCs w:val="20"/>
          <w:color w:val="auto"/>
        </w:rPr>
      </w:pPr>
      <w:r>
        <w:rPr>
          <w:rFonts w:ascii="Times New Roman" w:cs="Times New Roman" w:eastAsia="Times New Roman" w:hAnsi="Times New Roman"/>
          <w:sz w:val="16"/>
          <w:szCs w:val="16"/>
          <w:color w:val="auto"/>
        </w:rPr>
        <w:t>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Any act, or failure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360045</wp:posOffset>
            </wp:positionV>
            <wp:extent cx="50552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1000" w:right="539"/>
        <w:spacing w:after="0" w:line="239" w:lineRule="auto"/>
        <w:rPr>
          <w:sz w:val="20"/>
          <w:szCs w:val="20"/>
          <w:color w:val="auto"/>
        </w:rPr>
      </w:pPr>
      <w:r>
        <w:rPr>
          <w:rFonts w:ascii="Times New Roman" w:cs="Times New Roman" w:eastAsia="Times New Roman" w:hAnsi="Times New Roman"/>
          <w:sz w:val="16"/>
          <w:szCs w:val="16"/>
          <w:color w:val="auto"/>
        </w:rPr>
        <w:t>based upon authority given pursuant to a resolution duly adopted by the Board, or if the Company is not the ultimate parent entity of the Company and is not publicly traded, the board of directors (or, for a non-corporate entity, equivalent governing body) of the ultimate parent of the Company (the “</w:t>
      </w:r>
      <w:r>
        <w:rPr>
          <w:rFonts w:ascii="Times New Roman" w:cs="Times New Roman" w:eastAsia="Times New Roman" w:hAnsi="Times New Roman"/>
          <w:sz w:val="16"/>
          <w:szCs w:val="16"/>
          <w:b w:val="1"/>
          <w:bCs w:val="1"/>
          <w:color w:val="auto"/>
        </w:rPr>
        <w:t>Applicable Board</w:t>
      </w:r>
      <w:r>
        <w:rPr>
          <w:rFonts w:ascii="Times New Roman" w:cs="Times New Roman" w:eastAsia="Times New Roman" w:hAnsi="Times New Roman"/>
          <w:sz w:val="16"/>
          <w:szCs w:val="16"/>
          <w:color w:val="auto"/>
        </w:rPr>
        <w:t>”) or upon the instructions of the Chief Executive Officer of the Company or a senior officer of the Company and its Affiliates or based upon the advice of counsel for the Company and its Affiliates shall be conclusively presumed to be done, or omitted to be done, by Executive in good faith and in the best interests of the Company and its Affiliates. The cessation of employment of Executive shall not be deemed to be for Cause unless and until there shall have been delivered to Executive a copy of a resolution duly adopted by the affirmative vote of not less than three-quarters of the entire membership of the Applicable Board (excluding Executive if Executive is a member of the Applicable Board) at a meeting of the Applicable Board called and held for such purpose (after reasonable notice is provided to Executive and Executive is given an opportunity, together with counsel for Executive, to be heard before the Applicable Board), finding that, in the good faith opinion of the Applicable Board, Executive is guilty of the conduct described in subparagraph (i) or (ii) above, and specifying the particulars thereof in detail.</w:t>
      </w:r>
    </w:p>
    <w:p>
      <w:pPr>
        <w:spacing w:after="0" w:line="136" w:lineRule="exact"/>
        <w:rPr>
          <w:sz w:val="20"/>
          <w:szCs w:val="20"/>
          <w:color w:val="auto"/>
        </w:rPr>
      </w:pPr>
    </w:p>
    <w:p>
      <w:pPr>
        <w:ind w:left="520" w:right="639" w:firstLine="968"/>
        <w:spacing w:after="0" w:line="248" w:lineRule="auto"/>
        <w:tabs>
          <w:tab w:leader="none" w:pos="197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Good Reason</w:t>
      </w:r>
      <w:r>
        <w:rPr>
          <w:rFonts w:ascii="Times New Roman" w:cs="Times New Roman" w:eastAsia="Times New Roman" w:hAnsi="Times New Roman"/>
          <w:sz w:val="16"/>
          <w:szCs w:val="16"/>
          <w:color w:val="auto"/>
        </w:rPr>
        <w:t>. The Executive’s employment may be terminated during the Employment Period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for Good Reason or by Executive voluntarily without Good Reason. “</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means actions taken by the Company resulting in a material negative change in the employment relationship. For these purposes, a “material negative change in the employment relationship” shall include:</w:t>
      </w:r>
    </w:p>
    <w:p>
      <w:pPr>
        <w:spacing w:after="0" w:line="128" w:lineRule="exact"/>
        <w:rPr>
          <w:rFonts w:ascii="Times New Roman" w:cs="Times New Roman" w:eastAsia="Times New Roman" w:hAnsi="Times New Roman"/>
          <w:sz w:val="16"/>
          <w:szCs w:val="16"/>
          <w:color w:val="auto"/>
        </w:rPr>
      </w:pPr>
    </w:p>
    <w:p>
      <w:pPr>
        <w:ind w:left="520" w:right="559" w:firstLine="1452"/>
        <w:spacing w:after="0" w:line="247" w:lineRule="auto"/>
        <w:tabs>
          <w:tab w:leader="none" w:pos="245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to Executive of duties materially inconsistent with Executive’s position (including status, offices, titles and reporting requirements), authority, duties or responsibilities as contemplated by Section 3(a), or a material diminution in such position, authority, duties or responsibilities or a material diminution in the budget over which Executive retains authority;</w:t>
      </w:r>
    </w:p>
    <w:p>
      <w:pPr>
        <w:spacing w:after="0" w:line="129" w:lineRule="exact"/>
        <w:rPr>
          <w:rFonts w:ascii="Times New Roman" w:cs="Times New Roman" w:eastAsia="Times New Roman" w:hAnsi="Times New Roman"/>
          <w:sz w:val="16"/>
          <w:szCs w:val="16"/>
          <w:color w:val="auto"/>
        </w:rPr>
      </w:pPr>
    </w:p>
    <w:p>
      <w:pPr>
        <w:ind w:left="520" w:right="559" w:firstLine="1452"/>
        <w:spacing w:after="0" w:line="253" w:lineRule="auto"/>
        <w:tabs>
          <w:tab w:leader="none" w:pos="245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diminution in the authorities, duties or responsibilities of the person to whom Executive is required to report, including a requirement that Executive report to an officer or employee instead of reporting directly to the Applicable Board;</w:t>
      </w:r>
    </w:p>
    <w:p>
      <w:pPr>
        <w:spacing w:after="0" w:line="123" w:lineRule="exact"/>
        <w:rPr>
          <w:rFonts w:ascii="Times New Roman" w:cs="Times New Roman" w:eastAsia="Times New Roman" w:hAnsi="Times New Roman"/>
          <w:sz w:val="16"/>
          <w:szCs w:val="16"/>
          <w:color w:val="auto"/>
        </w:rPr>
      </w:pPr>
    </w:p>
    <w:p>
      <w:pPr>
        <w:jc w:val="both"/>
        <w:ind w:left="520" w:right="859" w:firstLine="1452"/>
        <w:spacing w:after="0" w:line="247" w:lineRule="auto"/>
        <w:tabs>
          <w:tab w:leader="none" w:pos="245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of (A) any element of the compensation and benefits required to be provided to Executive in accordance with any of the provisions of Section 3(b); (B) Executive’s aggregate annual cash compensation, that for this purpose shall include Base Salary and Annual Bonus; or (C) the benefits, in the aggregate, required to be provided to Executive in accordance with the provisions of this Agreement;</w:t>
      </w:r>
    </w:p>
    <w:p>
      <w:pPr>
        <w:spacing w:after="0" w:line="129" w:lineRule="exact"/>
        <w:rPr>
          <w:rFonts w:ascii="Times New Roman" w:cs="Times New Roman" w:eastAsia="Times New Roman" w:hAnsi="Times New Roman"/>
          <w:sz w:val="16"/>
          <w:szCs w:val="16"/>
          <w:color w:val="auto"/>
        </w:rPr>
      </w:pPr>
    </w:p>
    <w:p>
      <w:pPr>
        <w:jc w:val="both"/>
        <w:ind w:left="520" w:right="799" w:firstLine="1452"/>
        <w:spacing w:after="0" w:line="253" w:lineRule="auto"/>
        <w:tabs>
          <w:tab w:leader="none" w:pos="2455"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requiring Executive (A) to be based at any office or location other than as provided in Section 3(a)(i)(B) resulting in a material increase in Executive’s commute to and from Executive’s primary residence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2" w:name="page123"/>
    <w:bookmarkEnd w:id="122"/>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39"/>
        <w:spacing w:after="0" w:line="253" w:lineRule="auto"/>
        <w:rPr>
          <w:sz w:val="20"/>
          <w:szCs w:val="20"/>
          <w:color w:val="auto"/>
        </w:rPr>
      </w:pPr>
      <w:r>
        <w:rPr>
          <w:rFonts w:ascii="Times New Roman" w:cs="Times New Roman" w:eastAsia="Times New Roman" w:hAnsi="Times New Roman"/>
          <w:sz w:val="16"/>
          <w:szCs w:val="16"/>
          <w:color w:val="auto"/>
        </w:rPr>
        <w:t>purpose an increase in Executive’s commute by 25 miles or more shall be deemed material); or (B) to be based at a location other than the principal executive offices of the Company if Executive was employed at such location immediately preceding the Effective Date; or</w:t>
      </w:r>
    </w:p>
    <w:p>
      <w:pPr>
        <w:spacing w:after="0" w:line="124" w:lineRule="exact"/>
        <w:rPr>
          <w:sz w:val="20"/>
          <w:szCs w:val="20"/>
          <w:color w:val="auto"/>
        </w:rPr>
      </w:pPr>
    </w:p>
    <w:p>
      <w:pPr>
        <w:ind w:left="520" w:right="1079" w:firstLine="1452"/>
        <w:spacing w:after="0" w:line="270" w:lineRule="auto"/>
        <w:tabs>
          <w:tab w:leader="none" w:pos="245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action or inaction that constitutes a material breach by the Company of this Agreement, including any failure by the Company to comply with and satisfy Section 10(c).</w:t>
      </w:r>
    </w:p>
    <w:p>
      <w:pPr>
        <w:spacing w:after="0" w:line="110" w:lineRule="exact"/>
        <w:rPr>
          <w:sz w:val="20"/>
          <w:szCs w:val="20"/>
          <w:color w:val="auto"/>
        </w:rPr>
      </w:pPr>
    </w:p>
    <w:p>
      <w:pPr>
        <w:ind w:left="520" w:right="559"/>
        <w:spacing w:after="0" w:line="239" w:lineRule="auto"/>
        <w:rPr>
          <w:sz w:val="20"/>
          <w:szCs w:val="20"/>
          <w:color w:val="auto"/>
        </w:rPr>
      </w:pPr>
      <w:r>
        <w:rPr>
          <w:rFonts w:ascii="Times New Roman" w:cs="Times New Roman" w:eastAsia="Times New Roman" w:hAnsi="Times New Roman"/>
          <w:sz w:val="16"/>
          <w:szCs w:val="16"/>
          <w:color w:val="auto"/>
        </w:rPr>
        <w:t>In order to invoke a termination for Good Reason, Executive shall provide written notice to the Company of the existence of one or more of the conditions described in clauses (i) through (v) within 90 days following Executive’s knowledge of the initial existence of such condition or conditions, specifying in reasonable detail the conditions constituting Good Reason, and the Company shall have 30 days following receipt of such written notice (the “</w:t>
      </w:r>
      <w:r>
        <w:rPr>
          <w:rFonts w:ascii="Times New Roman" w:cs="Times New Roman" w:eastAsia="Times New Roman" w:hAnsi="Times New Roman"/>
          <w:sz w:val="16"/>
          <w:szCs w:val="16"/>
          <w:b w:val="1"/>
          <w:bCs w:val="1"/>
          <w:color w:val="auto"/>
        </w:rPr>
        <w:t>Cure Period</w:t>
      </w:r>
      <w:r>
        <w:rPr>
          <w:rFonts w:ascii="Times New Roman" w:cs="Times New Roman" w:eastAsia="Times New Roman" w:hAnsi="Times New Roman"/>
          <w:sz w:val="16"/>
          <w:szCs w:val="16"/>
          <w:color w:val="auto"/>
        </w:rPr>
        <w:t>”) during which it may remedy the condition. In the event that the Company fails to remedy the condition constituting Good Reason during the applicable Cure Period, Executive’s “separation from service” (within the meaning of Section 409A of the Code) must occur, if at all, within two years following the initial existence of such condition or conditions in order for such termination as a result of such condition to constitute a termination for Good Reason. The Executive’s mental or physical incapacity following the occurrence of an event described above in clauses (i) through (v) shall not affect Executive’s ability to terminate employment for Good Reason and Executive’s death following delivery of a Notice of Termination for Good Reason shall not affect Executive’s estate’s entitlement to severance payments benefits provided hereunder upon a termination of employment for Good Reason.</w:t>
      </w:r>
    </w:p>
    <w:p>
      <w:pPr>
        <w:spacing w:after="0" w:line="137" w:lineRule="exact"/>
        <w:rPr>
          <w:sz w:val="20"/>
          <w:szCs w:val="20"/>
          <w:color w:val="auto"/>
        </w:rPr>
      </w:pPr>
    </w:p>
    <w:p>
      <w:pPr>
        <w:ind w:left="520" w:right="699" w:firstLine="968"/>
        <w:spacing w:after="0" w:line="245" w:lineRule="auto"/>
        <w:tabs>
          <w:tab w:leader="none" w:pos="197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Incapacity</w:t>
      </w:r>
      <w:r>
        <w:rPr>
          <w:rFonts w:ascii="Times New Roman" w:cs="Times New Roman" w:eastAsia="Times New Roman" w:hAnsi="Times New Roman"/>
          <w:sz w:val="16"/>
          <w:szCs w:val="16"/>
          <w:color w:val="auto"/>
        </w:rPr>
        <w:t>. The Executive’s mental or physical incapacity following the occurrence of an event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described above in clauses (i) through (v) of Section 4(c) shall not affect Executive’s ability to terminate employment for Good Reason and Executive’s death following delivery of a Notice of Termination for Good Reason shall not affect the entitlement of the estate of Executive to severance payments or benefits provided hereunder upon a termination of employment for Good Reason.</w:t>
      </w:r>
    </w:p>
    <w:p>
      <w:pPr>
        <w:spacing w:after="0" w:line="129" w:lineRule="exact"/>
        <w:rPr>
          <w:rFonts w:ascii="Times New Roman" w:cs="Times New Roman" w:eastAsia="Times New Roman" w:hAnsi="Times New Roman"/>
          <w:sz w:val="16"/>
          <w:szCs w:val="16"/>
          <w:color w:val="auto"/>
        </w:rPr>
      </w:pPr>
    </w:p>
    <w:p>
      <w:pPr>
        <w:ind w:left="520" w:right="559" w:firstLine="968"/>
        <w:spacing w:after="0"/>
        <w:tabs>
          <w:tab w:leader="none" w:pos="197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 of Termination</w:t>
      </w:r>
      <w:r>
        <w:rPr>
          <w:rFonts w:ascii="Times New Roman" w:cs="Times New Roman" w:eastAsia="Times New Roman" w:hAnsi="Times New Roman"/>
          <w:sz w:val="16"/>
          <w:szCs w:val="16"/>
          <w:color w:val="auto"/>
        </w:rPr>
        <w:t>. Any termination of employment by the Company for Cause, or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for Good Reason, shall be communicated by Notice of Termination to the other party hereto given in accordance with Section 11(b). For purposes of this Agreement, a “</w:t>
      </w:r>
      <w:r>
        <w:rPr>
          <w:rFonts w:ascii="Times New Roman" w:cs="Times New Roman" w:eastAsia="Times New Roman" w:hAnsi="Times New Roman"/>
          <w:sz w:val="16"/>
          <w:szCs w:val="16"/>
          <w:b w:val="1"/>
          <w:bCs w:val="1"/>
          <w:color w:val="auto"/>
        </w:rPr>
        <w:t>Notice of Termination</w:t>
      </w:r>
      <w:r>
        <w:rPr>
          <w:rFonts w:ascii="Times New Roman" w:cs="Times New Roman" w:eastAsia="Times New Roman" w:hAnsi="Times New Roman"/>
          <w:sz w:val="16"/>
          <w:szCs w:val="16"/>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below) is other than the date of receipt of such notice, specifies the Date of Termination (which date shall be not more than 30 days after the giving of such notice) (subject to the Company’s right to cure in the case of a resignation for Good Reason). The failure by Executive or the Company to set forth in the Notice of Termination any fact or circumstance that contributes to a showing of Good Reason or Cause shall not waive any right of Executive or the Company, respectively, hereunder or preclude Executive or the Company,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586740</wp:posOffset>
            </wp:positionV>
            <wp:extent cx="50552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from asserting such fact or circumstance in enforcing Executive’s or the Company’s rights hereunder.</w:t>
      </w:r>
    </w:p>
    <w:p>
      <w:pPr>
        <w:spacing w:after="0" w:line="157" w:lineRule="exact"/>
        <w:rPr>
          <w:sz w:val="20"/>
          <w:szCs w:val="20"/>
          <w:color w:val="auto"/>
        </w:rPr>
      </w:pPr>
    </w:p>
    <w:p>
      <w:pPr>
        <w:ind w:left="520" w:right="619" w:firstLine="968"/>
        <w:spacing w:after="0" w:line="242" w:lineRule="auto"/>
        <w:tabs>
          <w:tab w:leader="none" w:pos="197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Date of Termination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Date of Termination</w:t>
      </w:r>
      <w:r>
        <w:rPr>
          <w:rFonts w:ascii="Times New Roman" w:cs="Times New Roman" w:eastAsia="Times New Roman" w:hAnsi="Times New Roman"/>
          <w:sz w:val="16"/>
          <w:szCs w:val="16"/>
          <w:color w:val="auto"/>
        </w:rPr>
        <w:t>” means (i) if Executive’s employment is terminated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Company for Cause, or by Executive for Good Reason, the date of receipt of the Notice of Termination or any later date specified therein, as the case may be, (ii) if Executive’s employment is terminated by the Company other than for Cause or Disability, the date on which the Company notifies Executive of such termination, (iii) if Executive resigns without Good Reason, the date on which Executive notifies the Company of such termination and (iv) if Executive’s employment is terminated by reason of death or Disability, the date of death of Executive or the Disability Effective Date, as the case may be.</w:t>
      </w:r>
    </w:p>
    <w:p>
      <w:pPr>
        <w:spacing w:after="0" w:line="132" w:lineRule="exact"/>
        <w:rPr>
          <w:sz w:val="20"/>
          <w:szCs w:val="20"/>
          <w:color w:val="auto"/>
        </w:rPr>
      </w:pPr>
    </w:p>
    <w:p>
      <w:pPr>
        <w:ind w:left="520" w:right="619" w:firstLine="968"/>
        <w:spacing w:after="0" w:line="248" w:lineRule="auto"/>
        <w:tabs>
          <w:tab w:leader="none" w:pos="197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Obligations of the Company upon Termination</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By Executive for Good Reason;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Company Other Than for Cause, Death or Disability</w:t>
      </w:r>
      <w:r>
        <w:rPr>
          <w:rFonts w:ascii="Times New Roman" w:cs="Times New Roman" w:eastAsia="Times New Roman" w:hAnsi="Times New Roman"/>
          <w:sz w:val="16"/>
          <w:szCs w:val="16"/>
          <w:color w:val="auto"/>
        </w:rPr>
        <w:t>. If, during the Employment Period, the Company shall terminate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employment other than for Cause, Death or Disability or Executive shall terminate employment for Good Reason:</w:t>
      </w:r>
    </w:p>
    <w:p>
      <w:pPr>
        <w:spacing w:after="0" w:line="128" w:lineRule="exact"/>
        <w:rPr>
          <w:rFonts w:ascii="Times New Roman" w:cs="Times New Roman" w:eastAsia="Times New Roman" w:hAnsi="Times New Roman"/>
          <w:sz w:val="16"/>
          <w:szCs w:val="16"/>
          <w:color w:val="auto"/>
        </w:rPr>
      </w:pPr>
    </w:p>
    <w:p>
      <w:pPr>
        <w:ind w:left="1000" w:right="559" w:firstLine="972"/>
        <w:spacing w:after="0" w:line="270" w:lineRule="auto"/>
        <w:tabs>
          <w:tab w:leader="none" w:pos="2451"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11(l), the Company shall pay to Executive in a lump sum in cash within 30 days after the Date of Termination the aggregate of the following amounts:</w:t>
      </w:r>
    </w:p>
    <w:p>
      <w:pPr>
        <w:spacing w:after="0" w:line="110" w:lineRule="exact"/>
        <w:rPr>
          <w:rFonts w:ascii="Times New Roman" w:cs="Times New Roman" w:eastAsia="Times New Roman" w:hAnsi="Times New Roman"/>
          <w:sz w:val="16"/>
          <w:szCs w:val="16"/>
          <w:color w:val="auto"/>
        </w:rPr>
      </w:pPr>
    </w:p>
    <w:p>
      <w:pPr>
        <w:jc w:val="both"/>
        <w:ind w:left="1480" w:right="539" w:firstLine="976"/>
        <w:spacing w:after="0" w:line="239" w:lineRule="auto"/>
        <w:tabs>
          <w:tab w:leader="none" w:pos="2931"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(1) Executive’s Annual Base Salary through the Date of Termination to the extent not theretofore paid, (2) Executive’s business expenses that are reimbursable pursuant to Section 3(b)(v) but have not been reimbursed by the Company as of the Date of Termination; (3) Executive’s Annual Bonus for the fiscal year immediately preceding the fiscal year in which the Date of Termination occurs, if such bonus has been determined but not paid as of the Date of Termination; (4) any accrued vacation pay to the extent not theretofore paid (the sum of the amounts described in subclauses (1), (2), (3) and (4), the “</w:t>
      </w:r>
      <w:r>
        <w:rPr>
          <w:rFonts w:ascii="Times New Roman" w:cs="Times New Roman" w:eastAsia="Times New Roman" w:hAnsi="Times New Roman"/>
          <w:sz w:val="16"/>
          <w:szCs w:val="16"/>
          <w:b w:val="1"/>
          <w:bCs w:val="1"/>
          <w:color w:val="auto"/>
        </w:rPr>
        <w:t>Accrued Obligations</w:t>
      </w:r>
      <w:r>
        <w:rPr>
          <w:rFonts w:ascii="Times New Roman" w:cs="Times New Roman" w:eastAsia="Times New Roman" w:hAnsi="Times New Roman"/>
          <w:sz w:val="16"/>
          <w:szCs w:val="16"/>
          <w:color w:val="auto"/>
        </w:rPr>
        <w:t>”); and (5) an amount equal to the product of (x) the Recent Bonus and</w:t>
      </w:r>
    </w:p>
    <w:p>
      <w:pPr>
        <w:spacing w:after="0" w:line="5" w:lineRule="exact"/>
        <w:rPr>
          <w:rFonts w:ascii="Times New Roman" w:cs="Times New Roman" w:eastAsia="Times New Roman" w:hAnsi="Times New Roman"/>
          <w:sz w:val="16"/>
          <w:szCs w:val="16"/>
          <w:color w:val="auto"/>
        </w:rPr>
      </w:pPr>
    </w:p>
    <w:p>
      <w:pPr>
        <w:jc w:val="both"/>
        <w:ind w:left="1480" w:right="53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 a fraction, the numerator of which is the number of days in the current fiscal year through the Date of Termination, and the denominator of which is 365 (the “</w:t>
      </w:r>
      <w:r>
        <w:rPr>
          <w:rFonts w:ascii="Times New Roman" w:cs="Times New Roman" w:eastAsia="Times New Roman" w:hAnsi="Times New Roman"/>
          <w:sz w:val="16"/>
          <w:szCs w:val="16"/>
          <w:b w:val="1"/>
          <w:bCs w:val="1"/>
          <w:color w:val="auto"/>
        </w:rPr>
        <w:t>Pro Rata Bonus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Code to defer any portion of the Annual Base Salary or the Annual Bonus described in clauses (1) or (3) above, then for all purposes of this Section 5 (including Sections 5(b) through 5(d)), such deferral election, and the terms of the applicable arrangement shall apply to the same portion of the amount described in such clause (1) or clause (3), and such portion shall not be considered as part of the “Accrued Obligations” but shall instead be an “Other Benefit” (as defined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469900</wp:posOffset>
            </wp:positionV>
            <wp:extent cx="50552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jc w:val="both"/>
        <w:ind w:left="1480" w:right="539" w:firstLine="976"/>
        <w:spacing w:after="0" w:line="245" w:lineRule="auto"/>
        <w:tabs>
          <w:tab w:leader="none" w:pos="293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Annual Base Salary and (y) the greater of the Annual Cash Bonus (at target) in the year of a Change in Control or the average of the Annual Cash Bonus earned by Executive during the three years prior to a Change in Control (including the full value of the Annual Cash Bonus, whether payable in cash or another form); and</w:t>
      </w:r>
    </w:p>
    <w:p>
      <w:pPr>
        <w:spacing w:after="0" w:line="316" w:lineRule="exact"/>
        <w:rPr>
          <w:rFonts w:ascii="Times New Roman" w:cs="Times New Roman" w:eastAsia="Times New Roman" w:hAnsi="Times New Roman"/>
          <w:sz w:val="16"/>
          <w:szCs w:val="16"/>
          <w:color w:val="auto"/>
        </w:rPr>
      </w:pPr>
    </w:p>
    <w:p>
      <w:pPr>
        <w:jc w:val="both"/>
        <w:ind w:left="1480" w:right="539" w:firstLine="976"/>
        <w:spacing w:after="0" w:line="238" w:lineRule="auto"/>
        <w:tabs>
          <w:tab w:leader="none" w:pos="293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w:t>
      </w:r>
      <w:r>
        <w:rPr>
          <w:rFonts w:ascii="Times New Roman" w:cs="Times New Roman" w:eastAsia="Times New Roman" w:hAnsi="Times New Roman"/>
          <w:sz w:val="16"/>
          <w:szCs w:val="16"/>
          <w:b w:val="1"/>
          <w:bCs w:val="1"/>
          <w:color w:val="auto"/>
        </w:rPr>
        <w:t>Savings Plans</w:t>
      </w:r>
      <w:r>
        <w:rPr>
          <w:rFonts w:ascii="Times New Roman" w:cs="Times New Roman" w:eastAsia="Times New Roman" w:hAnsi="Times New Roman"/>
          <w:sz w:val="16"/>
          <w:szCs w:val="16"/>
          <w:color w:val="auto"/>
        </w:rPr>
        <w:t>”) that Executive would receive if Executive’s employment continued for the three year period following the Date of Termination (the “</w:t>
      </w:r>
      <w:r>
        <w:rPr>
          <w:rFonts w:ascii="Times New Roman" w:cs="Times New Roman" w:eastAsia="Times New Roman" w:hAnsi="Times New Roman"/>
          <w:sz w:val="16"/>
          <w:szCs w:val="16"/>
          <w:b w:val="1"/>
          <w:bCs w:val="1"/>
          <w:color w:val="auto"/>
        </w:rPr>
        <w:t>Benefits Period</w:t>
      </w:r>
      <w:r>
        <w:rPr>
          <w:rFonts w:ascii="Times New Roman" w:cs="Times New Roman" w:eastAsia="Times New Roman" w:hAnsi="Times New Roman"/>
          <w:sz w:val="16"/>
          <w:szCs w:val="16"/>
          <w:color w:val="auto"/>
        </w:rPr>
        <w:t>”), assuming for this purpose that (A) Executive is fully vested in the right to receive employer contributions under such plans; (B) Executive’s compensation during each year of the Benefits Period is equal to the Annual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Annual Base Salary and/or Annual Bonus under the Savings Plans that would result in the maximum possible employer contribution; and</w:t>
      </w:r>
    </w:p>
    <w:p>
      <w:pPr>
        <w:spacing w:after="0" w:line="137" w:lineRule="exact"/>
        <w:rPr>
          <w:rFonts w:ascii="Times New Roman" w:cs="Times New Roman" w:eastAsia="Times New Roman" w:hAnsi="Times New Roman"/>
          <w:sz w:val="16"/>
          <w:szCs w:val="16"/>
          <w:color w:val="auto"/>
        </w:rPr>
      </w:pPr>
    </w:p>
    <w:p>
      <w:pPr>
        <w:jc w:val="both"/>
        <w:ind w:left="1480" w:right="539" w:firstLine="976"/>
        <w:spacing w:after="0" w:line="244" w:lineRule="auto"/>
        <w:tabs>
          <w:tab w:leader="none" w:pos="293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468630</wp:posOffset>
            </wp:positionV>
            <wp:extent cx="50552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jc w:val="both"/>
        <w:ind w:left="1480" w:right="539"/>
        <w:spacing w:after="0" w:line="247" w:lineRule="auto"/>
        <w:rPr>
          <w:sz w:val="20"/>
          <w:szCs w:val="20"/>
          <w:color w:val="auto"/>
        </w:rPr>
      </w:pPr>
      <w:r>
        <w:rPr>
          <w:rFonts w:ascii="Times New Roman" w:cs="Times New Roman" w:eastAsia="Times New Roman" w:hAnsi="Times New Roman"/>
          <w:sz w:val="16"/>
          <w:szCs w:val="16"/>
          <w:color w:val="auto"/>
        </w:rPr>
        <w:t>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 and</w:t>
      </w:r>
    </w:p>
    <w:p>
      <w:pPr>
        <w:spacing w:after="0" w:line="129" w:lineRule="exact"/>
        <w:rPr>
          <w:sz w:val="20"/>
          <w:szCs w:val="20"/>
          <w:color w:val="auto"/>
        </w:rPr>
      </w:pPr>
    </w:p>
    <w:p>
      <w:pPr>
        <w:jc w:val="both"/>
        <w:ind w:left="1540" w:right="539" w:firstLine="916"/>
        <w:spacing w:after="0" w:line="243" w:lineRule="auto"/>
        <w:tabs>
          <w:tab w:leader="none" w:pos="2931" w:val="left"/>
        </w:tabs>
        <w:numPr>
          <w:ilvl w:val="2"/>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Executive’s equity awards subject to performance-based vesting (“</w:t>
      </w:r>
      <w:r>
        <w:rPr>
          <w:rFonts w:ascii="Times New Roman" w:cs="Times New Roman" w:eastAsia="Times New Roman" w:hAnsi="Times New Roman"/>
          <w:sz w:val="16"/>
          <w:szCs w:val="16"/>
          <w:b w:val="1"/>
          <w:bCs w:val="1"/>
          <w:color w:val="auto"/>
        </w:rPr>
        <w:t>Performance Awards</w:t>
      </w:r>
      <w:r>
        <w:rPr>
          <w:rFonts w:ascii="Times New Roman" w:cs="Times New Roman" w:eastAsia="Times New Roman" w:hAnsi="Times New Roman"/>
          <w:sz w:val="16"/>
          <w:szCs w:val="16"/>
          <w:color w:val="auto"/>
        </w:rPr>
        <w:t>”) will become fully vested as of the date of termination of employment: (i) based on actual performance measured as of the most recent completed fiscal quarter, and (ii) if actual performance cannot be determined, all Performance Awards will vest as to all shares subject to an outstanding Performance Award at the target performance level; and all of the Executive’s equity awards subject to time-based vesting will become fully vested as of the date of termination of employment; and</w:t>
      </w:r>
    </w:p>
    <w:p>
      <w:pPr>
        <w:spacing w:after="0" w:line="131" w:lineRule="exact"/>
        <w:rPr>
          <w:rFonts w:ascii="Times New Roman" w:cs="Times New Roman" w:eastAsia="Times New Roman" w:hAnsi="Times New Roman"/>
          <w:sz w:val="16"/>
          <w:szCs w:val="16"/>
          <w:color w:val="auto"/>
        </w:rPr>
      </w:pPr>
    </w:p>
    <w:p>
      <w:pPr>
        <w:ind w:left="520" w:right="539" w:firstLine="1452"/>
        <w:spacing w:after="0" w:line="247" w:lineRule="auto"/>
        <w:tabs>
          <w:tab w:leader="none" w:pos="2455"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29" w:lineRule="exact"/>
        <w:rPr>
          <w:rFonts w:ascii="Times New Roman" w:cs="Times New Roman" w:eastAsia="Times New Roman" w:hAnsi="Times New Roman"/>
          <w:sz w:val="16"/>
          <w:szCs w:val="16"/>
          <w:color w:val="auto"/>
        </w:rPr>
      </w:pPr>
    </w:p>
    <w:p>
      <w:pPr>
        <w:ind w:left="520" w:right="539" w:firstLine="1452"/>
        <w:spacing w:after="0" w:line="242" w:lineRule="auto"/>
        <w:tabs>
          <w:tab w:leader="none" w:pos="2455"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in the last sentence of Section 6,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w:t>
      </w:r>
      <w:r>
        <w:rPr>
          <w:rFonts w:ascii="Times New Roman" w:cs="Times New Roman" w:eastAsia="Times New Roman" w:hAnsi="Times New Roman"/>
          <w:sz w:val="16"/>
          <w:szCs w:val="16"/>
          <w:b w:val="1"/>
          <w:bCs w:val="1"/>
          <w:color w:val="auto"/>
        </w:rPr>
        <w:t>Other Benefits</w:t>
      </w:r>
      <w:r>
        <w:rPr>
          <w:rFonts w:ascii="Times New Roman" w:cs="Times New Roman" w:eastAsia="Times New Roman" w:hAnsi="Times New Roman"/>
          <w:sz w:val="16"/>
          <w:szCs w:val="16"/>
          <w:color w:val="auto"/>
        </w:rPr>
        <w:t>”)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30" w:lineRule="exact"/>
        <w:rPr>
          <w:rFonts w:ascii="Times New Roman" w:cs="Times New Roman" w:eastAsia="Times New Roman" w:hAnsi="Times New Roman"/>
          <w:sz w:val="16"/>
          <w:szCs w:val="16"/>
          <w:color w:val="auto"/>
        </w:rPr>
      </w:pPr>
    </w:p>
    <w:p>
      <w:pPr>
        <w:ind w:left="520" w:right="599" w:firstLine="968"/>
        <w:spacing w:after="0"/>
        <w:tabs>
          <w:tab w:leader="none" w:pos="197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Death</w:t>
      </w:r>
      <w:r>
        <w:rPr>
          <w:rFonts w:ascii="Times New Roman" w:cs="Times New Roman" w:eastAsia="Times New Roman" w:hAnsi="Times New Roman"/>
          <w:sz w:val="16"/>
          <w:szCs w:val="16"/>
          <w:color w:val="auto"/>
        </w:rPr>
        <w:t>. If Executive’s employment is terminated by reason of Executive’s death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Period, the Company shall provide Executive’s estate or beneficiaries with the Accrued Obligations and the Pro Rata Bonus and the timely payment or delivery of the Other Benefits, and shall have no other severance obligations under this Agreement. The Accrued Obligations (subject to the proviso set forth in Section 5(a)(i)(A) to the extent applicable) and the Pro Rata Bonus shall be paid to Executive’s estate or beneficiary, as applicable, in a lump sum in cash within 30 days of the Date of Termination. With respect to the provision of the Other Benefits, the term “Other Benefits” as utilized in this Section 5(b) shall include and Executive’s estate and/or beneficiaries shall be entitled to receive, benefits at least equal to the most favorable benefits provided by the Company and its Affiliates to the estates and beneficiaries of peer executives of the Company and such Affiliates under such plans, programs, practices and policies relating to death benefits, if any, as in effect with respect to other peer executives and their beneficiaries at any time during the 120-day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471170</wp:posOffset>
            </wp:positionV>
            <wp:extent cx="50552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839"/>
        <w:spacing w:after="0" w:line="253" w:lineRule="auto"/>
        <w:rPr>
          <w:sz w:val="20"/>
          <w:szCs w:val="20"/>
          <w:color w:val="auto"/>
        </w:rPr>
      </w:pPr>
      <w:r>
        <w:rPr>
          <w:rFonts w:ascii="Times New Roman" w:cs="Times New Roman" w:eastAsia="Times New Roman" w:hAnsi="Times New Roman"/>
          <w:sz w:val="16"/>
          <w:szCs w:val="16"/>
          <w:color w:val="auto"/>
        </w:rPr>
        <w:t>period immediately preceding the Effective Date or, if more favorable to Executive’s estate and/or Executive’s beneficiaries, as in effect on the date of Executive’s death with respect to other peer executives of the Company and its Affiliates and their beneficiaries.</w:t>
      </w:r>
    </w:p>
    <w:p>
      <w:pPr>
        <w:spacing w:after="0" w:line="122" w:lineRule="exact"/>
        <w:rPr>
          <w:sz w:val="20"/>
          <w:szCs w:val="20"/>
          <w:color w:val="auto"/>
        </w:rPr>
      </w:pPr>
    </w:p>
    <w:p>
      <w:pPr>
        <w:ind w:left="520" w:right="579" w:firstLine="968"/>
        <w:spacing w:after="0" w:line="239" w:lineRule="auto"/>
        <w:tabs>
          <w:tab w:leader="none" w:pos="197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Disability</w:t>
      </w:r>
      <w:r>
        <w:rPr>
          <w:rFonts w:ascii="Times New Roman" w:cs="Times New Roman" w:eastAsia="Times New Roman" w:hAnsi="Times New Roman"/>
          <w:sz w:val="16"/>
          <w:szCs w:val="16"/>
          <w:color w:val="auto"/>
        </w:rPr>
        <w:t>. If Executive’s employment is terminated by reason of Executive’s Disability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Period, the Company shall provide Executive with the Accrued Obligations and Pro Rata Bonus and the timely payment or delivery of the Other Benefits in accordance with the terms of the underlying plans or agreements, and shall have no other severance obligations under this Agreement. The Accrued Obligations (subject to the proviso set forth in Section 5(a)(i)(A) to the extent applicable) and the Pro Rata Bonus shall be paid to Executive in a lump sum in cash within 30 days of the Date of Termination. With respect to the provision of the Other Benefits, the term “Other Benefits” as utilized in this Section 5(c) shall include, and Executive shall be entitled after the Disability Effective Date to receive, without limitation, disability and other benefits (either pursuant to a plan, program, practice or policy or an individual arrangement) at least equal to the most favorable of those generally provided by the Company and its Affiliates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Executive and/or Executive’s family, as in effect at any time thereafter generally with respect to other peer executives of the Company and its Affiliates and their families.</w:t>
      </w:r>
    </w:p>
    <w:p>
      <w:pPr>
        <w:spacing w:after="0" w:line="137" w:lineRule="exact"/>
        <w:rPr>
          <w:rFonts w:ascii="Times New Roman" w:cs="Times New Roman" w:eastAsia="Times New Roman" w:hAnsi="Times New Roman"/>
          <w:sz w:val="16"/>
          <w:szCs w:val="16"/>
          <w:color w:val="auto"/>
        </w:rPr>
      </w:pPr>
    </w:p>
    <w:p>
      <w:pPr>
        <w:ind w:left="520" w:right="539" w:firstLine="968"/>
        <w:spacing w:after="0" w:line="241" w:lineRule="auto"/>
        <w:tabs>
          <w:tab w:leader="none" w:pos="197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Cause; Other than for Good Reason</w:t>
      </w:r>
      <w:r>
        <w:rPr>
          <w:rFonts w:ascii="Times New Roman" w:cs="Times New Roman" w:eastAsia="Times New Roman" w:hAnsi="Times New Roman"/>
          <w:sz w:val="16"/>
          <w:szCs w:val="16"/>
          <w:color w:val="auto"/>
        </w:rPr>
        <w:t>. If Executive’s employment is terminated for Cause during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Employment Period, the Company shall provide Executive with Executive’s Annual Base Salary (subject to the proviso set forth in Section 5(a)(i)(A) to the extent applicable) through the Date of Termination, and the timely payment or delivery of the Other Benefits, and shall have no other severance obligations under this Agreement. If Executive voluntarily terminates employment during the Employment Period, excluding a termination for Good Reason, the Company shall provide to Executive the Accrued Obligations and the Pro Rata Bonus and the timely payment or delivery of the Other Benefits and shall have no other severance obligations under this Agreement. In such case, all the Accrued Obligations (subject to the proviso set forth in Section 5(a)(i)(A) to the extent applicable) and the Pro Rata Bonus shall be paid to Executive in a lump sum in cash within 30 days of the Date of Termination.</w:t>
      </w:r>
    </w:p>
    <w:p>
      <w:pPr>
        <w:spacing w:after="0" w:line="131" w:lineRule="exact"/>
        <w:rPr>
          <w:sz w:val="20"/>
          <w:szCs w:val="20"/>
          <w:color w:val="auto"/>
        </w:rPr>
      </w:pPr>
    </w:p>
    <w:p>
      <w:pPr>
        <w:ind w:left="520" w:right="559" w:firstLine="968"/>
        <w:spacing w:after="0" w:line="242" w:lineRule="auto"/>
        <w:tabs>
          <w:tab w:leader="none" w:pos="197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Non-exclusivity of Rights</w:t>
      </w:r>
      <w:r>
        <w:rPr>
          <w:rFonts w:ascii="Times New Roman" w:cs="Times New Roman" w:eastAsia="Times New Roman" w:hAnsi="Times New Roman"/>
          <w:sz w:val="16"/>
          <w:szCs w:val="16"/>
          <w:color w:val="auto"/>
        </w:rPr>
        <w:t>. Nothing in this Agreement shall prevent or limit Executive’s continuing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future participation in any plan, program, policy or practice provided by the Company or any of its Affiliates and for which Executive may qualify, nor, subject to Section 11(h), shall anything herein limit or otherwise affect such rights as Executive may have under any other contract or agreement with the Company or its Affiliates. Amounts that are vested benefits or that Executive is otherwise entitled to receive under any plan, policy, practice or program of or any contract or agreement with the Company or any of its Affiliates at or subsequent to the Date of Termination shall be payable in accordance with such plan, policy, practice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469265</wp:posOffset>
            </wp:positionV>
            <wp:extent cx="50552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7" w:name="page128"/>
    <w:bookmarkEnd w:id="127"/>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39"/>
        <w:spacing w:after="0" w:line="239" w:lineRule="auto"/>
        <w:rPr>
          <w:sz w:val="20"/>
          <w:szCs w:val="20"/>
          <w:color w:val="auto"/>
        </w:rPr>
      </w:pPr>
      <w:r>
        <w:rPr>
          <w:rFonts w:ascii="Times New Roman" w:cs="Times New Roman" w:eastAsia="Times New Roman" w:hAnsi="Times New Roman"/>
          <w:sz w:val="16"/>
          <w:szCs w:val="16"/>
          <w:color w:val="auto"/>
        </w:rPr>
        <w:t>program or contract or agreement except as explicitly modified by this Agreement. Without limiting the generality of the foregoing, Executive’s resignation under this Agreement with or without Good Reason, shall in no way affect Executive’s ability to terminate employment by reason of Executive’s “retirement” under any compensation and benefits plans, programs or arrangements of the Company or its Affiliates, including any retirement or pension plans or arrangements or to be eligible to receive benefits under any compensation or benefit plans, programs or arrangements of the Company or any of its Affiliates, including any retirement or pension plan or arrangement of the Company or any of its Affiliates or substitute plans adopted by the Company or its successors, and any termination that otherwise qualifies as Good Reason shall be treated as such even if it is also a “retirement” for purposes of any such plan. Notwithstanding the foregoing, if Executive receives payments and benefits pursuant to Section 5(a) of this Agreement, Executive shall not be entitled to any severance pay or benefits under any severance plan, program or policy of the Company and its Affiliates, unless otherwise specifically provided therein in a specific reference to this Agreement.</w:t>
      </w:r>
    </w:p>
    <w:p>
      <w:pPr>
        <w:spacing w:after="0" w:line="139" w:lineRule="exact"/>
        <w:rPr>
          <w:sz w:val="20"/>
          <w:szCs w:val="20"/>
          <w:color w:val="auto"/>
        </w:rPr>
      </w:pPr>
    </w:p>
    <w:p>
      <w:pPr>
        <w:ind w:left="520" w:right="559" w:firstLine="968"/>
        <w:spacing w:after="0" w:line="243" w:lineRule="auto"/>
        <w:tabs>
          <w:tab w:leader="none" w:pos="197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Full Settlement; Legal Fees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Full Settlement</w:t>
      </w:r>
      <w:r>
        <w:rPr>
          <w:rFonts w:ascii="Times New Roman" w:cs="Times New Roman" w:eastAsia="Times New Roman" w:hAnsi="Times New Roman"/>
          <w:sz w:val="16"/>
          <w:szCs w:val="16"/>
          <w:color w:val="auto"/>
        </w:rPr>
        <w:t>. The Company’s obligation to make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provided for in this Agreement and otherwise to perform its obligations hereunder shall not be affected by any set-off, counterclaim, recoupment, defense or other claim, right or action that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32" w:lineRule="exact"/>
        <w:rPr>
          <w:sz w:val="20"/>
          <w:szCs w:val="20"/>
          <w:color w:val="auto"/>
        </w:rPr>
      </w:pPr>
    </w:p>
    <w:p>
      <w:pPr>
        <w:ind w:left="520" w:right="579" w:firstLine="968"/>
        <w:spacing w:after="0" w:line="241" w:lineRule="auto"/>
        <w:tabs>
          <w:tab w:leader="none" w:pos="197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Legal Fees</w:t>
      </w:r>
      <w:r>
        <w:rPr>
          <w:rFonts w:ascii="Times New Roman" w:cs="Times New Roman" w:eastAsia="Times New Roman" w:hAnsi="Times New Roman"/>
          <w:sz w:val="16"/>
          <w:szCs w:val="16"/>
          <w:color w:val="auto"/>
        </w:rPr>
        <w:t>. The Company agrees to pay as incurred (within 10 days following the Company’s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of an invoice from Executive), at any time from the Effective Date through Executive’s remaining lifetime (or, if longer, through the 20th anniversary of the Effective Date) to the full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whether such contest is between the Company and Executive or between either of them and any third party, and (including as a result of any contest by Executive about the amount of any payment pursuant to this Agreement), plus in each case interest on any delayed payment at the applicable federal rate provided for in Section 7872(f)(2)(A) of the Code (“</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determined as of the date such legal fees and expenses were incurred.</w:t>
      </w:r>
    </w:p>
    <w:p>
      <w:pPr>
        <w:spacing w:after="0" w:line="131" w:lineRule="exact"/>
        <w:rPr>
          <w:sz w:val="20"/>
          <w:szCs w:val="20"/>
          <w:color w:val="auto"/>
        </w:rPr>
      </w:pPr>
    </w:p>
    <w:p>
      <w:pPr>
        <w:ind w:left="1980" w:hanging="492"/>
        <w:spacing w:after="0"/>
        <w:tabs>
          <w:tab w:leader="none" w:pos="1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Treatment of Certain Payments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520" w:right="739" w:firstLine="968"/>
        <w:spacing w:after="0" w:line="244" w:lineRule="auto"/>
        <w:tabs>
          <w:tab w:leader="none" w:pos="197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the Agreement to the contrary notwithstanding, in the event the Accounting Firm (as defined below) shall determine that receipt of all Payments (as defined below) would subject Executive to the excise tax under Section 4999 of the Code, the Accounting Firm shall determine whether to reduce any of the Payments paid or payable pursuant to the Agreement (the “</w:t>
      </w:r>
      <w:r>
        <w:rPr>
          <w:rFonts w:ascii="Times New Roman" w:cs="Times New Roman" w:eastAsia="Times New Roman" w:hAnsi="Times New Roman"/>
          <w:sz w:val="16"/>
          <w:szCs w:val="16"/>
          <w:b w:val="1"/>
          <w:bCs w:val="1"/>
          <w:color w:val="auto"/>
        </w:rPr>
        <w:t>Agreement Payments</w:t>
      </w:r>
      <w:r>
        <w:rPr>
          <w:rFonts w:ascii="Times New Roman" w:cs="Times New Roman" w:eastAsia="Times New Roman" w:hAnsi="Times New Roman"/>
          <w:sz w:val="16"/>
          <w:szCs w:val="16"/>
          <w:color w:val="auto"/>
        </w:rPr>
        <w:t>”) so that the Parachute Value (as defined below) of all Payments, in the aggregate, equals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468630</wp:posOffset>
            </wp:positionV>
            <wp:extent cx="50552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619"/>
        <w:spacing w:after="0" w:line="244" w:lineRule="auto"/>
        <w:rPr>
          <w:sz w:val="20"/>
          <w:szCs w:val="20"/>
          <w:color w:val="auto"/>
        </w:rPr>
      </w:pPr>
      <w:r>
        <w:rPr>
          <w:rFonts w:ascii="Times New Roman" w:cs="Times New Roman" w:eastAsia="Times New Roman" w:hAnsi="Times New Roman"/>
          <w:sz w:val="16"/>
          <w:szCs w:val="16"/>
          <w:color w:val="auto"/>
        </w:rPr>
        <w:t>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33" w:lineRule="exact"/>
        <w:rPr>
          <w:sz w:val="20"/>
          <w:szCs w:val="20"/>
          <w:color w:val="auto"/>
        </w:rPr>
      </w:pPr>
    </w:p>
    <w:p>
      <w:pPr>
        <w:ind w:left="520" w:right="579" w:firstLine="968"/>
        <w:spacing w:after="0" w:line="239" w:lineRule="auto"/>
        <w:tabs>
          <w:tab w:leader="none" w:pos="1971"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Executive and shall be made as soon as reasonably practicable and in no event later than 15 days following the date of Termination of Employment. For purposes of reducing the Agreement Payments so that the Parachute Value of all Payments, in the aggregate, equals the Safe Harbor Amount, only amounts payable under the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16"/>
          <w:szCs w:val="16"/>
          <w:b w:val="1"/>
          <w:bCs w:val="1"/>
          <w:color w:val="auto"/>
        </w:rPr>
        <w:t>24(c)</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760" w:hanging="239"/>
        <w:spacing w:after="0" w:line="236"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payments that may not be valued under 24(c), (iii) cash payments that may be valued under 24(c),</w:t>
      </w:r>
    </w:p>
    <w:p>
      <w:pPr>
        <w:ind w:left="520" w:right="579" w:firstLine="1"/>
        <w:spacing w:after="0" w:line="239" w:lineRule="auto"/>
        <w:tabs>
          <w:tab w:leader="none" w:pos="79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Accounting Firm’s determination. All fees and expenses of the Accounting Firm shall be borne solely by the Company.</w:t>
      </w:r>
    </w:p>
    <w:p>
      <w:pPr>
        <w:spacing w:after="0" w:line="134" w:lineRule="exact"/>
        <w:rPr>
          <w:rFonts w:ascii="Times New Roman" w:cs="Times New Roman" w:eastAsia="Times New Roman" w:hAnsi="Times New Roman"/>
          <w:sz w:val="16"/>
          <w:szCs w:val="16"/>
          <w:color w:val="auto"/>
        </w:rPr>
      </w:pPr>
    </w:p>
    <w:p>
      <w:pPr>
        <w:ind w:left="520" w:right="539" w:firstLine="968"/>
        <w:spacing w:after="0"/>
        <w:tabs>
          <w:tab w:leader="none" w:pos="197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37"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terms shall have the following meanings for purposes of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485140</wp:posOffset>
            </wp:positionV>
            <wp:extent cx="50552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0" w:lineRule="exact"/>
        <w:rPr>
          <w:sz w:val="20"/>
          <w:szCs w:val="20"/>
          <w:color w:val="auto"/>
        </w:rPr>
      </w:pPr>
    </w:p>
    <w:p>
      <w:pPr>
        <w:ind w:left="520" w:right="579" w:firstLine="1392"/>
        <w:spacing w:after="0" w:line="243" w:lineRule="auto"/>
        <w:tabs>
          <w:tab w:leader="none" w:pos="2455"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Accounting Firm</w:t>
      </w:r>
      <w:r>
        <w:rPr>
          <w:rFonts w:ascii="Times New Roman" w:cs="Times New Roman" w:eastAsia="Times New Roman" w:hAnsi="Times New Roman"/>
          <w:sz w:val="16"/>
          <w:szCs w:val="16"/>
          <w:color w:val="auto"/>
        </w:rPr>
        <w:t>” 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and is reasonably acceptable to Executive, which firm shall not, without Executive’s consent, be a firm serving as accountant or auditor for the individual, entity or group effecting the Change in Control.</w:t>
      </w:r>
    </w:p>
    <w:p>
      <w:pPr>
        <w:spacing w:after="0" w:line="131" w:lineRule="exact"/>
        <w:rPr>
          <w:rFonts w:ascii="Times New Roman" w:cs="Times New Roman" w:eastAsia="Times New Roman" w:hAnsi="Times New Roman"/>
          <w:sz w:val="16"/>
          <w:szCs w:val="16"/>
          <w:color w:val="auto"/>
        </w:rPr>
      </w:pPr>
    </w:p>
    <w:p>
      <w:pPr>
        <w:ind w:left="520" w:right="599" w:firstLine="1452"/>
        <w:spacing w:after="0" w:line="243" w:lineRule="auto"/>
        <w:tabs>
          <w:tab w:leader="none" w:pos="2455"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After-Tax Receipt</w:t>
      </w:r>
      <w:r>
        <w:rPr>
          <w:rFonts w:ascii="Times New Roman" w:cs="Times New Roman" w:eastAsia="Times New Roman" w:hAnsi="Times New Roman"/>
          <w:sz w:val="16"/>
          <w:szCs w:val="16"/>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31" w:lineRule="exact"/>
        <w:rPr>
          <w:rFonts w:ascii="Times New Roman" w:cs="Times New Roman" w:eastAsia="Times New Roman" w:hAnsi="Times New Roman"/>
          <w:sz w:val="16"/>
          <w:szCs w:val="16"/>
          <w:color w:val="auto"/>
        </w:rPr>
      </w:pPr>
    </w:p>
    <w:p>
      <w:pPr>
        <w:ind w:left="520" w:right="539" w:firstLine="1452"/>
        <w:spacing w:after="0" w:line="248" w:lineRule="auto"/>
        <w:tabs>
          <w:tab w:leader="none" w:pos="2455"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Parachute Value</w:t>
      </w:r>
      <w:r>
        <w:rPr>
          <w:rFonts w:ascii="Times New Roman" w:cs="Times New Roman" w:eastAsia="Times New Roman" w:hAnsi="Times New Roman"/>
          <w:sz w:val="16"/>
          <w:szCs w:val="16"/>
          <w:color w:val="auto"/>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126" w:lineRule="exact"/>
        <w:rPr>
          <w:rFonts w:ascii="Times New Roman" w:cs="Times New Roman" w:eastAsia="Times New Roman" w:hAnsi="Times New Roman"/>
          <w:sz w:val="16"/>
          <w:szCs w:val="16"/>
          <w:color w:val="auto"/>
        </w:rPr>
      </w:pPr>
    </w:p>
    <w:p>
      <w:pPr>
        <w:ind w:left="520" w:right="539" w:firstLine="1452"/>
        <w:spacing w:after="0" w:line="254" w:lineRule="auto"/>
        <w:tabs>
          <w:tab w:leader="none" w:pos="2455"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Payment</w:t>
      </w:r>
      <w:r>
        <w:rPr>
          <w:rFonts w:ascii="Times New Roman" w:cs="Times New Roman" w:eastAsia="Times New Roman" w:hAnsi="Times New Roman"/>
          <w:sz w:val="16"/>
          <w:szCs w:val="16"/>
          <w:color w:val="auto"/>
        </w:rPr>
        <w:t>” shall mean any payment or distribution in the nature of compensation (within the meaning of Section 280G(b)(2) of the Code) to or for the benefit of Executive, whether paid or payable pursuant to the Agreement or otherwise.</w:t>
      </w:r>
    </w:p>
    <w:p>
      <w:pPr>
        <w:spacing w:after="0" w:line="121" w:lineRule="exact"/>
        <w:rPr>
          <w:rFonts w:ascii="Times New Roman" w:cs="Times New Roman" w:eastAsia="Times New Roman" w:hAnsi="Times New Roman"/>
          <w:sz w:val="16"/>
          <w:szCs w:val="16"/>
          <w:color w:val="auto"/>
        </w:rPr>
      </w:pPr>
    </w:p>
    <w:p>
      <w:pPr>
        <w:ind w:left="520" w:right="999" w:firstLine="1452"/>
        <w:spacing w:after="0" w:line="272" w:lineRule="auto"/>
        <w:tabs>
          <w:tab w:leader="none" w:pos="2455"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Safe Harbor Amount</w:t>
      </w:r>
      <w:r>
        <w:rPr>
          <w:rFonts w:ascii="Times New Roman" w:cs="Times New Roman" w:eastAsia="Times New Roman" w:hAnsi="Times New Roman"/>
          <w:sz w:val="16"/>
          <w:szCs w:val="16"/>
          <w:color w:val="auto"/>
        </w:rPr>
        <w:t xml:space="preserve">” shall mean 2.99 </w:t>
      </w:r>
      <w:r>
        <w:rPr>
          <w:rFonts w:ascii="Times New Roman" w:cs="Times New Roman" w:eastAsia="Times New Roman" w:hAnsi="Times New Roman"/>
          <w:sz w:val="16"/>
          <w:szCs w:val="16"/>
          <w:i w:val="1"/>
          <w:iCs w:val="1"/>
          <w:color w:val="auto"/>
        </w:rPr>
        <w:t>times</w:t>
      </w:r>
      <w:r>
        <w:rPr>
          <w:rFonts w:ascii="Times New Roman" w:cs="Times New Roman" w:eastAsia="Times New Roman" w:hAnsi="Times New Roman"/>
          <w:sz w:val="16"/>
          <w:szCs w:val="16"/>
          <w:color w:val="auto"/>
        </w:rPr>
        <w:t xml:space="preserve"> Executive’s “base amount,” within the meaning of Section 280G(b)(3) of the Code.</w:t>
      </w:r>
    </w:p>
    <w:p>
      <w:pPr>
        <w:spacing w:after="0" w:line="108"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Section 8 shall survive the expiration of the Agreement.</w:t>
      </w:r>
    </w:p>
    <w:p>
      <w:pPr>
        <w:spacing w:after="0" w:line="157" w:lineRule="exact"/>
        <w:rPr>
          <w:sz w:val="20"/>
          <w:szCs w:val="20"/>
          <w:color w:val="auto"/>
        </w:rPr>
      </w:pPr>
    </w:p>
    <w:p>
      <w:pPr>
        <w:ind w:left="520" w:right="539" w:firstLine="968"/>
        <w:spacing w:after="0" w:line="241" w:lineRule="auto"/>
        <w:tabs>
          <w:tab w:leader="none" w:pos="197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Confidential Information</w:t>
      </w:r>
      <w:r>
        <w:rPr>
          <w:rFonts w:ascii="Times New Roman" w:cs="Times New Roman" w:eastAsia="Times New Roman" w:hAnsi="Times New Roman"/>
          <w:sz w:val="16"/>
          <w:szCs w:val="16"/>
          <w:color w:val="auto"/>
        </w:rPr>
        <w:t>. The Executive shall hold in a fiduciary capacity for the benefit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all secret or confidential information, knowledge or data relating to the Company or any of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persons designated by it; provided however, that this restriction shall not apply to the 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470535</wp:posOffset>
            </wp:positionV>
            <wp:extent cx="50552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39"/>
        <w:spacing w:after="0"/>
        <w:rPr>
          <w:sz w:val="20"/>
          <w:szCs w:val="20"/>
          <w:color w:val="auto"/>
        </w:rPr>
      </w:pPr>
      <w:r>
        <w:rPr>
          <w:rFonts w:ascii="Times New Roman" w:cs="Times New Roman" w:eastAsia="Times New Roman" w:hAnsi="Times New Roman"/>
          <w:sz w:val="16"/>
          <w:szCs w:val="16"/>
          <w:color w:val="auto"/>
        </w:rPr>
        <w:t>disclosure of confidential information (i) to any governmental entity to the extent required by law, (ii) which is or becomes publicly known and available through no wrongful act of Executive or (iii) in connection with the performance of Executive’s duties under this Agreement. No provision of this Agreement, including but not limited to this Section 9, shall be interpreted, construed, asserted or enforced by the Company or Bank to (i)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or (ii) require notification or prior approval by the Company or Bank of any such report; provided that, Executive is not authorized to disclose communications with counsel that were made for the purpose of receiving legal advice or that contain legal advice or that are protected by the attorney work product or similar privilege. Further, nothing contained in this Agreement, or any release and waiver delivered in accordance with this Agreement, shall be interpreted, construed, asserted or enforced by the Company or Bank to prohibit or disqualify Executive from being awarded, receiving and/or enjoying the benefit of, any award, reward, emolument or payment, or other relief of any kind whatsoever, from any agency, which is provided based upon Executive’s provision of information to any such agency as a whistleblower under applicable law or regulation. The Company and Bank hereby waive any right to assert or enforce the provisions of this Agreement in a manner which would impede any whistleblower activity in accordance with applicable law or regulation. Furthermore, Executive shall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In no event shall an asserted violation of the provisions of this Section 9 constitute a basis for deferring or withholding any amounts otherwise payable to Executive under this Agreement, but the Company otherwise shall be entitled to all other remedies that may be available to it at law or equity.</w:t>
      </w:r>
    </w:p>
    <w:p>
      <w:pPr>
        <w:spacing w:after="0" w:line="284" w:lineRule="exact"/>
        <w:rPr>
          <w:sz w:val="20"/>
          <w:szCs w:val="20"/>
          <w:color w:val="auto"/>
        </w:rPr>
      </w:pPr>
    </w:p>
    <w:p>
      <w:pPr>
        <w:ind w:left="520" w:right="699" w:firstLine="968"/>
        <w:spacing w:after="0" w:line="254" w:lineRule="auto"/>
        <w:tabs>
          <w:tab w:leader="none" w:pos="197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Successors</w:t>
      </w:r>
      <w:r>
        <w:rPr>
          <w:rFonts w:ascii="Times New Roman" w:cs="Times New Roman" w:eastAsia="Times New Roman" w:hAnsi="Times New Roman"/>
          <w:sz w:val="16"/>
          <w:szCs w:val="16"/>
          <w:color w:val="auto"/>
        </w:rPr>
        <w:t>. (a) This Agreement is personal to Executive and without the prior written consent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assignable by Executive other than by will or the laws of descent and distribution. This Agreement shall inure to the benefit of and be enforceable by Executive’s legal representatives.</w:t>
      </w:r>
    </w:p>
    <w:p>
      <w:pPr>
        <w:spacing w:after="0" w:line="123" w:lineRule="exact"/>
        <w:rPr>
          <w:sz w:val="20"/>
          <w:szCs w:val="20"/>
          <w:color w:val="auto"/>
        </w:rPr>
      </w:pPr>
    </w:p>
    <w:p>
      <w:pPr>
        <w:ind w:left="520" w:right="619" w:firstLine="968"/>
        <w:spacing w:after="0" w:line="253" w:lineRule="auto"/>
        <w:tabs>
          <w:tab w:leader="none" w:pos="197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inure to the benefit of and be binding upon the Company and its successors and assigns. Except as provided in Section 10(c), without the prior written consent of Executive, this Agreement shall not be assignable by the Company.</w:t>
      </w:r>
    </w:p>
    <w:p>
      <w:pPr>
        <w:spacing w:after="0" w:line="123" w:lineRule="exact"/>
        <w:rPr>
          <w:rFonts w:ascii="Times New Roman" w:cs="Times New Roman" w:eastAsia="Times New Roman" w:hAnsi="Times New Roman"/>
          <w:sz w:val="16"/>
          <w:szCs w:val="16"/>
          <w:color w:val="auto"/>
        </w:rPr>
      </w:pPr>
    </w:p>
    <w:p>
      <w:pPr>
        <w:ind w:left="520" w:right="579" w:firstLine="968"/>
        <w:spacing w:after="0" w:line="253" w:lineRule="auto"/>
        <w:tabs>
          <w:tab w:leader="none" w:pos="197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99"/>
        <w:spacing w:after="0" w:line="253" w:lineRule="auto"/>
        <w:rPr>
          <w:sz w:val="20"/>
          <w:szCs w:val="20"/>
          <w:color w:val="auto"/>
        </w:rPr>
      </w:pPr>
      <w:r>
        <w:rPr>
          <w:rFonts w:ascii="Times New Roman" w:cs="Times New Roman" w:eastAsia="Times New Roman" w:hAnsi="Times New Roman"/>
          <w:sz w:val="16"/>
          <w:szCs w:val="16"/>
          <w:color w:val="auto"/>
        </w:rPr>
        <w:t>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22" w:lineRule="exact"/>
        <w:rPr>
          <w:sz w:val="20"/>
          <w:szCs w:val="20"/>
          <w:color w:val="auto"/>
        </w:rPr>
      </w:pPr>
    </w:p>
    <w:p>
      <w:pPr>
        <w:ind w:left="1980" w:hanging="492"/>
        <w:spacing w:after="0"/>
        <w:tabs>
          <w:tab w:leader="none" w:pos="19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left="520" w:right="539" w:firstLine="968"/>
        <w:spacing w:after="0" w:line="239" w:lineRule="auto"/>
        <w:tabs>
          <w:tab w:leader="none" w:pos="197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Governing Law and Dispute Resolution</w:t>
      </w:r>
      <w:r>
        <w:rPr>
          <w:rFonts w:ascii="Times New Roman" w:cs="Times New Roman" w:eastAsia="Times New Roman" w:hAnsi="Times New Roman"/>
          <w:sz w:val="16"/>
          <w:szCs w:val="16"/>
          <w:color w:val="auto"/>
        </w:rPr>
        <w:t>. This Agreement shall be governed by and construed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the laws of the State of New York, without reference to principles of conflict of laws. The parties irrevocably submit to the jurisdiction of any state or federal court sitting in or for the United States District Court for the Eastern District of New York or any New York State court sitting in Kings County, New York with respect to any dispute arising out of or relating to this Agreement,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w:t>
      </w:r>
    </w:p>
    <w:p>
      <w:pPr>
        <w:spacing w:after="0" w:line="137" w:lineRule="exact"/>
        <w:rPr>
          <w:rFonts w:ascii="Times New Roman" w:cs="Times New Roman" w:eastAsia="Times New Roman" w:hAnsi="Times New Roman"/>
          <w:sz w:val="16"/>
          <w:szCs w:val="16"/>
          <w:color w:val="auto"/>
        </w:rPr>
      </w:pPr>
    </w:p>
    <w:p>
      <w:pPr>
        <w:ind w:left="520" w:right="659" w:firstLine="968"/>
        <w:spacing w:after="0" w:line="254" w:lineRule="auto"/>
        <w:tabs>
          <w:tab w:leader="none" w:pos="197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given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hand delivery to the other party or by registered or certified mail, return receipt requested, postage prepaid, addressed as follows:</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If to Executive</w:t>
      </w:r>
      <w:r>
        <w:rPr>
          <w:rFonts w:ascii="Times New Roman" w:cs="Times New Roman" w:eastAsia="Times New Roman" w:hAnsi="Times New Roman"/>
          <w:sz w:val="16"/>
          <w:szCs w:val="16"/>
          <w:color w:val="auto"/>
        </w:rPr>
        <w: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 the last address on file</w:t>
      </w:r>
    </w:p>
    <w:p>
      <w:pPr>
        <w:spacing w:after="0" w:line="37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898 Veterans Memorial Highway, Suite 560</w:t>
      </w:r>
    </w:p>
    <w:p>
      <w:pPr>
        <w:ind w:left="148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Attention</w:t>
      </w:r>
      <w:r>
        <w:rPr>
          <w:rFonts w:ascii="Times New Roman" w:cs="Times New Roman" w:eastAsia="Times New Roman" w:hAnsi="Times New Roman"/>
          <w:sz w:val="16"/>
          <w:szCs w:val="16"/>
          <w:color w:val="auto"/>
        </w:rPr>
        <w:t>: General Counsel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right="859"/>
        <w:spacing w:after="0" w:line="270" w:lineRule="auto"/>
        <w:rPr>
          <w:sz w:val="20"/>
          <w:szCs w:val="20"/>
          <w:color w:val="auto"/>
        </w:rPr>
      </w:pPr>
      <w:r>
        <w:rPr>
          <w:rFonts w:ascii="Times New Roman" w:cs="Times New Roman" w:eastAsia="Times New Roman" w:hAnsi="Times New Roman"/>
          <w:sz w:val="16"/>
          <w:szCs w:val="16"/>
          <w:color w:val="auto"/>
        </w:rPr>
        <w:t>or to such other address as either party shall have furnished to the other in writing in accordance herewith. Notice and communications shall be effective when actually received by the addressee.</w:t>
      </w:r>
    </w:p>
    <w:p>
      <w:pPr>
        <w:spacing w:after="0" w:line="108" w:lineRule="exact"/>
        <w:rPr>
          <w:sz w:val="20"/>
          <w:szCs w:val="20"/>
          <w:color w:val="auto"/>
        </w:rPr>
      </w:pPr>
    </w:p>
    <w:p>
      <w:pPr>
        <w:jc w:val="both"/>
        <w:ind w:left="520" w:right="759" w:firstLine="968"/>
        <w:spacing w:after="0" w:line="254" w:lineRule="auto"/>
        <w:tabs>
          <w:tab w:leader="none" w:pos="197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Invalidity</w:t>
      </w:r>
      <w:r>
        <w:rPr>
          <w:rFonts w:ascii="Times New Roman" w:cs="Times New Roman" w:eastAsia="Times New Roman" w:hAnsi="Times New Roman"/>
          <w:sz w:val="16"/>
          <w:szCs w:val="16"/>
          <w:color w:val="auto"/>
        </w:rPr>
        <w:t>. If any term or provision of this Agreement or the application thereof to any person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circumstance shall to any extent be invalid or unenforceable, the remainder of this Agreement or the application of such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462280</wp:posOffset>
            </wp:positionV>
            <wp:extent cx="50552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2" w:name="page133"/>
    <w:bookmarkEnd w:id="132"/>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99"/>
        <w:spacing w:after="0" w:line="270" w:lineRule="auto"/>
        <w:rPr>
          <w:sz w:val="20"/>
          <w:szCs w:val="20"/>
          <w:color w:val="auto"/>
        </w:rPr>
      </w:pPr>
      <w:r>
        <w:rPr>
          <w:rFonts w:ascii="Times New Roman" w:cs="Times New Roman" w:eastAsia="Times New Roman" w:hAnsi="Times New Roman"/>
          <w:sz w:val="16"/>
          <w:szCs w:val="16"/>
          <w:color w:val="auto"/>
        </w:rPr>
        <w:t>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08" w:lineRule="exact"/>
        <w:rPr>
          <w:sz w:val="20"/>
          <w:szCs w:val="20"/>
          <w:color w:val="auto"/>
        </w:rPr>
      </w:pPr>
    </w:p>
    <w:p>
      <w:pPr>
        <w:ind w:left="520" w:right="579" w:firstLine="968"/>
        <w:spacing w:after="0" w:line="254"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Survivorship</w:t>
      </w:r>
      <w:r>
        <w:rPr>
          <w:rFonts w:ascii="Times New Roman" w:cs="Times New Roman" w:eastAsia="Times New Roman" w:hAnsi="Times New Roman"/>
          <w:sz w:val="16"/>
          <w:szCs w:val="16"/>
          <w:color w:val="auto"/>
        </w:rPr>
        <w:t>. Upon the expiration or other termination of this Agreement or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the respective rights and obligations of the parties hereto shall survive to the extent necessary to carry out the intentions of the parties under this Agreement.</w:t>
      </w:r>
    </w:p>
    <w:p>
      <w:pPr>
        <w:spacing w:after="0" w:line="121" w:lineRule="exact"/>
        <w:rPr>
          <w:rFonts w:ascii="Times New Roman" w:cs="Times New Roman" w:eastAsia="Times New Roman" w:hAnsi="Times New Roman"/>
          <w:sz w:val="16"/>
          <w:szCs w:val="16"/>
          <w:color w:val="auto"/>
        </w:rPr>
      </w:pPr>
    </w:p>
    <w:p>
      <w:pPr>
        <w:ind w:left="520" w:right="639" w:firstLine="968"/>
        <w:spacing w:after="0" w:line="254"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Headings; Construction</w:t>
      </w:r>
      <w:r>
        <w:rPr>
          <w:rFonts w:ascii="Times New Roman" w:cs="Times New Roman" w:eastAsia="Times New Roman" w:hAnsi="Times New Roman"/>
          <w:sz w:val="16"/>
          <w:szCs w:val="16"/>
          <w:color w:val="auto"/>
        </w:rPr>
        <w:t>. The section headings used in this Agreement are included solely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convenience and shall not affect, or be used in connection with, the interpretation hereof. For purposes of this Agreement, the term “including” shall mean “including, without limitation.”</w:t>
      </w:r>
    </w:p>
    <w:p>
      <w:pPr>
        <w:spacing w:after="0" w:line="121" w:lineRule="exact"/>
        <w:rPr>
          <w:rFonts w:ascii="Times New Roman" w:cs="Times New Roman" w:eastAsia="Times New Roman" w:hAnsi="Times New Roman"/>
          <w:sz w:val="16"/>
          <w:szCs w:val="16"/>
          <w:color w:val="auto"/>
        </w:rPr>
      </w:pPr>
    </w:p>
    <w:p>
      <w:pPr>
        <w:ind w:left="520" w:right="539" w:firstLine="968"/>
        <w:spacing w:after="0" w:line="272"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may be executed in several counterparts, each of which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deemed to be an original but all of which together shall constitute one and the same instrument.</w:t>
      </w:r>
    </w:p>
    <w:p>
      <w:pPr>
        <w:spacing w:after="0" w:line="106" w:lineRule="exact"/>
        <w:rPr>
          <w:rFonts w:ascii="Times New Roman" w:cs="Times New Roman" w:eastAsia="Times New Roman" w:hAnsi="Times New Roman"/>
          <w:sz w:val="16"/>
          <w:szCs w:val="16"/>
          <w:color w:val="auto"/>
        </w:rPr>
      </w:pPr>
    </w:p>
    <w:p>
      <w:pPr>
        <w:ind w:left="520" w:right="559" w:firstLine="968"/>
        <w:spacing w:after="0" w:line="243"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Amendments; Waiver</w:t>
      </w:r>
      <w:r>
        <w:rPr>
          <w:rFonts w:ascii="Times New Roman" w:cs="Times New Roman" w:eastAsia="Times New Roman" w:hAnsi="Times New Roman"/>
          <w:sz w:val="16"/>
          <w:szCs w:val="16"/>
          <w:color w:val="auto"/>
        </w:rPr>
        <w:t>. No provision of this Agreement shall be modified or amended except by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instrument in writing duly executed by the parties hereto. The Executive’s or the Company’s failure to insist upon strict compliance with any provision hereof or any other provision of this Agreement or the failure to assert any right Executive or the Company may have hereunder, including the right of Executive to terminate employment for Good Reason pursuant to Section 4(c)(i)-(v), shall not be deemed to be a waiver of such provision or right or any other provision or right of this Agreement.</w:t>
      </w:r>
    </w:p>
    <w:p>
      <w:pPr>
        <w:spacing w:after="0" w:line="131" w:lineRule="exact"/>
        <w:rPr>
          <w:rFonts w:ascii="Times New Roman" w:cs="Times New Roman" w:eastAsia="Times New Roman" w:hAnsi="Times New Roman"/>
          <w:sz w:val="16"/>
          <w:szCs w:val="16"/>
          <w:color w:val="auto"/>
        </w:rPr>
      </w:pPr>
    </w:p>
    <w:p>
      <w:pPr>
        <w:ind w:left="520" w:right="539" w:firstLine="968"/>
        <w:spacing w:after="0" w:line="241"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At-Will Employment</w:t>
      </w:r>
      <w:r>
        <w:rPr>
          <w:rFonts w:ascii="Times New Roman" w:cs="Times New Roman" w:eastAsia="Times New Roman" w:hAnsi="Times New Roman"/>
          <w:sz w:val="16"/>
          <w:szCs w:val="16"/>
          <w:color w:val="auto"/>
        </w:rPr>
        <w:t>. The Executive and the Company acknowledge that, except as may otherwise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provided under any other written agreement between Executive and the Company, the employment of Executive by the Company is “at will” and, subject to Section 1(e) of this Agreement, prior to the Effective Date, Executive’s employment may be terminated by either Executive or the Company at any time prior to the Effective Date, in which case Executive shall have no further rights under this Agreement. From and after the Effective Date, except as specifically provided herein, this Agreement shall supersede any other employment agreement between the parties. For the avoidance of doubt, prior to the Effective Date, any other employment agreement between the parties shall continue to govern the relationship between the parties.</w:t>
      </w:r>
    </w:p>
    <w:p>
      <w:pPr>
        <w:spacing w:after="0" w:line="134" w:lineRule="exact"/>
        <w:rPr>
          <w:rFonts w:ascii="Times New Roman" w:cs="Times New Roman" w:eastAsia="Times New Roman" w:hAnsi="Times New Roman"/>
          <w:sz w:val="16"/>
          <w:szCs w:val="16"/>
          <w:color w:val="auto"/>
        </w:rPr>
      </w:pPr>
    </w:p>
    <w:p>
      <w:pPr>
        <w:jc w:val="both"/>
        <w:ind w:left="520" w:right="539" w:firstLine="968"/>
        <w:spacing w:after="0" w:line="243" w:lineRule="auto"/>
        <w:tabs>
          <w:tab w:leader="none" w:pos="197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This Agreement constitutes the entire agreement of the parties hereto in respect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terms and conditions of Executive’s employment with the Company and its Affiliates, including his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including the Prior Agreement. Executive hereby acknowledges and agrees that Executive has no contractual rights to any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469265</wp:posOffset>
            </wp:positionV>
            <wp:extent cx="50552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jc w:val="both"/>
        <w:ind w:left="520" w:right="539"/>
        <w:spacing w:after="0" w:line="242" w:lineRule="auto"/>
        <w:rPr>
          <w:sz w:val="20"/>
          <w:szCs w:val="20"/>
          <w:color w:val="auto"/>
        </w:rPr>
      </w:pPr>
      <w:r>
        <w:rPr>
          <w:rFonts w:ascii="Times New Roman" w:cs="Times New Roman" w:eastAsia="Times New Roman" w:hAnsi="Times New Roman"/>
          <w:sz w:val="16"/>
          <w:szCs w:val="16"/>
          <w:color w:val="auto"/>
        </w:rPr>
        <w:t>or benefits under the Prior Agreement. For the avoidance of doubt, this Agreement does not limit the terms of any benefit plans (including equity award agreements) of the Company or its Affiliates that are applicable Executive, except to the extent that the terms of this Agreement are more favorable to Executive. From and after the Effective Date, the obligations of Executive under Section 9 shall be the exclusive restrictive covenant to which Executive is bound and any other restrictive covenants, including noncompetition restrictions, set forth in any agreement between Executive and the Company or its Affiliates, including any equity award agreement, shall be void and of no force and effect; provided further that any non-solicitation restrictions shall not be altered by this Agreement..</w:t>
      </w:r>
    </w:p>
    <w:p>
      <w:pPr>
        <w:spacing w:after="0" w:line="130" w:lineRule="exact"/>
        <w:rPr>
          <w:sz w:val="20"/>
          <w:szCs w:val="20"/>
          <w:color w:val="auto"/>
        </w:rPr>
      </w:pPr>
    </w:p>
    <w:p>
      <w:pPr>
        <w:jc w:val="both"/>
        <w:ind w:left="520" w:right="679" w:firstLine="968"/>
        <w:spacing w:after="0" w:line="272" w:lineRule="auto"/>
        <w:tabs>
          <w:tab w:leader="none" w:pos="197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Withholding</w:t>
      </w:r>
      <w:r>
        <w:rPr>
          <w:rFonts w:ascii="Times New Roman" w:cs="Times New Roman" w:eastAsia="Times New Roman" w:hAnsi="Times New Roman"/>
          <w:sz w:val="16"/>
          <w:szCs w:val="16"/>
          <w:color w:val="auto"/>
        </w:rPr>
        <w:t>. The Company may withhold from any amounts payable under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Federal, state, local or foreign taxes as shall be required to be withheld pursuant to any applicable law or regulation.</w:t>
      </w:r>
    </w:p>
    <w:p>
      <w:pPr>
        <w:spacing w:after="0" w:line="106"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409A</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ind w:left="520" w:right="559" w:firstLine="1452"/>
        <w:spacing w:after="0"/>
        <w:tabs>
          <w:tab w:leader="none" w:pos="2455"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General</w:t>
      </w:r>
      <w:r>
        <w:rPr>
          <w:rFonts w:ascii="Times New Roman" w:cs="Times New Roman" w:eastAsia="Times New Roman" w:hAnsi="Times New Roman"/>
          <w:sz w:val="16"/>
          <w:szCs w:val="16"/>
          <w:color w:val="auto"/>
        </w:rPr>
        <w:t>. It is intended that payments and benefits made or provided under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shall be paid in the later taxable year.</w:t>
      </w:r>
    </w:p>
    <w:p>
      <w:pPr>
        <w:spacing w:after="0" w:line="135" w:lineRule="exact"/>
        <w:rPr>
          <w:rFonts w:ascii="Times New Roman" w:cs="Times New Roman" w:eastAsia="Times New Roman" w:hAnsi="Times New Roman"/>
          <w:sz w:val="16"/>
          <w:szCs w:val="16"/>
          <w:color w:val="auto"/>
        </w:rPr>
      </w:pPr>
    </w:p>
    <w:p>
      <w:pPr>
        <w:ind w:left="520" w:right="579" w:firstLine="1452"/>
        <w:spacing w:after="0" w:line="241" w:lineRule="auto"/>
        <w:tabs>
          <w:tab w:leader="none" w:pos="2455"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Reimbursements and In-Kind Benefits</w:t>
      </w:r>
      <w:r>
        <w:rPr>
          <w:rFonts w:ascii="Times New Roman" w:cs="Times New Roman" w:eastAsia="Times New Roman" w:hAnsi="Times New Roman"/>
          <w:sz w:val="16"/>
          <w:szCs w:val="16"/>
          <w:color w:val="auto"/>
        </w:rPr>
        <w:t>. Notwithstanding anything to the contrary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will be made no later than the last day of the calendar year following the year in which the expense is incurred; and (D) the right to reimbursement or in-kind benefits is not subject to liquidation or exchange for another benefit.</w:t>
      </w:r>
    </w:p>
    <w:p>
      <w:pPr>
        <w:spacing w:after="0" w:line="131" w:lineRule="exact"/>
        <w:rPr>
          <w:rFonts w:ascii="Times New Roman" w:cs="Times New Roman" w:eastAsia="Times New Roman" w:hAnsi="Times New Roman"/>
          <w:sz w:val="16"/>
          <w:szCs w:val="16"/>
          <w:color w:val="auto"/>
        </w:rPr>
      </w:pPr>
    </w:p>
    <w:p>
      <w:pPr>
        <w:ind w:left="520" w:right="579" w:firstLine="1452"/>
        <w:spacing w:after="0" w:line="272" w:lineRule="auto"/>
        <w:tabs>
          <w:tab w:leader="none" w:pos="2455"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Delay of Payments</w:t>
      </w:r>
      <w:r>
        <w:rPr>
          <w:rFonts w:ascii="Times New Roman" w:cs="Times New Roman" w:eastAsia="Times New Roman" w:hAnsi="Times New Roman"/>
          <w:sz w:val="16"/>
          <w:szCs w:val="16"/>
          <w:color w:val="auto"/>
        </w:rPr>
        <w:t>. Notwithstanding any other provision of this Agreement to the contrary,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Executive is considered a “specified employee”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453390</wp:posOffset>
            </wp:positionV>
            <wp:extent cx="50552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4" w:name="page135"/>
    <w:bookmarkEnd w:id="134"/>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ind w:left="520" w:right="539"/>
        <w:spacing w:after="0"/>
        <w:rPr>
          <w:sz w:val="20"/>
          <w:szCs w:val="20"/>
          <w:color w:val="auto"/>
        </w:rPr>
      </w:pPr>
      <w:r>
        <w:rPr>
          <w:rFonts w:ascii="Times New Roman" w:cs="Times New Roman" w:eastAsia="Times New Roman" w:hAnsi="Times New Roman"/>
          <w:sz w:val="16"/>
          <w:szCs w:val="16"/>
          <w:color w:val="auto"/>
        </w:rPr>
        <w:t>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on account of Executive’s separation from service shall instead be paid, with Interest (based on the rate in effect for the month in which the Executive’s separation from service occurs), on the first business day of the seventh month following his separation from service (the “</w:t>
      </w:r>
      <w:r>
        <w:rPr>
          <w:rFonts w:ascii="Times New Roman" w:cs="Times New Roman" w:eastAsia="Times New Roman" w:hAnsi="Times New Roman"/>
          <w:sz w:val="16"/>
          <w:szCs w:val="16"/>
          <w:b w:val="1"/>
          <w:bCs w:val="1"/>
          <w:color w:val="auto"/>
        </w:rPr>
        <w:t>Delayed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Payment Date</w:t>
      </w:r>
      <w:r>
        <w:rPr>
          <w:rFonts w:ascii="Times New Roman" w:cs="Times New Roman" w:eastAsia="Times New Roman" w:hAnsi="Times New Roman"/>
          <w:sz w:val="16"/>
          <w:szCs w:val="16"/>
          <w:color w:val="auto"/>
        </w:rPr>
        <w:t>”), to the extent necessary to prevent the imposition of tax penalties on Executive under Section 409A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Code. If Executive dies during the postponement period, the amounts and entitlements delayed on account of Section 409A of the Code shall be paid to the personal representative of his estate on the first to occur of the Delayed Payment Date or 30 calendar days after the date of Executive’s death.</w:t>
      </w:r>
    </w:p>
    <w:p>
      <w:pPr>
        <w:spacing w:after="0" w:line="133" w:lineRule="exact"/>
        <w:rPr>
          <w:sz w:val="20"/>
          <w:szCs w:val="20"/>
          <w:color w:val="auto"/>
        </w:rPr>
      </w:pPr>
    </w:p>
    <w:p>
      <w:pPr>
        <w:ind w:left="520" w:right="539" w:firstLine="968"/>
        <w:spacing w:after="0" w:line="245" w:lineRule="auto"/>
        <w:tabs>
          <w:tab w:leader="none" w:pos="1971"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Indemnification</w:t>
      </w:r>
      <w:r>
        <w:rPr>
          <w:rFonts w:ascii="Times New Roman" w:cs="Times New Roman" w:eastAsia="Times New Roman" w:hAnsi="Times New Roman"/>
          <w:sz w:val="16"/>
          <w:szCs w:val="16"/>
          <w:color w:val="auto"/>
        </w:rPr>
        <w:t>. The Company shall indemnify Executive and hold him harmless to the fullest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permitted by law and under the charter and bylaws of the Company (including the advancement of expenses) against, and with respect to, any and all actions, suits, proceedings, claims, demands, judgments, costs, expenses (including reasonable attorney fees), losses and damages resulting from Executive’s good faith performance of his duties and obligations with the Company and its Affiliates.</w:t>
      </w:r>
    </w:p>
    <w:p>
      <w:pPr>
        <w:spacing w:after="0" w:line="129" w:lineRule="exact"/>
        <w:rPr>
          <w:rFonts w:ascii="Times New Roman" w:cs="Times New Roman" w:eastAsia="Times New Roman" w:hAnsi="Times New Roman"/>
          <w:sz w:val="16"/>
          <w:szCs w:val="16"/>
          <w:color w:val="auto"/>
        </w:rPr>
      </w:pPr>
    </w:p>
    <w:p>
      <w:pPr>
        <w:ind w:left="520" w:right="619" w:firstLine="968"/>
        <w:spacing w:after="0" w:line="248" w:lineRule="auto"/>
        <w:tabs>
          <w:tab w:leader="none" w:pos="1971"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Federal Deposit Insurance Act</w:t>
      </w:r>
      <w:r>
        <w:rPr>
          <w:rFonts w:ascii="Times New Roman" w:cs="Times New Roman" w:eastAsia="Times New Roman" w:hAnsi="Times New Roman"/>
          <w:sz w:val="16"/>
          <w:szCs w:val="16"/>
          <w:color w:val="auto"/>
        </w:rPr>
        <w:t>. Notwithstanding any provision of this Agreement to the contrary,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and benefits to Executive hereunder shall be paid or provided, to the extent applicable, in compliance with Section 18(k) of the Federal Deposit Insurance Act, 12 U.S.C. Section 1828(k), and any regulations promulgated thereunder.</w:t>
      </w:r>
    </w:p>
    <w:p>
      <w:pPr>
        <w:spacing w:after="0" w:line="126" w:lineRule="exact"/>
        <w:rPr>
          <w:rFonts w:ascii="Times New Roman" w:cs="Times New Roman" w:eastAsia="Times New Roman" w:hAnsi="Times New Roman"/>
          <w:sz w:val="16"/>
          <w:szCs w:val="16"/>
          <w:color w:val="auto"/>
        </w:rPr>
      </w:pPr>
    </w:p>
    <w:p>
      <w:pPr>
        <w:jc w:val="both"/>
        <w:ind w:left="520" w:right="559" w:firstLine="968"/>
        <w:spacing w:after="0" w:line="248" w:lineRule="auto"/>
        <w:tabs>
          <w:tab w:leader="none" w:pos="1971"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Non-Solicitation, Non-Disparagement.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exchange for the potential payments and benefits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which the Executive hereby acknowledges constitutes valid consideration, the Executive hereby covenants and agrees that, for a period of one year following the Executive’s termination of employment with the Bank, the Executive shall not, without the written consent of the Bank, either directly or indirectly:</w:t>
      </w:r>
    </w:p>
    <w:p>
      <w:pPr>
        <w:spacing w:after="0" w:line="128" w:lineRule="exact"/>
        <w:rPr>
          <w:sz w:val="20"/>
          <w:szCs w:val="20"/>
          <w:color w:val="auto"/>
        </w:rPr>
      </w:pPr>
    </w:p>
    <w:p>
      <w:pPr>
        <w:jc w:val="both"/>
        <w:ind w:left="520" w:right="539" w:firstLine="968"/>
        <w:spacing w:after="0" w:line="259" w:lineRule="auto"/>
        <w:tabs>
          <w:tab w:leader="none" w:pos="1971"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offer employment to, or take any other action intended (or that a reasonable person acting in like circumstances would expect) to have the effect of causing any officer or employee of the Bank, the Company or any of their respective subsidiaries or affiliates to terminate his or her employment and accept employment or become affiliated with, or provide services for compensation in any capacity whatsoever to, any business whatsoever that competes with the business of the Bank or the Company or any of their direct or indirect subsidiaries or affiliates or has headquarters or offices within the counties in which the Bank or the Company has business operations or has filed an application for regulatory approval to establish an office; provided, however, that this subsection (i) shall not prohibit general solicitations in any medium not specifically directed at officers or employees of the Bank, the Company or their respective subsidiaries or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474980</wp:posOffset>
            </wp:positionV>
            <wp:extent cx="50552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2" w:lineRule="exact"/>
        <w:rPr>
          <w:sz w:val="20"/>
          <w:szCs w:val="20"/>
          <w:color w:val="auto"/>
        </w:rPr>
      </w:pPr>
    </w:p>
    <w:p>
      <w:pPr>
        <w:jc w:val="both"/>
        <w:ind w:left="520" w:right="539" w:firstLine="968"/>
        <w:spacing w:after="0" w:line="247" w:lineRule="auto"/>
        <w:tabs>
          <w:tab w:leader="none" w:pos="197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provide any information, advice or recommendation or take any other action intended (or that a reasonable person acting in like circumstances would expect) to have the effect of causing any customer of the Bank or the Company located within a seventy-five (75) mile radius of Times Square, New York to terminate an existing business or commercial relationship with the Bank or the Company.</w:t>
      </w:r>
    </w:p>
    <w:p>
      <w:pPr>
        <w:spacing w:after="0" w:line="150" w:lineRule="exact"/>
        <w:rPr>
          <w:sz w:val="20"/>
          <w:szCs w:val="20"/>
          <w:color w:val="auto"/>
        </w:rPr>
      </w:pPr>
    </w:p>
    <w:p>
      <w:pPr>
        <w:jc w:val="both"/>
        <w:ind w:left="520" w:right="539" w:firstLine="484"/>
        <w:spacing w:after="0" w:line="244" w:lineRule="auto"/>
        <w:rPr>
          <w:sz w:val="20"/>
          <w:szCs w:val="20"/>
          <w:color w:val="auto"/>
        </w:rPr>
      </w:pPr>
      <w:r>
        <w:rPr>
          <w:rFonts w:ascii="Times New Roman" w:cs="Times New Roman" w:eastAsia="Times New Roman" w:hAnsi="Times New Roman"/>
          <w:sz w:val="16"/>
          <w:szCs w:val="16"/>
          <w:color w:val="auto"/>
        </w:rPr>
        <w:t>Executive agrees not to disparage or defame in any manner, whether directly or indirectly, the Company, the Bank, or their affiliates, officers, directors, owners, representatives, employees, products or services, and the Company and the Bank agree not to disparage or defame in any manner, whether directly or indirectly, the Executive, in each case at any time during the Employment Period or at any time following termination of employment, except when compelled to do so in connection with a government investigation or judicial proceeding, or as otherwise may be required or protected by law.</w:t>
      </w:r>
    </w:p>
    <w:p>
      <w:pPr>
        <w:spacing w:after="0" w:line="153" w:lineRule="exact"/>
        <w:rPr>
          <w:sz w:val="20"/>
          <w:szCs w:val="20"/>
          <w:color w:val="auto"/>
        </w:rPr>
      </w:pPr>
    </w:p>
    <w:p>
      <w:pPr>
        <w:jc w:val="both"/>
        <w:ind w:left="520" w:right="539" w:firstLine="484"/>
        <w:spacing w:after="0" w:line="243" w:lineRule="auto"/>
        <w:rPr>
          <w:sz w:val="20"/>
          <w:szCs w:val="20"/>
          <w:color w:val="auto"/>
        </w:rPr>
      </w:pPr>
      <w:r>
        <w:rPr>
          <w:rFonts w:ascii="Times New Roman" w:cs="Times New Roman" w:eastAsia="Times New Roman" w:hAnsi="Times New Roman"/>
          <w:sz w:val="16"/>
          <w:szCs w:val="16"/>
          <w:color w:val="auto"/>
        </w:rPr>
        <w:t>The parties hereto, recognizing that irreparable injury will result to the Bank, its business and property in the event of the Executive’s breach of this Section 11(n), agree that, in the event of any such breach by the Executive, the Bank and/or the Company will be entitled, in addition to any other remedies and damages available, to an injunction to restrain the violation hereof by the Executive and all persons acting for or with the Executive. Nothing herein will be construed as prohibiting the Bank and the Company from pursuing any other remedies available to them for such breach or threatened breach, including the recovery of damages from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365760</wp:posOffset>
            </wp:positionV>
            <wp:extent cx="50552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00" w:lineRule="exact"/>
        <w:rPr>
          <w:sz w:val="20"/>
          <w:szCs w:val="20"/>
          <w:color w:val="auto"/>
        </w:rPr>
      </w:pPr>
    </w:p>
    <w:p>
      <w:pPr>
        <w:jc w:val="both"/>
        <w:ind w:left="520" w:right="53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Executive has hereunto set Executive’s hand and, pursuant to the authorization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the Board, the Company has caused this Agreement to be executed in its name on its behalf,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DIME COMMUNITY BANCSHARES,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2583815</wp:posOffset>
            </wp:positionV>
            <wp:extent cx="50552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055235" cy="1905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241935</wp:posOffset>
            </wp:positionV>
            <wp:extent cx="2732405" cy="18624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2732405" cy="1862455"/>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7" w:name="page138"/>
    <w:bookmarkEnd w:id="137"/>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AMENDED AND RESTATED CHANGE IN CONTROL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EMPLOYMENT AGREEMENT</w:t>
      </w:r>
    </w:p>
    <w:p>
      <w:pPr>
        <w:spacing w:after="0" w:line="159" w:lineRule="exact"/>
        <w:rPr>
          <w:sz w:val="20"/>
          <w:szCs w:val="20"/>
          <w:color w:val="auto"/>
        </w:rPr>
      </w:pPr>
    </w:p>
    <w:p>
      <w:pPr>
        <w:jc w:val="both"/>
        <w:ind w:left="520" w:right="59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THIS </w:t>
      </w:r>
      <w:r>
        <w:rPr>
          <w:rFonts w:ascii="Times New Roman" w:cs="Times New Roman" w:eastAsia="Times New Roman" w:hAnsi="Times New Roman"/>
          <w:sz w:val="16"/>
          <w:szCs w:val="16"/>
          <w:color w:val="auto"/>
        </w:rPr>
        <w:t>AMENDED AND RESTATED</w:t>
      </w:r>
      <w:r>
        <w:rPr>
          <w:rFonts w:ascii="Times New Roman" w:cs="Times New Roman" w:eastAsia="Times New Roman" w:hAnsi="Times New Roman"/>
          <w:sz w:val="16"/>
          <w:szCs w:val="16"/>
          <w:b w:val="1"/>
          <w:bCs w:val="1"/>
          <w:color w:val="auto"/>
        </w:rPr>
        <w:t xml:space="preserve"> CHANGE IN CONTROL EMPLOYMENT AGREEMENT </w:t>
      </w:r>
      <w:r>
        <w:rPr>
          <w:rFonts w:ascii="Times New Roman" w:cs="Times New Roman" w:eastAsia="Times New Roman" w:hAnsi="Times New Roman"/>
          <w:sz w:val="16"/>
          <w:szCs w:val="16"/>
          <w:color w:val="auto"/>
        </w:rPr>
        <w:t>(this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December 19, 2023, by and between Dime Community Bancshares, Inc., a New York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Christopher Porzelt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21" w:lineRule="exact"/>
        <w:rPr>
          <w:sz w:val="20"/>
          <w:szCs w:val="20"/>
          <w:color w:val="auto"/>
        </w:rPr>
      </w:pPr>
    </w:p>
    <w:p>
      <w:pPr>
        <w:ind w:left="520" w:right="67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Executive is presently the EVP/Chief Risk Officer of the Company and Dime Community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Bank (the “</w:t>
      </w:r>
      <w:r>
        <w:rPr>
          <w:rFonts w:ascii="Times New Roman" w:cs="Times New Roman" w:eastAsia="Times New Roman" w:hAnsi="Times New Roman"/>
          <w:sz w:val="16"/>
          <w:szCs w:val="16"/>
          <w:b w:val="1"/>
          <w:bCs w:val="1"/>
          <w:color w:val="auto"/>
        </w:rPr>
        <w:t>Bank</w:t>
      </w:r>
      <w:r>
        <w:rPr>
          <w:rFonts w:ascii="Times New Roman" w:cs="Times New Roman" w:eastAsia="Times New Roman" w:hAnsi="Times New Roman"/>
          <w:sz w:val="16"/>
          <w:szCs w:val="16"/>
          <w:color w:val="auto"/>
        </w:rPr>
        <w:t>”) and is a party to a change in control employment agreement with Dime Community Bancshares, Inc., dated as of February 1, 2019 (the “</w:t>
      </w:r>
      <w:r>
        <w:rPr>
          <w:rFonts w:ascii="Times New Roman" w:cs="Times New Roman" w:eastAsia="Times New Roman" w:hAnsi="Times New Roman"/>
          <w:sz w:val="16"/>
          <w:szCs w:val="16"/>
          <w:b w:val="1"/>
          <w:bCs w:val="1"/>
          <w:color w:val="auto"/>
        </w:rPr>
        <w:t>Prior Agreement</w:t>
      </w:r>
      <w:r>
        <w:rPr>
          <w:rFonts w:ascii="Times New Roman" w:cs="Times New Roman" w:eastAsia="Times New Roman" w:hAnsi="Times New Roman"/>
          <w:sz w:val="16"/>
          <w:szCs w:val="16"/>
          <w:color w:val="auto"/>
        </w:rPr>
        <w:t>”); and</w:t>
      </w:r>
    </w:p>
    <w:p>
      <w:pPr>
        <w:spacing w:after="0" w:line="141" w:lineRule="exact"/>
        <w:rPr>
          <w:sz w:val="20"/>
          <w:szCs w:val="20"/>
          <w:color w:val="auto"/>
        </w:rPr>
      </w:pPr>
    </w:p>
    <w:p>
      <w:pPr>
        <w:jc w:val="both"/>
        <w:ind w:left="520" w:right="57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the Company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and has determined that it is in the best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interests of the Company and its stockholders to assure that the Company will have the continued dedication of Executive, notwithstanding the possibility, threat or occurrence of a Change in Control (as defined below); and</w:t>
      </w:r>
    </w:p>
    <w:p>
      <w:pPr>
        <w:spacing w:after="0" w:line="121" w:lineRule="exact"/>
        <w:rPr>
          <w:sz w:val="20"/>
          <w:szCs w:val="20"/>
          <w:color w:val="auto"/>
        </w:rPr>
      </w:pPr>
    </w:p>
    <w:p>
      <w:pPr>
        <w:ind w:left="520" w:right="539" w:firstLine="968"/>
        <w:spacing w:after="0" w:line="24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believes it is imperative to diminish the inevitable distraction of Executive by virtue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personal uncertainties and risks created by a pending or threatened Change in Control and to encourage Executive’s full attention and dedication to the Company currently and in the event of any threatened or pending Change in Control, and to provide Executive with compensation and benefits arrangements upon a Change in Control that ensure that the compensation and benefits expectations of Executive will be satisfied and that are competitive with those of other corporations; and</w:t>
      </w:r>
    </w:p>
    <w:p>
      <w:pPr>
        <w:spacing w:after="0" w:line="1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this Agreement shall supersede and replace the Prior Agreement as of the date first written</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above.</w:t>
      </w:r>
    </w:p>
    <w:p>
      <w:pPr>
        <w:spacing w:after="0" w:line="139" w:lineRule="exact"/>
        <w:rPr>
          <w:sz w:val="20"/>
          <w:szCs w:val="20"/>
          <w:color w:val="auto"/>
        </w:rPr>
      </w:pPr>
    </w:p>
    <w:p>
      <w:pPr>
        <w:ind w:left="520" w:right="65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order to accomplish the foregoing objectives and in consideration of the mutual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promises contained herein and other good and valuable consideration, the receipt and sufficiency of which are acknowledged, the parties agree as follows.</w:t>
      </w:r>
    </w:p>
    <w:p>
      <w:pPr>
        <w:spacing w:after="0" w:line="121" w:lineRule="exact"/>
        <w:rPr>
          <w:sz w:val="20"/>
          <w:szCs w:val="20"/>
          <w:color w:val="auto"/>
        </w:rPr>
      </w:pPr>
    </w:p>
    <w:p>
      <w:pPr>
        <w:ind w:left="1980" w:hanging="492"/>
        <w:spacing w:after="0"/>
        <w:tabs>
          <w:tab w:leader="none" w:pos="19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Certain Definitions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1980" w:hanging="492"/>
        <w:spacing w:after="0"/>
        <w:tabs>
          <w:tab w:leader="none" w:pos="19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shall mean an entity controlled by, controlling or under common control with another</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entity.</w:t>
      </w:r>
    </w:p>
    <w:p>
      <w:pPr>
        <w:spacing w:after="0" w:line="139" w:lineRule="exact"/>
        <w:rPr>
          <w:sz w:val="20"/>
          <w:szCs w:val="20"/>
          <w:color w:val="auto"/>
        </w:rPr>
      </w:pPr>
    </w:p>
    <w:p>
      <w:pPr>
        <w:ind w:left="1980" w:hanging="492"/>
        <w:spacing w:after="0"/>
        <w:tabs>
          <w:tab w:leader="none" w:pos="19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in Control</w:t>
      </w:r>
      <w:r>
        <w:rPr>
          <w:rFonts w:ascii="Times New Roman" w:cs="Times New Roman" w:eastAsia="Times New Roman" w:hAnsi="Times New Roman"/>
          <w:sz w:val="16"/>
          <w:szCs w:val="16"/>
          <w:color w:val="auto"/>
        </w:rPr>
        <w:t>” shall mean:</w:t>
      </w:r>
    </w:p>
    <w:p>
      <w:pPr>
        <w:spacing w:after="0" w:line="161" w:lineRule="exact"/>
        <w:rPr>
          <w:sz w:val="20"/>
          <w:szCs w:val="20"/>
          <w:color w:val="auto"/>
        </w:rPr>
      </w:pPr>
    </w:p>
    <w:p>
      <w:pPr>
        <w:ind w:left="1000" w:right="559" w:firstLine="488"/>
        <w:spacing w:after="0" w:line="253" w:lineRule="auto"/>
        <w:tabs>
          <w:tab w:leader="none" w:pos="1967"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(other than an event satisfying the conditions of Section 1(b)(iii)(A)(I) and (II)) upon which any “person” (as such term is used in Sections 13(d) and 14(d) of the Securities Exchange Act of 1934, as amended, or any successor thereto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38" w:name="page139"/>
    <w:bookmarkEnd w:id="138"/>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1000" w:right="599"/>
        <w:spacing w:after="0" w:line="242" w:lineRule="auto"/>
        <w:rPr>
          <w:sz w:val="20"/>
          <w:szCs w:val="20"/>
          <w:color w:val="auto"/>
        </w:rPr>
      </w:pPr>
      <w:r>
        <w:rPr>
          <w:rFonts w:ascii="Times New Roman" w:cs="Times New Roman" w:eastAsia="Times New Roman" w:hAnsi="Times New Roman"/>
          <w:sz w:val="16"/>
          <w:szCs w:val="16"/>
          <w:color w:val="auto"/>
        </w:rPr>
        <w:t>“beneficial owner” (as defined in Rule 13d-3 promulgated under the Exchange Act), directly or indirectly, of securities issued by the Company representing 25% or more of the combined voting power of all of the Company's then outstanding securities, other than an acquisition by (A) a trustee or other fiduciary holding securities under an employee benefit plan maintained for the benefit of employees of the Company; (B) a corporation owned, directly or indirectly, by the stockholders of the Company in substantially the same proportions as their ownership of stock of the Company; or (C) any group constituting a person in which employees of the Company are substantial members;</w:t>
      </w:r>
    </w:p>
    <w:p>
      <w:pPr>
        <w:spacing w:after="0" w:line="132" w:lineRule="exact"/>
        <w:rPr>
          <w:sz w:val="20"/>
          <w:szCs w:val="20"/>
          <w:color w:val="auto"/>
        </w:rPr>
      </w:pPr>
    </w:p>
    <w:p>
      <w:pPr>
        <w:ind w:left="1000" w:right="559" w:firstLine="488"/>
        <w:spacing w:after="0" w:line="242" w:lineRule="auto"/>
        <w:tabs>
          <w:tab w:leader="none" w:pos="196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upon which the individuals who, on the date of this Agreement, are members of the Board, together with individuals whose election by the Board or nomination for election by the Company’s stockholders was approved by the affirmative vote of at least two-thirds of the members of the Board then in office who were either members of the Board on the date of this Agreement or whose nomination or election was previously so approved, cease for any reason to constitute a majority of the members of the Board, but excluding, for this purpose, any such individual whose initial assumption of office is in connection with an actual or threatened election contest relating to the election of directors of the Company;</w:t>
      </w:r>
    </w:p>
    <w:p>
      <w:pPr>
        <w:spacing w:after="0" w:line="132" w:lineRule="exact"/>
        <w:rPr>
          <w:rFonts w:ascii="Times New Roman" w:cs="Times New Roman" w:eastAsia="Times New Roman" w:hAnsi="Times New Roman"/>
          <w:sz w:val="16"/>
          <w:szCs w:val="16"/>
          <w:color w:val="auto"/>
        </w:rPr>
      </w:pPr>
    </w:p>
    <w:p>
      <w:pPr>
        <w:ind w:left="1000" w:right="859" w:firstLine="488"/>
        <w:spacing w:after="0" w:line="270" w:lineRule="auto"/>
        <w:tabs>
          <w:tab w:leader="none" w:pos="196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consummation of a merger or consolidation of the Company with any other corporation, other than a merger or consolidation following which both of the following conditions are satisfied:</w:t>
      </w:r>
    </w:p>
    <w:p>
      <w:pPr>
        <w:spacing w:after="0" w:line="110" w:lineRule="exact"/>
        <w:rPr>
          <w:rFonts w:ascii="Times New Roman" w:cs="Times New Roman" w:eastAsia="Times New Roman" w:hAnsi="Times New Roman"/>
          <w:sz w:val="16"/>
          <w:szCs w:val="16"/>
          <w:color w:val="auto"/>
        </w:rPr>
      </w:pPr>
    </w:p>
    <w:p>
      <w:pPr>
        <w:ind w:left="1480" w:right="579" w:firstLine="976"/>
        <w:spacing w:after="0" w:line="243" w:lineRule="auto"/>
        <w:tabs>
          <w:tab w:leader="none" w:pos="2931"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(x) the members of the Board immediately prior to such merger or consolidation constitute at least a majority of the members of the governing body of the institution resulting from such merger or consolidation; or (y) the stockholders of the Company own securities of the institution resulting from such merger or consolidation representing 80% or more of the combined voting power of all such securities of the resulting institution then outstanding in substantially the same proportions as their ownership of voting securities of the Company immediately before such merger or consolidation; and</w:t>
      </w:r>
    </w:p>
    <w:p>
      <w:pPr>
        <w:spacing w:after="0" w:line="132" w:lineRule="exact"/>
        <w:rPr>
          <w:sz w:val="20"/>
          <w:szCs w:val="20"/>
          <w:color w:val="auto"/>
        </w:rPr>
      </w:pPr>
    </w:p>
    <w:p>
      <w:pPr>
        <w:ind w:left="1480" w:right="599" w:firstLine="976"/>
        <w:spacing w:after="0" w:line="270" w:lineRule="auto"/>
        <w:tabs>
          <w:tab w:leader="none" w:pos="293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entity which results from such merger or consolidation is not the Company, such entity expressly agrees in writing to assume and perform the Company's obligations under the Plan; or</w:t>
      </w:r>
    </w:p>
    <w:p>
      <w:pPr>
        <w:spacing w:after="0" w:line="110" w:lineRule="exact"/>
        <w:rPr>
          <w:rFonts w:ascii="Times New Roman" w:cs="Times New Roman" w:eastAsia="Times New Roman" w:hAnsi="Times New Roman"/>
          <w:sz w:val="16"/>
          <w:szCs w:val="16"/>
          <w:color w:val="auto"/>
        </w:rPr>
      </w:pPr>
    </w:p>
    <w:p>
      <w:pPr>
        <w:ind w:left="2460" w:hanging="488"/>
        <w:spacing w:after="0"/>
        <w:tabs>
          <w:tab w:leader="none" w:pos="24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stockholders of the Company of a complete liquidation or dissolution of</w:t>
      </w:r>
    </w:p>
    <w:p>
      <w:pPr>
        <w:spacing w:after="0" w:line="15"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w:t>
      </w:r>
    </w:p>
    <w:p>
      <w:pPr>
        <w:spacing w:after="0" w:line="140" w:lineRule="exact"/>
        <w:rPr>
          <w:rFonts w:ascii="Times New Roman" w:cs="Times New Roman" w:eastAsia="Times New Roman" w:hAnsi="Times New Roman"/>
          <w:sz w:val="16"/>
          <w:szCs w:val="16"/>
          <w:color w:val="auto"/>
        </w:rPr>
      </w:pPr>
    </w:p>
    <w:p>
      <w:pPr>
        <w:ind w:left="1000" w:right="539" w:firstLine="972"/>
        <w:spacing w:after="0" w:line="270" w:lineRule="auto"/>
        <w:tabs>
          <w:tab w:leader="none" w:pos="24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would be described in section 1(b)(i), (ii) or (iii) if “Bank (and any successor thereto)” were substituted for the “Company”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454025</wp:posOffset>
            </wp:positionV>
            <wp:extent cx="50552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0" w:lineRule="exact"/>
        <w:rPr>
          <w:sz w:val="20"/>
          <w:szCs w:val="20"/>
          <w:color w:val="auto"/>
        </w:rPr>
      </w:pPr>
    </w:p>
    <w:p>
      <w:pPr>
        <w:ind w:left="520" w:right="619" w:firstLine="968"/>
        <w:spacing w:after="0" w:line="245" w:lineRule="auto"/>
        <w:tabs>
          <w:tab w:leader="none" w:pos="197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in Control Period</w:t>
      </w:r>
      <w:r>
        <w:rPr>
          <w:rFonts w:ascii="Times New Roman" w:cs="Times New Roman" w:eastAsia="Times New Roman" w:hAnsi="Times New Roman"/>
          <w:sz w:val="16"/>
          <w:szCs w:val="16"/>
          <w:color w:val="auto"/>
        </w:rPr>
        <w:t>” shall mean the period commencing on the date hereof and continuing for a period of thirty-six (36) months thereafter, and the Change in Control Period shall automatically renew on a daily basis, such that the remaining unexpired Change in Control Period shall be thirty-six (36) months, until the date the Company gives the Executive written notice of non-renewal (“</w:t>
      </w:r>
      <w:r>
        <w:rPr>
          <w:rFonts w:ascii="Times New Roman" w:cs="Times New Roman" w:eastAsia="Times New Roman" w:hAnsi="Times New Roman"/>
          <w:sz w:val="16"/>
          <w:szCs w:val="16"/>
          <w:b w:val="1"/>
          <w:bCs w:val="1"/>
          <w:color w:val="auto"/>
        </w:rPr>
        <w:t>Non-Renewal Notice</w:t>
      </w:r>
      <w:r>
        <w:rPr>
          <w:rFonts w:ascii="Times New Roman" w:cs="Times New Roman" w:eastAsia="Times New Roman" w:hAnsi="Times New Roman"/>
          <w:sz w:val="16"/>
          <w:szCs w:val="16"/>
          <w:color w:val="auto"/>
        </w:rPr>
        <w:t>”). The Change in Control Period shall end on the date that is thirty-six (36) months after the date of the Non-Renewal Notice.</w:t>
      </w:r>
    </w:p>
    <w:p>
      <w:pPr>
        <w:spacing w:after="0" w:line="129"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shall mean the Internal Revenue Code of 1986, as amended.</w:t>
      </w:r>
    </w:p>
    <w:p>
      <w:pPr>
        <w:spacing w:after="0" w:line="158" w:lineRule="exact"/>
        <w:rPr>
          <w:rFonts w:ascii="Times New Roman" w:cs="Times New Roman" w:eastAsia="Times New Roman" w:hAnsi="Times New Roman"/>
          <w:sz w:val="16"/>
          <w:szCs w:val="16"/>
          <w:color w:val="auto"/>
        </w:rPr>
      </w:pPr>
    </w:p>
    <w:p>
      <w:pPr>
        <w:ind w:left="520" w:right="619" w:firstLine="968"/>
        <w:spacing w:after="0" w:line="242" w:lineRule="auto"/>
        <w:tabs>
          <w:tab w:leader="none" w:pos="197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shall mean the first date during the Change in Control Period on which a Change in Control occurs. Notwithstanding anything in this Agreement to the contrary, if (i) Executive’s employment with the Company is terminated by the Company, (ii) the Date of Termination is prior to the date on which a Change in Control occurs, and (iii) it is reasonably demonstrated by Executive that such termination of employment (A) was at the request of a third party that has taken steps reasonably calculated to effect a Change in Control or (B) otherwise arose in connection with or anticipation of a Change in Control, then for all purposes of this Agreement, the “Effective Date” means the date immediately prior to such Date of Termination.</w:t>
      </w:r>
    </w:p>
    <w:p>
      <w:pPr>
        <w:spacing w:after="0" w:line="132" w:lineRule="exact"/>
        <w:rPr>
          <w:sz w:val="20"/>
          <w:szCs w:val="20"/>
          <w:color w:val="auto"/>
        </w:rPr>
      </w:pPr>
    </w:p>
    <w:p>
      <w:pPr>
        <w:ind w:left="520" w:right="739" w:firstLine="968"/>
        <w:spacing w:after="0" w:line="248" w:lineRule="auto"/>
        <w:tabs>
          <w:tab w:leader="none" w:pos="197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Employment Period</w:t>
      </w:r>
      <w:r>
        <w:rPr>
          <w:rFonts w:ascii="Times New Roman" w:cs="Times New Roman" w:eastAsia="Times New Roman" w:hAnsi="Times New Roman"/>
          <w:sz w:val="16"/>
          <w:szCs w:val="16"/>
          <w:color w:val="auto"/>
        </w:rPr>
        <w:t>. The Company hereby agrees to continue Executive in its employ,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hereby agrees to remain in the employ of the Company subject to the terms and conditions of this Agreement, for the period commencing on the Effective Date and ending on the second anniversary of such date (the “</w:t>
      </w:r>
      <w:r>
        <w:rPr>
          <w:rFonts w:ascii="Times New Roman" w:cs="Times New Roman" w:eastAsia="Times New Roman" w:hAnsi="Times New Roman"/>
          <w:sz w:val="16"/>
          <w:szCs w:val="16"/>
          <w:b w:val="1"/>
          <w:bCs w:val="1"/>
          <w:color w:val="auto"/>
        </w:rPr>
        <w:t>Employment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16"/>
          <w:szCs w:val="16"/>
          <w:color w:val="auto"/>
        </w:rPr>
        <w:t>”). The Employment Period shall terminate upon Executive’s termination of employment for any reason.</w:t>
      </w:r>
    </w:p>
    <w:p>
      <w:pPr>
        <w:spacing w:after="0" w:line="126"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Terms of Employment</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Position and Duties</w:t>
      </w:r>
      <w:r>
        <w:rPr>
          <w:rFonts w:ascii="Times New Roman" w:cs="Times New Roman" w:eastAsia="Times New Roman" w:hAnsi="Times New Roman"/>
          <w:sz w:val="16"/>
          <w:szCs w:val="16"/>
          <w:color w:val="auto"/>
        </w:rPr>
        <w:t>. (i) During the Employment Period,</w:t>
      </w:r>
    </w:p>
    <w:p>
      <w:pPr>
        <w:spacing w:after="0" w:line="17" w:lineRule="exact"/>
        <w:rPr>
          <w:rFonts w:ascii="Times New Roman" w:cs="Times New Roman" w:eastAsia="Times New Roman" w:hAnsi="Times New Roman"/>
          <w:sz w:val="16"/>
          <w:szCs w:val="16"/>
          <w:color w:val="auto"/>
        </w:rPr>
      </w:pPr>
    </w:p>
    <w:p>
      <w:pPr>
        <w:ind w:left="520" w:right="659" w:firstLine="1"/>
        <w:spacing w:after="0" w:line="239" w:lineRule="auto"/>
        <w:tabs>
          <w:tab w:leader="none" w:pos="78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position (including status, offices, titles and reporting requirements), authority, duties and responsibilities shall be at least commensurate in all respects with the most significant of those held, exercised and assigned to Executive at any time during the 120-day period immediately preceding the Effective Date and (B) Executive’s services shall be performed at the location where Executive was employed immediately preceding the Effective Date or any office or location less than 25 miles from such location.</w:t>
      </w:r>
    </w:p>
    <w:p>
      <w:pPr>
        <w:spacing w:after="0" w:line="134" w:lineRule="exact"/>
        <w:rPr>
          <w:rFonts w:ascii="Times New Roman" w:cs="Times New Roman" w:eastAsia="Times New Roman" w:hAnsi="Times New Roman"/>
          <w:sz w:val="16"/>
          <w:szCs w:val="16"/>
          <w:color w:val="auto"/>
        </w:rPr>
      </w:pPr>
    </w:p>
    <w:p>
      <w:pPr>
        <w:ind w:left="520" w:right="539" w:firstLine="1452"/>
        <w:spacing w:after="0"/>
        <w:tabs>
          <w:tab w:leader="none" w:pos="2455"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Employment Period, and excluding any periods of vacation and sick leave to which Executive is entitled, Executive agrees to devote reasonable attention and time during normal business hours to the business and affairs of the Company and, to the extent necessary to discharge the responsibilities assigned to Executive hereunder, to use Executive’s reasonable best efforts to perform faithfully and efficiently such responsibilities. During the Employment Period it shall not be a violation of this Agreement for Executive to (A) serve on corporate, civic or charitable boards or committees, (B) deliver lectures, fulfill speaking engagements or teach at educational institutions and</w:t>
      </w:r>
    </w:p>
    <w:p>
      <w:pPr>
        <w:spacing w:after="0" w:line="2" w:lineRule="exact"/>
        <w:rPr>
          <w:rFonts w:ascii="Times New Roman" w:cs="Times New Roman" w:eastAsia="Times New Roman" w:hAnsi="Times New Roman"/>
          <w:sz w:val="16"/>
          <w:szCs w:val="16"/>
          <w:color w:val="auto"/>
        </w:rPr>
      </w:pPr>
    </w:p>
    <w:p>
      <w:pPr>
        <w:ind w:left="520" w:right="1179" w:firstLine="1"/>
        <w:spacing w:after="0" w:line="246" w:lineRule="auto"/>
        <w:tabs>
          <w:tab w:leader="none" w:pos="77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personal investments, so long as such activities do not significantly interfere with the performance of Executive’s responsibilities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466090</wp:posOffset>
            </wp:positionV>
            <wp:extent cx="50552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0" w:name="page141"/>
    <w:bookmarkEnd w:id="140"/>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79"/>
        <w:spacing w:after="0" w:line="247" w:lineRule="auto"/>
        <w:rPr>
          <w:sz w:val="20"/>
          <w:szCs w:val="20"/>
          <w:color w:val="auto"/>
        </w:rPr>
      </w:pPr>
      <w:r>
        <w:rPr>
          <w:rFonts w:ascii="Times New Roman" w:cs="Times New Roman" w:eastAsia="Times New Roman" w:hAnsi="Times New Roman"/>
          <w:sz w:val="16"/>
          <w:szCs w:val="16"/>
          <w:color w:val="auto"/>
        </w:rPr>
        <w:t>employee of the Company in accordance with this Agreement.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w:t>
      </w:r>
    </w:p>
    <w:p>
      <w:pPr>
        <w:spacing w:after="0" w:line="127" w:lineRule="exact"/>
        <w:rPr>
          <w:sz w:val="20"/>
          <w:szCs w:val="20"/>
          <w:color w:val="auto"/>
        </w:rPr>
      </w:pPr>
    </w:p>
    <w:p>
      <w:pPr>
        <w:ind w:left="520" w:right="539" w:firstLine="968"/>
        <w:spacing w:after="0"/>
        <w:tabs>
          <w:tab w:leader="none" w:pos="1971"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Compensation</w:t>
      </w:r>
      <w:r>
        <w:rPr>
          <w:rFonts w:ascii="Times New Roman" w:cs="Times New Roman" w:eastAsia="Times New Roman" w:hAnsi="Times New Roman"/>
          <w:sz w:val="16"/>
          <w:szCs w:val="16"/>
          <w:color w:val="auto"/>
        </w:rPr>
        <w:t>.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Base Salary</w:t>
      </w:r>
      <w:r>
        <w:rPr>
          <w:rFonts w:ascii="Times New Roman" w:cs="Times New Roman" w:eastAsia="Times New Roman" w:hAnsi="Times New Roman"/>
          <w:sz w:val="16"/>
          <w:szCs w:val="16"/>
          <w:color w:val="auto"/>
        </w:rPr>
        <w:t>. During the Employment Period, Executive shall receive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annual base salary (“</w:t>
      </w:r>
      <w:r>
        <w:rPr>
          <w:rFonts w:ascii="Times New Roman" w:cs="Times New Roman" w:eastAsia="Times New Roman" w:hAnsi="Times New Roman"/>
          <w:sz w:val="16"/>
          <w:szCs w:val="16"/>
          <w:b w:val="1"/>
          <w:bCs w:val="1"/>
          <w:color w:val="auto"/>
        </w:rPr>
        <w:t>Annual Base Salary</w:t>
      </w:r>
      <w:r>
        <w:rPr>
          <w:rFonts w:ascii="Times New Roman" w:cs="Times New Roman" w:eastAsia="Times New Roman" w:hAnsi="Times New Roman"/>
          <w:sz w:val="16"/>
          <w:szCs w:val="16"/>
          <w:color w:val="auto"/>
        </w:rPr>
        <w:t>”), that shall be paid at an annual rate, at least equal to 12 times the highest monthly base salary paid or payable, including any base salary that has been earned but deferred, to Executive by the Company and its Affiliates in respect of the 12-month period immediately preceding the month in which the Effective Date occurs. The Annual Base Salary shall be paid at such intervals as the Company pays executive salaries generally. During the Employment Period, the Annual Base Salary shall be periodically reviewed and increased in the same manner and proportion as the base salaries of other senior executives of the Company and Affiliates, but in no event shall such review and adjustment be more than 12 months after the last salary increase awarded to Executive prior to the Effective Date and thereafter at least annually. Any increase in Annual Base Salary shall not serve to limit or reduce any other obligation to Executive under this Agreement. Annual Base Salary shall not be reduced after any such increase and the term Annual Base Salary as utilized in this Agreement shall refer to Annual Base Salary as so increased.</w:t>
      </w:r>
    </w:p>
    <w:p>
      <w:pPr>
        <w:spacing w:after="0" w:line="132" w:lineRule="exact"/>
        <w:rPr>
          <w:rFonts w:ascii="Times New Roman" w:cs="Times New Roman" w:eastAsia="Times New Roman" w:hAnsi="Times New Roman"/>
          <w:sz w:val="16"/>
          <w:szCs w:val="16"/>
          <w:color w:val="auto"/>
        </w:rPr>
      </w:pPr>
    </w:p>
    <w:p>
      <w:pPr>
        <w:ind w:left="520" w:right="579" w:firstLine="1452"/>
        <w:spacing w:after="0" w:line="239" w:lineRule="auto"/>
        <w:tabs>
          <w:tab w:leader="none" w:pos="2455"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Annual Bonus</w:t>
      </w:r>
      <w:r>
        <w:rPr>
          <w:rFonts w:ascii="Times New Roman" w:cs="Times New Roman" w:eastAsia="Times New Roman" w:hAnsi="Times New Roman"/>
          <w:sz w:val="16"/>
          <w:szCs w:val="16"/>
          <w:color w:val="auto"/>
        </w:rPr>
        <w:t>. In addition to Annual Base Salary, Executive shall be awarded, for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fiscal year ending during the Employment Period, an annual bonus (the “</w:t>
      </w:r>
      <w:r>
        <w:rPr>
          <w:rFonts w:ascii="Times New Roman" w:cs="Times New Roman" w:eastAsia="Times New Roman" w:hAnsi="Times New Roman"/>
          <w:sz w:val="16"/>
          <w:szCs w:val="16"/>
          <w:b w:val="1"/>
          <w:bCs w:val="1"/>
          <w:color w:val="auto"/>
        </w:rPr>
        <w:t>Annual Bonus</w:t>
      </w:r>
      <w:r>
        <w:rPr>
          <w:rFonts w:ascii="Times New Roman" w:cs="Times New Roman" w:eastAsia="Times New Roman" w:hAnsi="Times New Roman"/>
          <w:sz w:val="16"/>
          <w:szCs w:val="16"/>
          <w:color w:val="auto"/>
        </w:rPr>
        <w:t>”) in cash at least equal to the greater of (A) Executive’s target annual bonus for the fiscal year in which the Effective Date occurs (or (x) if no target annual bonus has been set for such fiscal year, the target annual bonus for the immediately preceding fiscal year, or (y) if Executive has no such target annual bonus, an amount equal to at least 35% of Annual Base Salary) and (B) the average of the annual bonuses paid or payable to Executive in respect of the last three full fiscal years prior to the Effective Date (or, if Executive was first employed by the Company after the beginning of the earliest of such three fiscal years, the average of the bonuses paid or payable under such plan(s) in respect of the fiscal years ending before the Effective Date during which Executive was employed by the Company), in each case, with any bonus that was prorated for a partial fiscal year being annualized (the “</w:t>
      </w:r>
      <w:r>
        <w:rPr>
          <w:rFonts w:ascii="Times New Roman" w:cs="Times New Roman" w:eastAsia="Times New Roman" w:hAnsi="Times New Roman"/>
          <w:sz w:val="16"/>
          <w:szCs w:val="16"/>
          <w:b w:val="1"/>
          <w:bCs w:val="1"/>
          <w:color w:val="auto"/>
        </w:rPr>
        <w:t>Recent Bonus</w:t>
      </w:r>
      <w:r>
        <w:rPr>
          <w:rFonts w:ascii="Times New Roman" w:cs="Times New Roman" w:eastAsia="Times New Roman" w:hAnsi="Times New Roman"/>
          <w:sz w:val="16"/>
          <w:szCs w:val="16"/>
          <w:color w:val="auto"/>
        </w:rPr>
        <w:t>”). Each such Annual Bonus shall be paid no later than two and a half months after the end of the fiscal year for which the Annual Bonus is awarded, unless Executive shall elect to defer the receipt of such Annual Bonus pursuant to an arrangement that meets the requirements of Section 409A of the Code.</w:t>
      </w:r>
    </w:p>
    <w:p>
      <w:pPr>
        <w:spacing w:after="0" w:line="139" w:lineRule="exact"/>
        <w:rPr>
          <w:rFonts w:ascii="Times New Roman" w:cs="Times New Roman" w:eastAsia="Times New Roman" w:hAnsi="Times New Roman"/>
          <w:sz w:val="16"/>
          <w:szCs w:val="16"/>
          <w:color w:val="auto"/>
        </w:rPr>
      </w:pPr>
    </w:p>
    <w:p>
      <w:pPr>
        <w:ind w:left="520" w:right="559" w:firstLine="1452"/>
        <w:spacing w:after="0" w:line="245" w:lineRule="auto"/>
        <w:tabs>
          <w:tab w:leader="none" w:pos="2455"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Incentive, Savings and Retirement Plans</w:t>
      </w:r>
      <w:r>
        <w:rPr>
          <w:rFonts w:ascii="Times New Roman" w:cs="Times New Roman" w:eastAsia="Times New Roman" w:hAnsi="Times New Roman"/>
          <w:sz w:val="16"/>
          <w:szCs w:val="16"/>
          <w:color w:val="auto"/>
        </w:rPr>
        <w:t>. During the Employment Period, Executive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entitled to participate in all incentive, savings and retirement plans, practices, policies and programs applicable generally to other peer executives of the Company and its Affiliates, but in no event shall such plans, practices, policies and programs provide Executive with incentive opportunities (measured with respect to both regular and special incentive opportunities, to the extent, if any,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467360</wp:posOffset>
            </wp:positionV>
            <wp:extent cx="50552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799"/>
        <w:spacing w:after="0" w:line="244" w:lineRule="auto"/>
        <w:rPr>
          <w:sz w:val="20"/>
          <w:szCs w:val="20"/>
          <w:color w:val="auto"/>
        </w:rPr>
      </w:pPr>
      <w:r>
        <w:rPr>
          <w:rFonts w:ascii="Times New Roman" w:cs="Times New Roman" w:eastAsia="Times New Roman" w:hAnsi="Times New Roman"/>
          <w:sz w:val="16"/>
          <w:szCs w:val="16"/>
          <w:color w:val="auto"/>
        </w:rPr>
        <w:t>distinction is applicable), savings opportunities and retirement benefit opportunities, in each case, less favorable, in the aggregate, than the most favorable of those provided by the Company and its Affiliates for Executive under such plans, practices, policies and programs as in effect at any time during the 120-day period immediately preceding the Effective Date or if more favorable to Executive, those provided generally at any time after the Effective Date to other peer executives of the Company and its Affiliates.</w:t>
      </w:r>
    </w:p>
    <w:p>
      <w:pPr>
        <w:spacing w:after="0" w:line="131" w:lineRule="exact"/>
        <w:rPr>
          <w:sz w:val="20"/>
          <w:szCs w:val="20"/>
          <w:color w:val="auto"/>
        </w:rPr>
      </w:pPr>
    </w:p>
    <w:p>
      <w:pPr>
        <w:ind w:left="520" w:right="579" w:firstLine="1452"/>
        <w:spacing w:after="0" w:line="239" w:lineRule="auto"/>
        <w:tabs>
          <w:tab w:leader="none" w:pos="245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Welfare and Insurance Benefit Plans</w:t>
      </w:r>
      <w:r>
        <w:rPr>
          <w:rFonts w:ascii="Times New Roman" w:cs="Times New Roman" w:eastAsia="Times New Roman" w:hAnsi="Times New Roman"/>
          <w:sz w:val="16"/>
          <w:szCs w:val="16"/>
          <w:color w:val="auto"/>
        </w:rPr>
        <w:t>. During the Employment Period, Executive and/or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family, as the case may be, shall be eligible for participation in and shall receive all benefits under welfare and insurance benefit plans, practices, policies and programs provided by the Company and its Affiliates (including medical, prescription, dental, disability, salary continuance, employee life, group life, accidental death and travel accident insurance plans and programs) (“</w:t>
      </w:r>
      <w:r>
        <w:rPr>
          <w:rFonts w:ascii="Times New Roman" w:cs="Times New Roman" w:eastAsia="Times New Roman" w:hAnsi="Times New Roman"/>
          <w:sz w:val="16"/>
          <w:szCs w:val="16"/>
          <w:b w:val="1"/>
          <w:bCs w:val="1"/>
          <w:color w:val="auto"/>
        </w:rPr>
        <w:t>Company Welfare Benefit Plans</w:t>
      </w:r>
      <w:r>
        <w:rPr>
          <w:rFonts w:ascii="Times New Roman" w:cs="Times New Roman" w:eastAsia="Times New Roman" w:hAnsi="Times New Roman"/>
          <w:sz w:val="16"/>
          <w:szCs w:val="16"/>
          <w:color w:val="auto"/>
        </w:rPr>
        <w:t>”) to the extent applicable generally to other peer executives of the Company and its Affiliates, but if the Company Welfare Benefit Plans provide Executive with benefits that are less favorable, in the aggregate, than the most favorable of such plans, practices, policies and programs in effect for Executive at any time during the 120-day period immediately preceding the Effective Date or, if more favorable to Executive, those provided generally at any time after the Effective Date (the “</w:t>
      </w:r>
      <w:r>
        <w:rPr>
          <w:rFonts w:ascii="Times New Roman" w:cs="Times New Roman" w:eastAsia="Times New Roman" w:hAnsi="Times New Roman"/>
          <w:sz w:val="16"/>
          <w:szCs w:val="16"/>
          <w:b w:val="1"/>
          <w:bCs w:val="1"/>
          <w:color w:val="auto"/>
        </w:rPr>
        <w:t>Former Company Welfare Benefit Plans</w:t>
      </w:r>
      <w:r>
        <w:rPr>
          <w:rFonts w:ascii="Times New Roman" w:cs="Times New Roman" w:eastAsia="Times New Roman" w:hAnsi="Times New Roman"/>
          <w:sz w:val="16"/>
          <w:szCs w:val="16"/>
          <w:color w:val="auto"/>
        </w:rPr>
        <w:t>”), the Company shall provide Executive with supplemental arrangements (such as individual insurance coverage purchased by the Company for Executive) such that the Company Welfare Benefit Plans together with such supplemental arrangements provide Executive with benefits that are at least as favorable, in the aggregate, as those provided by the Former Company Welfare Benefit Plans.</w:t>
      </w:r>
    </w:p>
    <w:p>
      <w:pPr>
        <w:spacing w:after="0" w:line="137" w:lineRule="exact"/>
        <w:rPr>
          <w:rFonts w:ascii="Times New Roman" w:cs="Times New Roman" w:eastAsia="Times New Roman" w:hAnsi="Times New Roman"/>
          <w:sz w:val="16"/>
          <w:szCs w:val="16"/>
          <w:color w:val="auto"/>
        </w:rPr>
      </w:pPr>
    </w:p>
    <w:p>
      <w:pPr>
        <w:ind w:left="520" w:right="599" w:firstLine="1452"/>
        <w:spacing w:after="0" w:line="245" w:lineRule="auto"/>
        <w:tabs>
          <w:tab w:leader="none" w:pos="245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Expenses</w:t>
      </w:r>
      <w:r>
        <w:rPr>
          <w:rFonts w:ascii="Times New Roman" w:cs="Times New Roman" w:eastAsia="Times New Roman" w:hAnsi="Times New Roman"/>
          <w:sz w:val="16"/>
          <w:szCs w:val="16"/>
          <w:color w:val="auto"/>
        </w:rPr>
        <w:t>. During the Employment Period, Executive shall be entitled to receive prompt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reimbursement for all reasonable expenses incurred by Executive in accordance with the most favorable policies, practices and procedures of the Company and its Affiliates in effect for Executive at any time during the 120-day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39" w:firstLine="1452"/>
        <w:spacing w:after="0" w:line="245" w:lineRule="auto"/>
        <w:tabs>
          <w:tab w:leader="none" w:pos="245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Fringe Benefits</w:t>
      </w:r>
      <w:r>
        <w:rPr>
          <w:rFonts w:ascii="Times New Roman" w:cs="Times New Roman" w:eastAsia="Times New Roman" w:hAnsi="Times New Roman"/>
          <w:sz w:val="16"/>
          <w:szCs w:val="16"/>
          <w:color w:val="auto"/>
        </w:rPr>
        <w:t>. During the Employment Period, Executive shall be entitled to fringe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and, if applicable, use of an automobile and payment of related expenses, in accordance with the most favorable plans, practices, programs and policies of the Company and its Affiliates in effect for Executive at any time during the 120-day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79" w:firstLine="1452"/>
        <w:spacing w:after="0" w:line="248" w:lineRule="auto"/>
        <w:tabs>
          <w:tab w:leader="none" w:pos="245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Office and Support Staff</w:t>
      </w:r>
      <w:r>
        <w:rPr>
          <w:rFonts w:ascii="Times New Roman" w:cs="Times New Roman" w:eastAsia="Times New Roman" w:hAnsi="Times New Roman"/>
          <w:sz w:val="16"/>
          <w:szCs w:val="16"/>
          <w:color w:val="auto"/>
        </w:rPr>
        <w:t>. During the Employment Period, Executive shall be entitled to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 or offices of a size and with furnishings and other appointments, and to personal secretarial and other assistance, at least equal to the most favorable of the foregoing provided to Executive by the Company and its Affiliates at any time during the 120-day period immediately preceding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465455</wp:posOffset>
            </wp:positionV>
            <wp:extent cx="50552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2" w:name="page143"/>
    <w:bookmarkEnd w:id="142"/>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699"/>
        <w:spacing w:after="0" w:line="270" w:lineRule="auto"/>
        <w:rPr>
          <w:sz w:val="20"/>
          <w:szCs w:val="20"/>
          <w:color w:val="auto"/>
        </w:rPr>
      </w:pPr>
      <w:r>
        <w:rPr>
          <w:rFonts w:ascii="Times New Roman" w:cs="Times New Roman" w:eastAsia="Times New Roman" w:hAnsi="Times New Roman"/>
          <w:sz w:val="16"/>
          <w:szCs w:val="16"/>
          <w:color w:val="auto"/>
        </w:rPr>
        <w:t>Date or, if more favorable to Executive, as provided generally at any time thereafter with respect to other peer executives of the Company and its Affiliates.</w:t>
      </w:r>
    </w:p>
    <w:p>
      <w:pPr>
        <w:spacing w:after="0" w:line="108" w:lineRule="exact"/>
        <w:rPr>
          <w:sz w:val="20"/>
          <w:szCs w:val="20"/>
          <w:color w:val="auto"/>
        </w:rPr>
      </w:pPr>
    </w:p>
    <w:p>
      <w:pPr>
        <w:ind w:left="520" w:right="659" w:firstLine="1452"/>
        <w:spacing w:after="0" w:line="245" w:lineRule="auto"/>
        <w:tabs>
          <w:tab w:leader="none" w:pos="2455"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Vacation</w:t>
      </w:r>
      <w:r>
        <w:rPr>
          <w:rFonts w:ascii="Times New Roman" w:cs="Times New Roman" w:eastAsia="Times New Roman" w:hAnsi="Times New Roman"/>
          <w:sz w:val="16"/>
          <w:szCs w:val="16"/>
          <w:color w:val="auto"/>
        </w:rPr>
        <w:t>. During the Employment Period, Executive shall be entitled to paid vacation,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case in accordance with the most favorable plans, policies, programs and practices of the Company and its Affiliates as in effect for Executive at any time during the 365-day period immediately preceding the Effective Date or, if more favorable to Executive, as in effect generally at any time thereafter with respect to other peer executives of the Company and its Affiliates.</w:t>
      </w:r>
    </w:p>
    <w:p>
      <w:pPr>
        <w:spacing w:after="0" w:line="129" w:lineRule="exact"/>
        <w:rPr>
          <w:rFonts w:ascii="Times New Roman" w:cs="Times New Roman" w:eastAsia="Times New Roman" w:hAnsi="Times New Roman"/>
          <w:sz w:val="16"/>
          <w:szCs w:val="16"/>
          <w:color w:val="auto"/>
        </w:rPr>
      </w:pPr>
    </w:p>
    <w:p>
      <w:pPr>
        <w:ind w:left="520" w:right="539" w:firstLine="968"/>
        <w:spacing w:after="0"/>
        <w:tabs>
          <w:tab w:leader="none" w:pos="197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Termination of Employment</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Death or Disability</w:t>
      </w:r>
      <w:r>
        <w:rPr>
          <w:rFonts w:ascii="Times New Roman" w:cs="Times New Roman" w:eastAsia="Times New Roman" w:hAnsi="Times New Roman"/>
          <w:sz w:val="16"/>
          <w:szCs w:val="16"/>
          <w:color w:val="auto"/>
        </w:rPr>
        <w:t>. The Executive’s employment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 automatically upon Executive’s death during the Employment Period. If the Company determines in good faith that the Disability of Executive has occurred during the Employment Period (pursuant to the definition of Disability set forth below), it may give to Executive written notice in accordance with Section 11(b) of its intention to terminate Executive’s employment. In such event, Executive’s employment with the Company shall terminate effective on the 30th day after receipt of such notice by Executive (the “</w:t>
      </w:r>
      <w:r>
        <w:rPr>
          <w:rFonts w:ascii="Times New Roman" w:cs="Times New Roman" w:eastAsia="Times New Roman" w:hAnsi="Times New Roman"/>
          <w:sz w:val="16"/>
          <w:szCs w:val="16"/>
          <w:b w:val="1"/>
          <w:bCs w:val="1"/>
          <w:color w:val="auto"/>
        </w:rPr>
        <w:t>Disability Effective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within the 30 days after such receipt, Executive shall not have returned to full-time performance of Executive’s duties. For purposes of this Agreement, “</w:t>
      </w:r>
      <w:r>
        <w:rPr>
          <w:rFonts w:ascii="Times New Roman" w:cs="Times New Roman" w:eastAsia="Times New Roman" w:hAnsi="Times New Roman"/>
          <w:sz w:val="16"/>
          <w:szCs w:val="16"/>
          <w:b w:val="1"/>
          <w:bCs w:val="1"/>
          <w:color w:val="auto"/>
        </w:rPr>
        <w:t>Disability</w:t>
      </w:r>
      <w:r>
        <w:rPr>
          <w:rFonts w:ascii="Times New Roman" w:cs="Times New Roman" w:eastAsia="Times New Roman" w:hAnsi="Times New Roman"/>
          <w:sz w:val="16"/>
          <w:szCs w:val="16"/>
          <w:color w:val="auto"/>
        </w:rPr>
        <w:t>” shall mean the absence of Executive from Executive’s duties with the Company on a full-time basis for 180 consecutive business days (or for 180 business days in any consecutive 365 days) as a result of incapacity due to mental or physical illness that is determined to be total and permanent by a physician selected by the Company or its insurers and acceptable to Executive or Executive’s legal representative.</w:t>
      </w:r>
    </w:p>
    <w:p>
      <w:pPr>
        <w:spacing w:after="0" w:line="133" w:lineRule="exact"/>
        <w:rPr>
          <w:sz w:val="20"/>
          <w:szCs w:val="20"/>
          <w:color w:val="auto"/>
        </w:rPr>
      </w:pPr>
    </w:p>
    <w:p>
      <w:pPr>
        <w:ind w:left="520" w:right="619" w:firstLine="968"/>
        <w:spacing w:after="0" w:line="272" w:lineRule="auto"/>
        <w:tabs>
          <w:tab w:leader="none" w:pos="197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Cause</w:t>
      </w:r>
      <w:r>
        <w:rPr>
          <w:rFonts w:ascii="Times New Roman" w:cs="Times New Roman" w:eastAsia="Times New Roman" w:hAnsi="Times New Roman"/>
          <w:sz w:val="16"/>
          <w:szCs w:val="16"/>
          <w:color w:val="auto"/>
        </w:rPr>
        <w:t>. The Company may terminate Executive’s employment during the Employment Period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without Cause. For purposes of this Agreement, “</w:t>
      </w:r>
      <w:r>
        <w:rPr>
          <w:rFonts w:ascii="Times New Roman" w:cs="Times New Roman" w:eastAsia="Times New Roman" w:hAnsi="Times New Roman"/>
          <w:sz w:val="16"/>
          <w:szCs w:val="16"/>
          <w:b w:val="1"/>
          <w:bCs w:val="1"/>
          <w:color w:val="auto"/>
        </w:rPr>
        <w:t>Cause</w:t>
      </w:r>
      <w:r>
        <w:rPr>
          <w:rFonts w:ascii="Times New Roman" w:cs="Times New Roman" w:eastAsia="Times New Roman" w:hAnsi="Times New Roman"/>
          <w:sz w:val="16"/>
          <w:szCs w:val="16"/>
          <w:color w:val="auto"/>
        </w:rPr>
        <w:t>” shall mean:</w:t>
      </w:r>
    </w:p>
    <w:p>
      <w:pPr>
        <w:spacing w:after="0" w:line="108" w:lineRule="exact"/>
        <w:rPr>
          <w:rFonts w:ascii="Times New Roman" w:cs="Times New Roman" w:eastAsia="Times New Roman" w:hAnsi="Times New Roman"/>
          <w:sz w:val="16"/>
          <w:szCs w:val="16"/>
          <w:color w:val="auto"/>
        </w:rPr>
      </w:pPr>
    </w:p>
    <w:p>
      <w:pPr>
        <w:ind w:left="1000" w:right="699" w:firstLine="972"/>
        <w:spacing w:after="0" w:line="243" w:lineRule="auto"/>
        <w:tabs>
          <w:tab w:leader="none" w:pos="2451"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willful and continued failure of Executive to perform substantially Executive’s duties with the Company or one of its Affiliates (other than any such failure resulting from incapacity due to physical or mental illness or following Executive’s delivery of a Notice of Termination for Good Reason), after a written demand for substantial performance is delivered to Executive by the Board or the Chief Executive Officer of the Company that specifically identifies the manner in which the Board or Chief Executive Officer of the Company believes that Executive has not substantially performed Executive’s duties, or</w:t>
      </w:r>
    </w:p>
    <w:p>
      <w:pPr>
        <w:spacing w:after="0" w:line="131" w:lineRule="exact"/>
        <w:rPr>
          <w:rFonts w:ascii="Times New Roman" w:cs="Times New Roman" w:eastAsia="Times New Roman" w:hAnsi="Times New Roman"/>
          <w:sz w:val="16"/>
          <w:szCs w:val="16"/>
          <w:color w:val="auto"/>
        </w:rPr>
      </w:pPr>
    </w:p>
    <w:p>
      <w:pPr>
        <w:ind w:left="1000" w:right="759" w:firstLine="972"/>
        <w:spacing w:after="0" w:line="270" w:lineRule="auto"/>
        <w:tabs>
          <w:tab w:leader="none" w:pos="2451"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willful engaging by Executive in illegal conduct or gross misconduct that is materially and demonstrably injurious to the Company.</w:t>
      </w:r>
    </w:p>
    <w:p>
      <w:pPr>
        <w:spacing w:after="0" w:line="110" w:lineRule="exact"/>
        <w:rPr>
          <w:sz w:val="20"/>
          <w:szCs w:val="20"/>
          <w:color w:val="auto"/>
        </w:rPr>
      </w:pPr>
    </w:p>
    <w:p>
      <w:pPr>
        <w:ind w:left="1000" w:right="579"/>
        <w:spacing w:after="0" w:line="253" w:lineRule="auto"/>
        <w:rPr>
          <w:sz w:val="20"/>
          <w:szCs w:val="20"/>
          <w:color w:val="auto"/>
        </w:rPr>
      </w:pPr>
      <w:r>
        <w:rPr>
          <w:rFonts w:ascii="Times New Roman" w:cs="Times New Roman" w:eastAsia="Times New Roman" w:hAnsi="Times New Roman"/>
          <w:sz w:val="16"/>
          <w:szCs w:val="16"/>
          <w:color w:val="auto"/>
        </w:rPr>
        <w:t>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Any act, or failure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360045</wp:posOffset>
            </wp:positionV>
            <wp:extent cx="50552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3" w:name="page144"/>
    <w:bookmarkEnd w:id="143"/>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1000" w:right="539"/>
        <w:spacing w:after="0" w:line="239" w:lineRule="auto"/>
        <w:rPr>
          <w:sz w:val="20"/>
          <w:szCs w:val="20"/>
          <w:color w:val="auto"/>
        </w:rPr>
      </w:pPr>
      <w:r>
        <w:rPr>
          <w:rFonts w:ascii="Times New Roman" w:cs="Times New Roman" w:eastAsia="Times New Roman" w:hAnsi="Times New Roman"/>
          <w:sz w:val="16"/>
          <w:szCs w:val="16"/>
          <w:color w:val="auto"/>
        </w:rPr>
        <w:t>based upon authority given pursuant to a resolution duly adopted by the Board, or if the Company is not the ultimate parent entity of the Company and is not publicly traded, the board of directors (or, for a non-corporate entity, equivalent governing body) of the ultimate parent of the Company (the “</w:t>
      </w:r>
      <w:r>
        <w:rPr>
          <w:rFonts w:ascii="Times New Roman" w:cs="Times New Roman" w:eastAsia="Times New Roman" w:hAnsi="Times New Roman"/>
          <w:sz w:val="16"/>
          <w:szCs w:val="16"/>
          <w:b w:val="1"/>
          <w:bCs w:val="1"/>
          <w:color w:val="auto"/>
        </w:rPr>
        <w:t>Applicable Board</w:t>
      </w:r>
      <w:r>
        <w:rPr>
          <w:rFonts w:ascii="Times New Roman" w:cs="Times New Roman" w:eastAsia="Times New Roman" w:hAnsi="Times New Roman"/>
          <w:sz w:val="16"/>
          <w:szCs w:val="16"/>
          <w:color w:val="auto"/>
        </w:rPr>
        <w:t>”) or upon the instructions of the Chief Executive Officer of the Company or a senior officer of the Company and its Affiliates or based upon the advice of counsel for the Company and its Affiliates shall be conclusively presumed to be done, or omitted to be done, by Executive in good faith and in the best interests of the Company and its Affiliates. The cessation of employment of Executive shall not be deemed to be for Cause unless and until there shall have been delivered to Executive a copy of a resolution duly adopted by the affirmative vote of not less than three-quarters of the entire membership of the Applicable Board (excluding Executive if Executive is a member of the Applicable Board) at a meeting of the Applicable Board called and held for such purpose (after reasonable notice is provided to Executive and Executive is given an opportunity, together with counsel for Executive, to be heard before the Applicable Board), finding that, in the good faith opinion of the Applicable Board, Executive is guilty of the conduct described in subparagraph (i) or (ii) above, and specifying the particulars thereof in detail.</w:t>
      </w:r>
    </w:p>
    <w:p>
      <w:pPr>
        <w:spacing w:after="0" w:line="136" w:lineRule="exact"/>
        <w:rPr>
          <w:sz w:val="20"/>
          <w:szCs w:val="20"/>
          <w:color w:val="auto"/>
        </w:rPr>
      </w:pPr>
    </w:p>
    <w:p>
      <w:pPr>
        <w:ind w:left="520" w:right="639" w:firstLine="968"/>
        <w:spacing w:after="0" w:line="248" w:lineRule="auto"/>
        <w:tabs>
          <w:tab w:leader="none" w:pos="1971"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Good Reason</w:t>
      </w:r>
      <w:r>
        <w:rPr>
          <w:rFonts w:ascii="Times New Roman" w:cs="Times New Roman" w:eastAsia="Times New Roman" w:hAnsi="Times New Roman"/>
          <w:sz w:val="16"/>
          <w:szCs w:val="16"/>
          <w:color w:val="auto"/>
        </w:rPr>
        <w:t>. The Executive’s employment may be terminated during the Employment Period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for Good Reason or by Executive voluntarily without Good Reason. “</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means actions taken by the Company resulting in a material negative change in the employment relationship. For these purposes, a “material negative change in the employment relationship” shall include:</w:t>
      </w:r>
    </w:p>
    <w:p>
      <w:pPr>
        <w:spacing w:after="0" w:line="128" w:lineRule="exact"/>
        <w:rPr>
          <w:rFonts w:ascii="Times New Roman" w:cs="Times New Roman" w:eastAsia="Times New Roman" w:hAnsi="Times New Roman"/>
          <w:sz w:val="16"/>
          <w:szCs w:val="16"/>
          <w:color w:val="auto"/>
        </w:rPr>
      </w:pPr>
    </w:p>
    <w:p>
      <w:pPr>
        <w:ind w:left="520" w:right="559" w:firstLine="1452"/>
        <w:spacing w:after="0" w:line="247" w:lineRule="auto"/>
        <w:tabs>
          <w:tab w:leader="none" w:pos="2455"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to Executive of duties materially inconsistent with Executive’s position (including status, offices, titles and reporting requirements), authority, duties or responsibilities as contemplated by Section 3(a), or a material diminution in such position, authority, duties or responsibilities or a material diminution in the budget over which Executive retains authority;</w:t>
      </w:r>
    </w:p>
    <w:p>
      <w:pPr>
        <w:spacing w:after="0" w:line="129" w:lineRule="exact"/>
        <w:rPr>
          <w:rFonts w:ascii="Times New Roman" w:cs="Times New Roman" w:eastAsia="Times New Roman" w:hAnsi="Times New Roman"/>
          <w:sz w:val="16"/>
          <w:szCs w:val="16"/>
          <w:color w:val="auto"/>
        </w:rPr>
      </w:pPr>
    </w:p>
    <w:p>
      <w:pPr>
        <w:ind w:left="520" w:right="559" w:firstLine="1452"/>
        <w:spacing w:after="0" w:line="253" w:lineRule="auto"/>
        <w:tabs>
          <w:tab w:leader="none" w:pos="2455"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diminution in the authorities, duties or responsibilities of the person to whom Executive is required to report, including a requirement that Executive report to an officer or employee instead of reporting directly to the Applicable Board;</w:t>
      </w:r>
    </w:p>
    <w:p>
      <w:pPr>
        <w:spacing w:after="0" w:line="123" w:lineRule="exact"/>
        <w:rPr>
          <w:rFonts w:ascii="Times New Roman" w:cs="Times New Roman" w:eastAsia="Times New Roman" w:hAnsi="Times New Roman"/>
          <w:sz w:val="16"/>
          <w:szCs w:val="16"/>
          <w:color w:val="auto"/>
        </w:rPr>
      </w:pPr>
    </w:p>
    <w:p>
      <w:pPr>
        <w:jc w:val="both"/>
        <w:ind w:left="520" w:right="859" w:firstLine="1452"/>
        <w:spacing w:after="0" w:line="247" w:lineRule="auto"/>
        <w:tabs>
          <w:tab w:leader="none" w:pos="2455"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of (A) any element of the compensation and benefits required to be provided to Executive in accordance with any of the provisions of Section 3(b); (B) Executive’s aggregate annual cash compensation, that for this purpose shall include Base Salary and Annual Bonus; or (C) the benefits, in the aggregate, required to be provided to Executive in accordance with the provisions of this Agreement;</w:t>
      </w:r>
    </w:p>
    <w:p>
      <w:pPr>
        <w:spacing w:after="0" w:line="129" w:lineRule="exact"/>
        <w:rPr>
          <w:rFonts w:ascii="Times New Roman" w:cs="Times New Roman" w:eastAsia="Times New Roman" w:hAnsi="Times New Roman"/>
          <w:sz w:val="16"/>
          <w:szCs w:val="16"/>
          <w:color w:val="auto"/>
        </w:rPr>
      </w:pPr>
    </w:p>
    <w:p>
      <w:pPr>
        <w:jc w:val="both"/>
        <w:ind w:left="520" w:right="799" w:firstLine="1452"/>
        <w:spacing w:after="0" w:line="253" w:lineRule="auto"/>
        <w:tabs>
          <w:tab w:leader="none" w:pos="2455"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requiring Executive (A) to be based at any office or location other than as provided in Section 3(a)(i)(B) resulting in a material increase in Executive’s commute to and from Executive’s primary residence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4" w:name="page145"/>
    <w:bookmarkEnd w:id="144"/>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39"/>
        <w:spacing w:after="0" w:line="253" w:lineRule="auto"/>
        <w:rPr>
          <w:sz w:val="20"/>
          <w:szCs w:val="20"/>
          <w:color w:val="auto"/>
        </w:rPr>
      </w:pPr>
      <w:r>
        <w:rPr>
          <w:rFonts w:ascii="Times New Roman" w:cs="Times New Roman" w:eastAsia="Times New Roman" w:hAnsi="Times New Roman"/>
          <w:sz w:val="16"/>
          <w:szCs w:val="16"/>
          <w:color w:val="auto"/>
        </w:rPr>
        <w:t>purpose an increase in Executive’s commute by 25 miles or more shall be deemed material); or (B) to be based at a location other than the principal executive offices of the Company if Executive was employed at such location immediately preceding the Effective Date; or</w:t>
      </w:r>
    </w:p>
    <w:p>
      <w:pPr>
        <w:spacing w:after="0" w:line="124" w:lineRule="exact"/>
        <w:rPr>
          <w:sz w:val="20"/>
          <w:szCs w:val="20"/>
          <w:color w:val="auto"/>
        </w:rPr>
      </w:pPr>
    </w:p>
    <w:p>
      <w:pPr>
        <w:ind w:left="520" w:right="1079" w:firstLine="1452"/>
        <w:spacing w:after="0" w:line="270" w:lineRule="auto"/>
        <w:tabs>
          <w:tab w:leader="none" w:pos="245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action or inaction that constitutes a material breach by the Company of this Agreement, including any failure by the Company to comply with and satisfy Section 10(c).</w:t>
      </w:r>
    </w:p>
    <w:p>
      <w:pPr>
        <w:spacing w:after="0" w:line="110" w:lineRule="exact"/>
        <w:rPr>
          <w:sz w:val="20"/>
          <w:szCs w:val="20"/>
          <w:color w:val="auto"/>
        </w:rPr>
      </w:pPr>
    </w:p>
    <w:p>
      <w:pPr>
        <w:ind w:left="520" w:right="559"/>
        <w:spacing w:after="0" w:line="239" w:lineRule="auto"/>
        <w:rPr>
          <w:sz w:val="20"/>
          <w:szCs w:val="20"/>
          <w:color w:val="auto"/>
        </w:rPr>
      </w:pPr>
      <w:r>
        <w:rPr>
          <w:rFonts w:ascii="Times New Roman" w:cs="Times New Roman" w:eastAsia="Times New Roman" w:hAnsi="Times New Roman"/>
          <w:sz w:val="16"/>
          <w:szCs w:val="16"/>
          <w:color w:val="auto"/>
        </w:rPr>
        <w:t>In order to invoke a termination for Good Reason, Executive shall provide written notice to the Company of the existence of one or more of the conditions described in clauses (i) through (v) within 90 days following Executive’s knowledge of the initial existence of such condition or conditions, specifying in reasonable detail the conditions constituting Good Reason, and the Company shall have 30 days following receipt of such written notice (the “</w:t>
      </w:r>
      <w:r>
        <w:rPr>
          <w:rFonts w:ascii="Times New Roman" w:cs="Times New Roman" w:eastAsia="Times New Roman" w:hAnsi="Times New Roman"/>
          <w:sz w:val="16"/>
          <w:szCs w:val="16"/>
          <w:b w:val="1"/>
          <w:bCs w:val="1"/>
          <w:color w:val="auto"/>
        </w:rPr>
        <w:t>Cure Period</w:t>
      </w:r>
      <w:r>
        <w:rPr>
          <w:rFonts w:ascii="Times New Roman" w:cs="Times New Roman" w:eastAsia="Times New Roman" w:hAnsi="Times New Roman"/>
          <w:sz w:val="16"/>
          <w:szCs w:val="16"/>
          <w:color w:val="auto"/>
        </w:rPr>
        <w:t>”) during which it may remedy the condition. In the event that the Company fails to remedy the condition constituting Good Reason during the applicable Cure Period, Executive’s “separation from service” (within the meaning of Section 409A of the Code) must occur, if at all, within two years following the initial existence of such condition or conditions in order for such termination as a result of such condition to constitute a termination for Good Reason. The Executive’s mental or physical incapacity following the occurrence of an event described above in clauses (i) through (v) shall not affect Executive’s ability to terminate employment for Good Reason and Executive’s death following delivery of a Notice of Termination for Good Reason shall not affect Executive’s estate’s entitlement to severance payments benefits provided hereunder upon a termination of employment for Good Reason.</w:t>
      </w:r>
    </w:p>
    <w:p>
      <w:pPr>
        <w:spacing w:after="0" w:line="137" w:lineRule="exact"/>
        <w:rPr>
          <w:sz w:val="20"/>
          <w:szCs w:val="20"/>
          <w:color w:val="auto"/>
        </w:rPr>
      </w:pPr>
    </w:p>
    <w:p>
      <w:pPr>
        <w:ind w:left="520" w:right="699" w:firstLine="968"/>
        <w:spacing w:after="0" w:line="245" w:lineRule="auto"/>
        <w:tabs>
          <w:tab w:leader="none" w:pos="197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Incapacity</w:t>
      </w:r>
      <w:r>
        <w:rPr>
          <w:rFonts w:ascii="Times New Roman" w:cs="Times New Roman" w:eastAsia="Times New Roman" w:hAnsi="Times New Roman"/>
          <w:sz w:val="16"/>
          <w:szCs w:val="16"/>
          <w:color w:val="auto"/>
        </w:rPr>
        <w:t>. The Executive’s mental or physical incapacity following the occurrence of an event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described above in clauses (i) through (v) of Section 4(c) shall not affect Executive’s ability to terminate employment for Good Reason and Executive’s death following delivery of a Notice of Termination for Good Reason shall not affect the entitlement of the estate of Executive to severance payments or benefits provided hereunder upon a termination of employment for Good Reason.</w:t>
      </w:r>
    </w:p>
    <w:p>
      <w:pPr>
        <w:spacing w:after="0" w:line="129" w:lineRule="exact"/>
        <w:rPr>
          <w:rFonts w:ascii="Times New Roman" w:cs="Times New Roman" w:eastAsia="Times New Roman" w:hAnsi="Times New Roman"/>
          <w:sz w:val="16"/>
          <w:szCs w:val="16"/>
          <w:color w:val="auto"/>
        </w:rPr>
      </w:pPr>
    </w:p>
    <w:p>
      <w:pPr>
        <w:ind w:left="520" w:right="559" w:firstLine="968"/>
        <w:spacing w:after="0"/>
        <w:tabs>
          <w:tab w:leader="none" w:pos="1971"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 of Termination</w:t>
      </w:r>
      <w:r>
        <w:rPr>
          <w:rFonts w:ascii="Times New Roman" w:cs="Times New Roman" w:eastAsia="Times New Roman" w:hAnsi="Times New Roman"/>
          <w:sz w:val="16"/>
          <w:szCs w:val="16"/>
          <w:color w:val="auto"/>
        </w:rPr>
        <w:t>. Any termination of employment by the Company for Cause, or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for Good Reason, shall be communicated by Notice of Termination to the other party hereto given in accordance with Section 11(b). For purposes of this Agreement, a “</w:t>
      </w:r>
      <w:r>
        <w:rPr>
          <w:rFonts w:ascii="Times New Roman" w:cs="Times New Roman" w:eastAsia="Times New Roman" w:hAnsi="Times New Roman"/>
          <w:sz w:val="16"/>
          <w:szCs w:val="16"/>
          <w:b w:val="1"/>
          <w:bCs w:val="1"/>
          <w:color w:val="auto"/>
        </w:rPr>
        <w:t>Notice of Termination</w:t>
      </w:r>
      <w:r>
        <w:rPr>
          <w:rFonts w:ascii="Times New Roman" w:cs="Times New Roman" w:eastAsia="Times New Roman" w:hAnsi="Times New Roman"/>
          <w:sz w:val="16"/>
          <w:szCs w:val="16"/>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below) is other than the date of receipt of such notice, specifies the Date of Termination (which date shall be not more than 30 days after the giving of such notice) (subject to the Company’s right to cure in the case of a resignation for Good Reason). The failure by Executive or the Company to set forth in the Notice of Termination any fact or circumstance that contributes to a showing of Good Reason or Cause shall not waive any right of Executive or the Company, respectively, hereunder or preclude Executive or the Company,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586740</wp:posOffset>
            </wp:positionV>
            <wp:extent cx="50552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5" w:name="page146"/>
    <w:bookmarkEnd w:id="145"/>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from asserting such fact or circumstance in enforcing Executive’s or the Company’s rights hereunder.</w:t>
      </w:r>
    </w:p>
    <w:p>
      <w:pPr>
        <w:spacing w:after="0" w:line="157" w:lineRule="exact"/>
        <w:rPr>
          <w:sz w:val="20"/>
          <w:szCs w:val="20"/>
          <w:color w:val="auto"/>
        </w:rPr>
      </w:pPr>
    </w:p>
    <w:p>
      <w:pPr>
        <w:ind w:left="520" w:right="619" w:firstLine="968"/>
        <w:spacing w:after="0" w:line="242" w:lineRule="auto"/>
        <w:tabs>
          <w:tab w:leader="none" w:pos="197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Date of Termination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Date of Termination</w:t>
      </w:r>
      <w:r>
        <w:rPr>
          <w:rFonts w:ascii="Times New Roman" w:cs="Times New Roman" w:eastAsia="Times New Roman" w:hAnsi="Times New Roman"/>
          <w:sz w:val="16"/>
          <w:szCs w:val="16"/>
          <w:color w:val="auto"/>
        </w:rPr>
        <w:t>” means (i) if Executive’s employment is terminated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Company for Cause, or by Executive for Good Reason, the date of receipt of the Notice of Termination or any later date specified therein, as the case may be, (ii) if Executive’s employment is terminated by the Company other than for Cause or Disability, the date on which the Company notifies Executive of such termination, (iii) if Executive resigns without Good Reason, the date on which Executive notifies the Company of such termination and (iv) if Executive’s employment is terminated by reason of death or Disability, the date of death of Executive or the Disability Effective Date, as the case may be.</w:t>
      </w:r>
    </w:p>
    <w:p>
      <w:pPr>
        <w:spacing w:after="0" w:line="132" w:lineRule="exact"/>
        <w:rPr>
          <w:sz w:val="20"/>
          <w:szCs w:val="20"/>
          <w:color w:val="auto"/>
        </w:rPr>
      </w:pPr>
    </w:p>
    <w:p>
      <w:pPr>
        <w:ind w:left="520" w:right="619" w:firstLine="968"/>
        <w:spacing w:after="0" w:line="248" w:lineRule="auto"/>
        <w:tabs>
          <w:tab w:leader="none" w:pos="197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Obligations of the Company upon Termination</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By Executive for Good Reason;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Company Other Than for Cause, Death or Disability</w:t>
      </w:r>
      <w:r>
        <w:rPr>
          <w:rFonts w:ascii="Times New Roman" w:cs="Times New Roman" w:eastAsia="Times New Roman" w:hAnsi="Times New Roman"/>
          <w:sz w:val="16"/>
          <w:szCs w:val="16"/>
          <w:color w:val="auto"/>
        </w:rPr>
        <w:t>. If, during the Employment Period, the Company shall terminate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employment other than for Cause, Death or Disability or Executive shall terminate employment for Good Reason:</w:t>
      </w:r>
    </w:p>
    <w:p>
      <w:pPr>
        <w:spacing w:after="0" w:line="128" w:lineRule="exact"/>
        <w:rPr>
          <w:rFonts w:ascii="Times New Roman" w:cs="Times New Roman" w:eastAsia="Times New Roman" w:hAnsi="Times New Roman"/>
          <w:sz w:val="16"/>
          <w:szCs w:val="16"/>
          <w:color w:val="auto"/>
        </w:rPr>
      </w:pPr>
    </w:p>
    <w:p>
      <w:pPr>
        <w:ind w:left="1000" w:right="559" w:firstLine="972"/>
        <w:spacing w:after="0" w:line="270" w:lineRule="auto"/>
        <w:tabs>
          <w:tab w:leader="none" w:pos="2451"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11(l), the Company shall pay to Executive in a lump sum in cash within 30 days after the Date of Termination the aggregate of the following amounts:</w:t>
      </w:r>
    </w:p>
    <w:p>
      <w:pPr>
        <w:spacing w:after="0" w:line="110" w:lineRule="exact"/>
        <w:rPr>
          <w:rFonts w:ascii="Times New Roman" w:cs="Times New Roman" w:eastAsia="Times New Roman" w:hAnsi="Times New Roman"/>
          <w:sz w:val="16"/>
          <w:szCs w:val="16"/>
          <w:color w:val="auto"/>
        </w:rPr>
      </w:pPr>
    </w:p>
    <w:p>
      <w:pPr>
        <w:jc w:val="both"/>
        <w:ind w:left="1480" w:right="539" w:firstLine="976"/>
        <w:spacing w:after="0" w:line="239" w:lineRule="auto"/>
        <w:tabs>
          <w:tab w:leader="none" w:pos="2931"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(1) Executive’s Annual Base Salary through the Date of Termination to the extent not theretofore paid, (2) Executive’s business expenses that are reimbursable pursuant to Section 3(b)(v) but have not been reimbursed by the Company as of the Date of Termination; (3) Executive’s Annual Bonus for the fiscal year immediately preceding the fiscal year in which the Date of Termination occurs, if such bonus has been determined but not paid as of the Date of Termination; (4) any accrued vacation pay to the extent not theretofore paid (the sum of the amounts described in subclauses (1), (2), (3) and (4), the “</w:t>
      </w:r>
      <w:r>
        <w:rPr>
          <w:rFonts w:ascii="Times New Roman" w:cs="Times New Roman" w:eastAsia="Times New Roman" w:hAnsi="Times New Roman"/>
          <w:sz w:val="16"/>
          <w:szCs w:val="16"/>
          <w:b w:val="1"/>
          <w:bCs w:val="1"/>
          <w:color w:val="auto"/>
        </w:rPr>
        <w:t>Accrued Obligations</w:t>
      </w:r>
      <w:r>
        <w:rPr>
          <w:rFonts w:ascii="Times New Roman" w:cs="Times New Roman" w:eastAsia="Times New Roman" w:hAnsi="Times New Roman"/>
          <w:sz w:val="16"/>
          <w:szCs w:val="16"/>
          <w:color w:val="auto"/>
        </w:rPr>
        <w:t>”); and (5) an amount equal to the product of (x) the Recent Bonus and</w:t>
      </w:r>
    </w:p>
    <w:p>
      <w:pPr>
        <w:spacing w:after="0" w:line="5" w:lineRule="exact"/>
        <w:rPr>
          <w:rFonts w:ascii="Times New Roman" w:cs="Times New Roman" w:eastAsia="Times New Roman" w:hAnsi="Times New Roman"/>
          <w:sz w:val="16"/>
          <w:szCs w:val="16"/>
          <w:color w:val="auto"/>
        </w:rPr>
      </w:pPr>
    </w:p>
    <w:p>
      <w:pPr>
        <w:jc w:val="both"/>
        <w:ind w:left="1480" w:right="53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 a fraction, the numerator of which is the number of days in the current fiscal year through the Date of Termination, and the denominator of which is 365 (the “</w:t>
      </w:r>
      <w:r>
        <w:rPr>
          <w:rFonts w:ascii="Times New Roman" w:cs="Times New Roman" w:eastAsia="Times New Roman" w:hAnsi="Times New Roman"/>
          <w:sz w:val="16"/>
          <w:szCs w:val="16"/>
          <w:b w:val="1"/>
          <w:bCs w:val="1"/>
          <w:color w:val="auto"/>
        </w:rPr>
        <w:t>Pro Rata Bonus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Code to defer any portion of the Annual Base Salary or the Annual Bonus described in clauses (1) or (3) above, then for all purposes of this Section 5 (including Sections 5(b) through 5(d)), such deferral election, and the terms of the applicable arrangement shall apply to the same portion of the amount described in such clause (1) or clause (3), and such portion shall not be considered as part of the “Accrued Obligations” but shall instead be an “Other Benefit” (as defined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469900</wp:posOffset>
            </wp:positionV>
            <wp:extent cx="50552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6" w:name="page147"/>
    <w:bookmarkEnd w:id="146"/>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jc w:val="both"/>
        <w:ind w:left="1480" w:right="539" w:firstLine="976"/>
        <w:spacing w:after="0" w:line="247" w:lineRule="auto"/>
        <w:tabs>
          <w:tab w:leader="none" w:pos="293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two and (2) the sum of (x) Executive’s Annual Base Salary and (y) the greater of the Annual Cash Bonus (at target) in the year of a Change in Control or the average of the Annual Cash Bonus earned by Executive during the three years prior to a Change in Control (including the full value of the Annual Cash Bonus, whether payable in cash or another form); and</w:t>
      </w:r>
    </w:p>
    <w:p>
      <w:pPr>
        <w:spacing w:after="0" w:line="129" w:lineRule="exact"/>
        <w:rPr>
          <w:rFonts w:ascii="Times New Roman" w:cs="Times New Roman" w:eastAsia="Times New Roman" w:hAnsi="Times New Roman"/>
          <w:sz w:val="16"/>
          <w:szCs w:val="16"/>
          <w:color w:val="auto"/>
        </w:rPr>
      </w:pPr>
    </w:p>
    <w:p>
      <w:pPr>
        <w:jc w:val="both"/>
        <w:ind w:left="1480" w:right="539" w:firstLine="976"/>
        <w:spacing w:after="0" w:line="238" w:lineRule="auto"/>
        <w:tabs>
          <w:tab w:leader="none" w:pos="293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w:t>
      </w:r>
      <w:r>
        <w:rPr>
          <w:rFonts w:ascii="Times New Roman" w:cs="Times New Roman" w:eastAsia="Times New Roman" w:hAnsi="Times New Roman"/>
          <w:sz w:val="16"/>
          <w:szCs w:val="16"/>
          <w:b w:val="1"/>
          <w:bCs w:val="1"/>
          <w:color w:val="auto"/>
        </w:rPr>
        <w:t>Savings Plans</w:t>
      </w:r>
      <w:r>
        <w:rPr>
          <w:rFonts w:ascii="Times New Roman" w:cs="Times New Roman" w:eastAsia="Times New Roman" w:hAnsi="Times New Roman"/>
          <w:sz w:val="16"/>
          <w:szCs w:val="16"/>
          <w:color w:val="auto"/>
        </w:rPr>
        <w:t>”) that Executive would receive if Executive’s employment continued for the two year period following the Date of Termination (the “</w:t>
      </w:r>
      <w:r>
        <w:rPr>
          <w:rFonts w:ascii="Times New Roman" w:cs="Times New Roman" w:eastAsia="Times New Roman" w:hAnsi="Times New Roman"/>
          <w:sz w:val="16"/>
          <w:szCs w:val="16"/>
          <w:b w:val="1"/>
          <w:bCs w:val="1"/>
          <w:color w:val="auto"/>
        </w:rPr>
        <w:t>Benefits Period</w:t>
      </w:r>
      <w:r>
        <w:rPr>
          <w:rFonts w:ascii="Times New Roman" w:cs="Times New Roman" w:eastAsia="Times New Roman" w:hAnsi="Times New Roman"/>
          <w:sz w:val="16"/>
          <w:szCs w:val="16"/>
          <w:color w:val="auto"/>
        </w:rPr>
        <w:t>”), assuming for this purpose that (A) Executive is fully vested in the right to receive employer contributions under such plans; (B) Executive’s compensation during each year of the Benefits Period is equal to the Annual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Annual Base Salary and/or Annual Bonus under the Savings Plans that would result in the maximum possible employer contribution; and</w:t>
      </w:r>
    </w:p>
    <w:p>
      <w:pPr>
        <w:spacing w:after="0" w:line="137" w:lineRule="exact"/>
        <w:rPr>
          <w:rFonts w:ascii="Times New Roman" w:cs="Times New Roman" w:eastAsia="Times New Roman" w:hAnsi="Times New Roman"/>
          <w:sz w:val="16"/>
          <w:szCs w:val="16"/>
          <w:color w:val="auto"/>
        </w:rPr>
      </w:pPr>
    </w:p>
    <w:p>
      <w:pPr>
        <w:jc w:val="both"/>
        <w:ind w:left="1480" w:right="539" w:firstLine="976"/>
        <w:spacing w:after="0" w:line="244" w:lineRule="auto"/>
        <w:tabs>
          <w:tab w:leader="none" w:pos="293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468630</wp:posOffset>
            </wp:positionV>
            <wp:extent cx="50552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7" w:name="page148"/>
    <w:bookmarkEnd w:id="147"/>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jc w:val="both"/>
        <w:ind w:left="1480" w:right="539"/>
        <w:spacing w:after="0" w:line="247" w:lineRule="auto"/>
        <w:rPr>
          <w:sz w:val="20"/>
          <w:szCs w:val="20"/>
          <w:color w:val="auto"/>
        </w:rPr>
      </w:pPr>
      <w:r>
        <w:rPr>
          <w:rFonts w:ascii="Times New Roman" w:cs="Times New Roman" w:eastAsia="Times New Roman" w:hAnsi="Times New Roman"/>
          <w:sz w:val="16"/>
          <w:szCs w:val="16"/>
          <w:color w:val="auto"/>
        </w:rPr>
        <w:t>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 and</w:t>
      </w:r>
    </w:p>
    <w:p>
      <w:pPr>
        <w:spacing w:after="0" w:line="129" w:lineRule="exact"/>
        <w:rPr>
          <w:sz w:val="20"/>
          <w:szCs w:val="20"/>
          <w:color w:val="auto"/>
        </w:rPr>
      </w:pPr>
    </w:p>
    <w:p>
      <w:pPr>
        <w:jc w:val="both"/>
        <w:ind w:left="1540" w:right="539" w:firstLine="916"/>
        <w:spacing w:after="0" w:line="243" w:lineRule="auto"/>
        <w:tabs>
          <w:tab w:leader="none" w:pos="2931"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Executive’s equity awards subject to performance-based vesting (“</w:t>
      </w:r>
      <w:r>
        <w:rPr>
          <w:rFonts w:ascii="Times New Roman" w:cs="Times New Roman" w:eastAsia="Times New Roman" w:hAnsi="Times New Roman"/>
          <w:sz w:val="16"/>
          <w:szCs w:val="16"/>
          <w:b w:val="1"/>
          <w:bCs w:val="1"/>
          <w:color w:val="auto"/>
        </w:rPr>
        <w:t>Performance Awards</w:t>
      </w:r>
      <w:r>
        <w:rPr>
          <w:rFonts w:ascii="Times New Roman" w:cs="Times New Roman" w:eastAsia="Times New Roman" w:hAnsi="Times New Roman"/>
          <w:sz w:val="16"/>
          <w:szCs w:val="16"/>
          <w:color w:val="auto"/>
        </w:rPr>
        <w:t>”) will become fully vested as of the date of termination of employment: (i) based on actual performance measured as of the most recent completed fiscal quarter, and (ii) if actual performance cannot be determined, all Performance Awards will vest as to all shares subject to an outstanding Performance Award at the target performance level; and all of the Executive’s equity awards subject to time-based vesting will become fully vested as of the date of termination of employment; and</w:t>
      </w:r>
    </w:p>
    <w:p>
      <w:pPr>
        <w:spacing w:after="0" w:line="131" w:lineRule="exact"/>
        <w:rPr>
          <w:rFonts w:ascii="Times New Roman" w:cs="Times New Roman" w:eastAsia="Times New Roman" w:hAnsi="Times New Roman"/>
          <w:sz w:val="16"/>
          <w:szCs w:val="16"/>
          <w:color w:val="auto"/>
        </w:rPr>
      </w:pPr>
    </w:p>
    <w:p>
      <w:pPr>
        <w:ind w:left="520" w:right="539" w:firstLine="1452"/>
        <w:spacing w:after="0" w:line="247" w:lineRule="auto"/>
        <w:tabs>
          <w:tab w:leader="none" w:pos="2455"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29" w:lineRule="exact"/>
        <w:rPr>
          <w:rFonts w:ascii="Times New Roman" w:cs="Times New Roman" w:eastAsia="Times New Roman" w:hAnsi="Times New Roman"/>
          <w:sz w:val="16"/>
          <w:szCs w:val="16"/>
          <w:color w:val="auto"/>
        </w:rPr>
      </w:pPr>
    </w:p>
    <w:p>
      <w:pPr>
        <w:ind w:left="520" w:right="539" w:firstLine="1452"/>
        <w:spacing w:after="0" w:line="242" w:lineRule="auto"/>
        <w:tabs>
          <w:tab w:leader="none" w:pos="2455"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in the last sentence of Section 6,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w:t>
      </w:r>
      <w:r>
        <w:rPr>
          <w:rFonts w:ascii="Times New Roman" w:cs="Times New Roman" w:eastAsia="Times New Roman" w:hAnsi="Times New Roman"/>
          <w:sz w:val="16"/>
          <w:szCs w:val="16"/>
          <w:b w:val="1"/>
          <w:bCs w:val="1"/>
          <w:color w:val="auto"/>
        </w:rPr>
        <w:t>Other Benefits</w:t>
      </w:r>
      <w:r>
        <w:rPr>
          <w:rFonts w:ascii="Times New Roman" w:cs="Times New Roman" w:eastAsia="Times New Roman" w:hAnsi="Times New Roman"/>
          <w:sz w:val="16"/>
          <w:szCs w:val="16"/>
          <w:color w:val="auto"/>
        </w:rPr>
        <w:t>”)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30" w:lineRule="exact"/>
        <w:rPr>
          <w:rFonts w:ascii="Times New Roman" w:cs="Times New Roman" w:eastAsia="Times New Roman" w:hAnsi="Times New Roman"/>
          <w:sz w:val="16"/>
          <w:szCs w:val="16"/>
          <w:color w:val="auto"/>
        </w:rPr>
      </w:pPr>
    </w:p>
    <w:p>
      <w:pPr>
        <w:ind w:left="520" w:right="599" w:firstLine="968"/>
        <w:spacing w:after="0"/>
        <w:tabs>
          <w:tab w:leader="none" w:pos="197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Death</w:t>
      </w:r>
      <w:r>
        <w:rPr>
          <w:rFonts w:ascii="Times New Roman" w:cs="Times New Roman" w:eastAsia="Times New Roman" w:hAnsi="Times New Roman"/>
          <w:sz w:val="16"/>
          <w:szCs w:val="16"/>
          <w:color w:val="auto"/>
        </w:rPr>
        <w:t>. If Executive’s employment is terminated by reason of Executive’s death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Period, the Company shall provide Executive’s estate or beneficiaries with the Accrued Obligations and the Pro Rata Bonus and the timely payment or delivery of the Other Benefits, and shall have no other severance obligations under this Agreement. The Accrued Obligations (subject to the proviso set forth in Section 5(a)(i)(A) to the extent applicable) and the Pro Rata Bonus shall be paid to Executive’s estate or beneficiary, as applicable, in a lump sum in cash within 30 days of the Date of Termination. With respect to the provision of the Other Benefits, the term “Other Benefits” as utilized in this Section 5(b) shall include and Executive’s estate and/or beneficiaries shall be entitled to receive, benefits at least equal to the most favorable benefits provided by the Company and its Affiliates to the estates and beneficiaries of peer executives of the Company and such Affiliates under such plans, programs, practices and policies relating to death benefits, if any, as in effect with respect to other peer executives and their beneficiaries at any time during the 120-day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471170</wp:posOffset>
            </wp:positionV>
            <wp:extent cx="50552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8" w:name="page149"/>
    <w:bookmarkEnd w:id="148"/>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839"/>
        <w:spacing w:after="0" w:line="253" w:lineRule="auto"/>
        <w:rPr>
          <w:sz w:val="20"/>
          <w:szCs w:val="20"/>
          <w:color w:val="auto"/>
        </w:rPr>
      </w:pPr>
      <w:r>
        <w:rPr>
          <w:rFonts w:ascii="Times New Roman" w:cs="Times New Roman" w:eastAsia="Times New Roman" w:hAnsi="Times New Roman"/>
          <w:sz w:val="16"/>
          <w:szCs w:val="16"/>
          <w:color w:val="auto"/>
        </w:rPr>
        <w:t>period immediately preceding the Effective Date or, if more favorable to Executive’s estate and/or Executive’s beneficiaries, as in effect on the date of Executive’s death with respect to other peer executives of the Company and its Affiliates and their beneficiaries.</w:t>
      </w:r>
    </w:p>
    <w:p>
      <w:pPr>
        <w:spacing w:after="0" w:line="122" w:lineRule="exact"/>
        <w:rPr>
          <w:sz w:val="20"/>
          <w:szCs w:val="20"/>
          <w:color w:val="auto"/>
        </w:rPr>
      </w:pPr>
    </w:p>
    <w:p>
      <w:pPr>
        <w:ind w:left="520" w:right="579" w:firstLine="968"/>
        <w:spacing w:after="0" w:line="239" w:lineRule="auto"/>
        <w:tabs>
          <w:tab w:leader="none" w:pos="1971"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Disability</w:t>
      </w:r>
      <w:r>
        <w:rPr>
          <w:rFonts w:ascii="Times New Roman" w:cs="Times New Roman" w:eastAsia="Times New Roman" w:hAnsi="Times New Roman"/>
          <w:sz w:val="16"/>
          <w:szCs w:val="16"/>
          <w:color w:val="auto"/>
        </w:rPr>
        <w:t>. If Executive’s employment is terminated by reason of Executive’s Disability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Period, the Company shall provide Executive with the Accrued Obligations and Pro Rata Bonus and the timely payment or delivery of the Other Benefits in accordance with the terms of the underlying plans or agreements, and shall have no other severance obligations under this Agreement. The Accrued Obligations (subject to the proviso set forth in Section 5(a)(i)(A) to the extent applicable) and the Pro Rata Bonus shall be paid to Executive in a lump sum in cash within 30 days of the Date of Termination. With respect to the provision of the Other Benefits, the term “Other Benefits” as utilized in this Section 5(c) shall include, and Executive shall be entitled after the Disability Effective Date to receive, without limitation, disability and other benefits (either pursuant to a plan, program, practice or policy or an individual arrangement) at least equal to the most favorable of those generally provided by the Company and its Affiliates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Executive and/or Executive’s family, as in effect at any time thereafter generally with respect to other peer executives of the Company and its Affiliates and their families.</w:t>
      </w:r>
    </w:p>
    <w:p>
      <w:pPr>
        <w:spacing w:after="0" w:line="137" w:lineRule="exact"/>
        <w:rPr>
          <w:rFonts w:ascii="Times New Roman" w:cs="Times New Roman" w:eastAsia="Times New Roman" w:hAnsi="Times New Roman"/>
          <w:sz w:val="16"/>
          <w:szCs w:val="16"/>
          <w:color w:val="auto"/>
        </w:rPr>
      </w:pPr>
    </w:p>
    <w:p>
      <w:pPr>
        <w:ind w:left="520" w:right="539" w:firstLine="968"/>
        <w:spacing w:after="0" w:line="241" w:lineRule="auto"/>
        <w:tabs>
          <w:tab w:leader="none" w:pos="1971"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Cause; Other than for Good Reason</w:t>
      </w:r>
      <w:r>
        <w:rPr>
          <w:rFonts w:ascii="Times New Roman" w:cs="Times New Roman" w:eastAsia="Times New Roman" w:hAnsi="Times New Roman"/>
          <w:sz w:val="16"/>
          <w:szCs w:val="16"/>
          <w:color w:val="auto"/>
        </w:rPr>
        <w:t>. If Executive’s employment is terminated for Cause during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Employment Period, the Company shall provide Executive with Executive’s Annual Base Salary (subject to the proviso set forth in Section 5(a)(i)(A) to the extent applicable) through the Date of Termination, and the timely payment or delivery of the Other Benefits, and shall have no other severance obligations under this Agreement. If Executive voluntarily terminates employment during the Employment Period, excluding a termination for Good Reason, the Company shall provide to Executive the Accrued Obligations and the Pro Rata Bonus and the timely payment or delivery of the Other Benefits and shall have no other severance obligations under this Agreement. In such case, all the Accrued Obligations (subject to the proviso set forth in Section 5(a)(i)(A) to the extent applicable) and the Pro Rata Bonus shall be paid to Executive in a lump sum in cash within 30 days of the Date of Termination.</w:t>
      </w:r>
    </w:p>
    <w:p>
      <w:pPr>
        <w:spacing w:after="0" w:line="131" w:lineRule="exact"/>
        <w:rPr>
          <w:sz w:val="20"/>
          <w:szCs w:val="20"/>
          <w:color w:val="auto"/>
        </w:rPr>
      </w:pPr>
    </w:p>
    <w:p>
      <w:pPr>
        <w:ind w:left="520" w:right="559" w:firstLine="968"/>
        <w:spacing w:after="0" w:line="242" w:lineRule="auto"/>
        <w:tabs>
          <w:tab w:leader="none" w:pos="197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Non-exclusivity of Rights</w:t>
      </w:r>
      <w:r>
        <w:rPr>
          <w:rFonts w:ascii="Times New Roman" w:cs="Times New Roman" w:eastAsia="Times New Roman" w:hAnsi="Times New Roman"/>
          <w:sz w:val="16"/>
          <w:szCs w:val="16"/>
          <w:color w:val="auto"/>
        </w:rPr>
        <w:t>. Nothing in this Agreement shall prevent or limit Executive’s continuing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future participation in any plan, program, policy or practice provided by the Company or any of its Affiliates and for which Executive may qualify, nor, subject to Section 11(h), shall anything herein limit or otherwise affect such rights as Executive may have under any other contract or agreement with the Company or its Affiliates. Amounts that are vested benefits or that Executive is otherwise entitled to receive under any plan, policy, practice or program of or any contract or agreement with the Company or any of its Affiliates at or subsequent to the Date of Termination shall be payable in accordance with such plan, policy, practice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469265</wp:posOffset>
            </wp:positionV>
            <wp:extent cx="50552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9" w:name="page150"/>
    <w:bookmarkEnd w:id="149"/>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39"/>
        <w:spacing w:after="0" w:line="239" w:lineRule="auto"/>
        <w:rPr>
          <w:sz w:val="20"/>
          <w:szCs w:val="20"/>
          <w:color w:val="auto"/>
        </w:rPr>
      </w:pPr>
      <w:r>
        <w:rPr>
          <w:rFonts w:ascii="Times New Roman" w:cs="Times New Roman" w:eastAsia="Times New Roman" w:hAnsi="Times New Roman"/>
          <w:sz w:val="16"/>
          <w:szCs w:val="16"/>
          <w:color w:val="auto"/>
        </w:rPr>
        <w:t>program or contract or agreement except as explicitly modified by this Agreement. Without limiting the generality of the foregoing, Executive’s resignation under this Agreement with or without Good Reason, shall in no way affect Executive’s ability to terminate employment by reason of Executive’s “retirement” under any compensation and benefits plans, programs or arrangements of the Company or its Affiliates, including any retirement or pension plans or arrangements or to be eligible to receive benefits under any compensation or benefit plans, programs or arrangements of the Company or any of its Affiliates, including any retirement or pension plan or arrangement of the Company or any of its Affiliates or substitute plans adopted by the Company or its successors, and any termination that otherwise qualifies as Good Reason shall be treated as such even if it is also a “retirement” for purposes of any such plan. Notwithstanding the foregoing, if Executive receives payments and benefits pursuant to Section 5(a) of this Agreement, Executive shall not be entitled to any severance pay or benefits under any severance plan, program or policy of the Company and its Affiliates, unless otherwise specifically provided therein in a specific reference to this Agreement.</w:t>
      </w:r>
    </w:p>
    <w:p>
      <w:pPr>
        <w:spacing w:after="0" w:line="139" w:lineRule="exact"/>
        <w:rPr>
          <w:sz w:val="20"/>
          <w:szCs w:val="20"/>
          <w:color w:val="auto"/>
        </w:rPr>
      </w:pPr>
    </w:p>
    <w:p>
      <w:pPr>
        <w:ind w:left="520" w:right="559" w:firstLine="968"/>
        <w:spacing w:after="0" w:line="243" w:lineRule="auto"/>
        <w:tabs>
          <w:tab w:leader="none" w:pos="1971"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Full Settlement; Legal Fees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Full Settlement</w:t>
      </w:r>
      <w:r>
        <w:rPr>
          <w:rFonts w:ascii="Times New Roman" w:cs="Times New Roman" w:eastAsia="Times New Roman" w:hAnsi="Times New Roman"/>
          <w:sz w:val="16"/>
          <w:szCs w:val="16"/>
          <w:color w:val="auto"/>
        </w:rPr>
        <w:t>. The Company’s obligation to make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provided for in this Agreement and otherwise to perform its obligations hereunder shall not be affected by any set-off, counterclaim, recoupment, defense or other claim, right or action that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32" w:lineRule="exact"/>
        <w:rPr>
          <w:sz w:val="20"/>
          <w:szCs w:val="20"/>
          <w:color w:val="auto"/>
        </w:rPr>
      </w:pPr>
    </w:p>
    <w:p>
      <w:pPr>
        <w:ind w:left="520" w:right="579" w:firstLine="968"/>
        <w:spacing w:after="0" w:line="241" w:lineRule="auto"/>
        <w:tabs>
          <w:tab w:leader="none" w:pos="1971"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Legal Fees</w:t>
      </w:r>
      <w:r>
        <w:rPr>
          <w:rFonts w:ascii="Times New Roman" w:cs="Times New Roman" w:eastAsia="Times New Roman" w:hAnsi="Times New Roman"/>
          <w:sz w:val="16"/>
          <w:szCs w:val="16"/>
          <w:color w:val="auto"/>
        </w:rPr>
        <w:t>. The Company agrees to pay as incurred (within 10 days following the Company’s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of an invoice from Executive), at any time from the Effective Date through Executive’s remaining lifetime (or, if longer, through the 20th anniversary of the Effective Date) to the full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whether such contest is between the Company and Executive or between either of them and any third party, and (including as a result of any contest by Executive about the amount of any payment pursuant to this Agreement), plus in each case interest on any delayed payment at the applicable federal rate provided for in Section 7872(f)(2)(A) of the Code (“</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determined as of the date such legal fees and expenses were incurred.</w:t>
      </w:r>
    </w:p>
    <w:p>
      <w:pPr>
        <w:spacing w:after="0" w:line="131" w:lineRule="exact"/>
        <w:rPr>
          <w:sz w:val="20"/>
          <w:szCs w:val="20"/>
          <w:color w:val="auto"/>
        </w:rPr>
      </w:pPr>
    </w:p>
    <w:p>
      <w:pPr>
        <w:ind w:left="1980" w:hanging="492"/>
        <w:spacing w:after="0"/>
        <w:tabs>
          <w:tab w:leader="none" w:pos="19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Treatment of Certain Payments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520" w:right="739" w:firstLine="968"/>
        <w:spacing w:after="0" w:line="244" w:lineRule="auto"/>
        <w:tabs>
          <w:tab w:leader="none" w:pos="19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the Agreement to the contrary notwithstanding, in the event the Accounting Firm (as defined below) shall determine that receipt of all Payments (as defined below) would subject Executive to the excise tax under Section 4999 of the Code, the Accounting Firm shall determine whether to reduce any of the Payments paid or payable pursuant to the Agreement (the “</w:t>
      </w:r>
      <w:r>
        <w:rPr>
          <w:rFonts w:ascii="Times New Roman" w:cs="Times New Roman" w:eastAsia="Times New Roman" w:hAnsi="Times New Roman"/>
          <w:sz w:val="16"/>
          <w:szCs w:val="16"/>
          <w:b w:val="1"/>
          <w:bCs w:val="1"/>
          <w:color w:val="auto"/>
        </w:rPr>
        <w:t>Agreement Payments</w:t>
      </w:r>
      <w:r>
        <w:rPr>
          <w:rFonts w:ascii="Times New Roman" w:cs="Times New Roman" w:eastAsia="Times New Roman" w:hAnsi="Times New Roman"/>
          <w:sz w:val="16"/>
          <w:szCs w:val="16"/>
          <w:color w:val="auto"/>
        </w:rPr>
        <w:t>”) so that the Parachute Value (as defined below) of all Payments, in the aggregate, equals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468630</wp:posOffset>
            </wp:positionV>
            <wp:extent cx="50552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0" w:name="page151"/>
    <w:bookmarkEnd w:id="150"/>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619"/>
        <w:spacing w:after="0" w:line="244" w:lineRule="auto"/>
        <w:rPr>
          <w:sz w:val="20"/>
          <w:szCs w:val="20"/>
          <w:color w:val="auto"/>
        </w:rPr>
      </w:pPr>
      <w:r>
        <w:rPr>
          <w:rFonts w:ascii="Times New Roman" w:cs="Times New Roman" w:eastAsia="Times New Roman" w:hAnsi="Times New Roman"/>
          <w:sz w:val="16"/>
          <w:szCs w:val="16"/>
          <w:color w:val="auto"/>
        </w:rPr>
        <w:t>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33" w:lineRule="exact"/>
        <w:rPr>
          <w:sz w:val="20"/>
          <w:szCs w:val="20"/>
          <w:color w:val="auto"/>
        </w:rPr>
      </w:pPr>
    </w:p>
    <w:p>
      <w:pPr>
        <w:ind w:left="520" w:right="579" w:firstLine="968"/>
        <w:spacing w:after="0" w:line="239" w:lineRule="auto"/>
        <w:tabs>
          <w:tab w:leader="none" w:pos="1971"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Executive and shall be made as soon as reasonably practicable and in no event later than 15 days following the date of Termination of Employment. For purposes of reducing the Agreement Payments so that the Parachute Value of all Payments, in the aggregate, equals the Safe Harbor Amount, only amounts payable under the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 w:cs="Times New Roman" w:eastAsia="Times New Roman" w:hAnsi="Times New Roman"/>
          <w:sz w:val="16"/>
          <w:szCs w:val="16"/>
          <w:b w:val="1"/>
          <w:bCs w:val="1"/>
          <w:color w:val="auto"/>
        </w:rPr>
        <w:t>24(c)</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760" w:hanging="239"/>
        <w:spacing w:after="0" w:line="236" w:lineRule="auto"/>
        <w:tabs>
          <w:tab w:leader="none" w:pos="7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payments that may not be valued under 24(c), (iii) cash payments that may be valued under 24(c),</w:t>
      </w:r>
    </w:p>
    <w:p>
      <w:pPr>
        <w:ind w:left="520" w:right="579" w:firstLine="1"/>
        <w:spacing w:after="0" w:line="239" w:lineRule="auto"/>
        <w:tabs>
          <w:tab w:leader="none" w:pos="793"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Accounting Firm’s determination. All fees and expenses of the Accounting Firm shall be borne solely by the Company.</w:t>
      </w:r>
    </w:p>
    <w:p>
      <w:pPr>
        <w:spacing w:after="0" w:line="134" w:lineRule="exact"/>
        <w:rPr>
          <w:rFonts w:ascii="Times New Roman" w:cs="Times New Roman" w:eastAsia="Times New Roman" w:hAnsi="Times New Roman"/>
          <w:sz w:val="16"/>
          <w:szCs w:val="16"/>
          <w:color w:val="auto"/>
        </w:rPr>
      </w:pPr>
    </w:p>
    <w:p>
      <w:pPr>
        <w:ind w:left="520" w:right="539" w:firstLine="968"/>
        <w:spacing w:after="0"/>
        <w:tabs>
          <w:tab w:leader="none" w:pos="1971"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37"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terms shall have the following meanings for purposes of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485140</wp:posOffset>
            </wp:positionV>
            <wp:extent cx="50552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1" w:name="page152"/>
    <w:bookmarkEnd w:id="151"/>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0" w:lineRule="exact"/>
        <w:rPr>
          <w:sz w:val="20"/>
          <w:szCs w:val="20"/>
          <w:color w:val="auto"/>
        </w:rPr>
      </w:pPr>
    </w:p>
    <w:p>
      <w:pPr>
        <w:ind w:left="520" w:right="579" w:firstLine="1392"/>
        <w:spacing w:after="0" w:line="243" w:lineRule="auto"/>
        <w:tabs>
          <w:tab w:leader="none" w:pos="2455"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Accounting Firm</w:t>
      </w:r>
      <w:r>
        <w:rPr>
          <w:rFonts w:ascii="Times New Roman" w:cs="Times New Roman" w:eastAsia="Times New Roman" w:hAnsi="Times New Roman"/>
          <w:sz w:val="16"/>
          <w:szCs w:val="16"/>
          <w:color w:val="auto"/>
        </w:rPr>
        <w:t>” 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and is reasonably acceptable to Executive, which firm shall not, without Executive’s consent, be a firm serving as accountant or auditor for the individual, entity or group effecting the Change in Control.</w:t>
      </w:r>
    </w:p>
    <w:p>
      <w:pPr>
        <w:spacing w:after="0" w:line="131" w:lineRule="exact"/>
        <w:rPr>
          <w:rFonts w:ascii="Times New Roman" w:cs="Times New Roman" w:eastAsia="Times New Roman" w:hAnsi="Times New Roman"/>
          <w:sz w:val="16"/>
          <w:szCs w:val="16"/>
          <w:color w:val="auto"/>
        </w:rPr>
      </w:pPr>
    </w:p>
    <w:p>
      <w:pPr>
        <w:ind w:left="520" w:right="599" w:firstLine="1452"/>
        <w:spacing w:after="0" w:line="243" w:lineRule="auto"/>
        <w:tabs>
          <w:tab w:leader="none" w:pos="2455"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After-Tax Receipt</w:t>
      </w:r>
      <w:r>
        <w:rPr>
          <w:rFonts w:ascii="Times New Roman" w:cs="Times New Roman" w:eastAsia="Times New Roman" w:hAnsi="Times New Roman"/>
          <w:sz w:val="16"/>
          <w:szCs w:val="16"/>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31" w:lineRule="exact"/>
        <w:rPr>
          <w:rFonts w:ascii="Times New Roman" w:cs="Times New Roman" w:eastAsia="Times New Roman" w:hAnsi="Times New Roman"/>
          <w:sz w:val="16"/>
          <w:szCs w:val="16"/>
          <w:color w:val="auto"/>
        </w:rPr>
      </w:pPr>
    </w:p>
    <w:p>
      <w:pPr>
        <w:ind w:left="520" w:right="539" w:firstLine="1452"/>
        <w:spacing w:after="0" w:line="248" w:lineRule="auto"/>
        <w:tabs>
          <w:tab w:leader="none" w:pos="2455"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Parachute Value</w:t>
      </w:r>
      <w:r>
        <w:rPr>
          <w:rFonts w:ascii="Times New Roman" w:cs="Times New Roman" w:eastAsia="Times New Roman" w:hAnsi="Times New Roman"/>
          <w:sz w:val="16"/>
          <w:szCs w:val="16"/>
          <w:color w:val="auto"/>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126" w:lineRule="exact"/>
        <w:rPr>
          <w:rFonts w:ascii="Times New Roman" w:cs="Times New Roman" w:eastAsia="Times New Roman" w:hAnsi="Times New Roman"/>
          <w:sz w:val="16"/>
          <w:szCs w:val="16"/>
          <w:color w:val="auto"/>
        </w:rPr>
      </w:pPr>
    </w:p>
    <w:p>
      <w:pPr>
        <w:ind w:left="520" w:right="539" w:firstLine="1452"/>
        <w:spacing w:after="0" w:line="254" w:lineRule="auto"/>
        <w:tabs>
          <w:tab w:leader="none" w:pos="2455"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Payment</w:t>
      </w:r>
      <w:r>
        <w:rPr>
          <w:rFonts w:ascii="Times New Roman" w:cs="Times New Roman" w:eastAsia="Times New Roman" w:hAnsi="Times New Roman"/>
          <w:sz w:val="16"/>
          <w:szCs w:val="16"/>
          <w:color w:val="auto"/>
        </w:rPr>
        <w:t>” shall mean any payment or distribution in the nature of compensation (within the meaning of Section 280G(b)(2) of the Code) to or for the benefit of Executive, whether paid or payable pursuant to the Agreement or otherwise.</w:t>
      </w:r>
    </w:p>
    <w:p>
      <w:pPr>
        <w:spacing w:after="0" w:line="121" w:lineRule="exact"/>
        <w:rPr>
          <w:rFonts w:ascii="Times New Roman" w:cs="Times New Roman" w:eastAsia="Times New Roman" w:hAnsi="Times New Roman"/>
          <w:sz w:val="16"/>
          <w:szCs w:val="16"/>
          <w:color w:val="auto"/>
        </w:rPr>
      </w:pPr>
    </w:p>
    <w:p>
      <w:pPr>
        <w:ind w:left="520" w:right="999" w:firstLine="1452"/>
        <w:spacing w:after="0" w:line="272" w:lineRule="auto"/>
        <w:tabs>
          <w:tab w:leader="none" w:pos="2455"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Safe Harbor Amount</w:t>
      </w:r>
      <w:r>
        <w:rPr>
          <w:rFonts w:ascii="Times New Roman" w:cs="Times New Roman" w:eastAsia="Times New Roman" w:hAnsi="Times New Roman"/>
          <w:sz w:val="16"/>
          <w:szCs w:val="16"/>
          <w:color w:val="auto"/>
        </w:rPr>
        <w:t xml:space="preserve">” shall mean 2.99 </w:t>
      </w:r>
      <w:r>
        <w:rPr>
          <w:rFonts w:ascii="Times New Roman" w:cs="Times New Roman" w:eastAsia="Times New Roman" w:hAnsi="Times New Roman"/>
          <w:sz w:val="16"/>
          <w:szCs w:val="16"/>
          <w:i w:val="1"/>
          <w:iCs w:val="1"/>
          <w:color w:val="auto"/>
        </w:rPr>
        <w:t>times</w:t>
      </w:r>
      <w:r>
        <w:rPr>
          <w:rFonts w:ascii="Times New Roman" w:cs="Times New Roman" w:eastAsia="Times New Roman" w:hAnsi="Times New Roman"/>
          <w:sz w:val="16"/>
          <w:szCs w:val="16"/>
          <w:color w:val="auto"/>
        </w:rPr>
        <w:t xml:space="preserve"> Executive’s “base amount,” within the meaning of Section 280G(b)(3) of the Code.</w:t>
      </w:r>
    </w:p>
    <w:p>
      <w:pPr>
        <w:spacing w:after="0" w:line="108"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Section 8 shall survive the expiration of the Agreement.</w:t>
      </w:r>
    </w:p>
    <w:p>
      <w:pPr>
        <w:spacing w:after="0" w:line="157" w:lineRule="exact"/>
        <w:rPr>
          <w:sz w:val="20"/>
          <w:szCs w:val="20"/>
          <w:color w:val="auto"/>
        </w:rPr>
      </w:pPr>
    </w:p>
    <w:p>
      <w:pPr>
        <w:ind w:left="520" w:right="539" w:firstLine="968"/>
        <w:spacing w:after="0" w:line="241" w:lineRule="auto"/>
        <w:tabs>
          <w:tab w:leader="none" w:pos="197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Confidential Information</w:t>
      </w:r>
      <w:r>
        <w:rPr>
          <w:rFonts w:ascii="Times New Roman" w:cs="Times New Roman" w:eastAsia="Times New Roman" w:hAnsi="Times New Roman"/>
          <w:sz w:val="16"/>
          <w:szCs w:val="16"/>
          <w:color w:val="auto"/>
        </w:rPr>
        <w:t>. The Executive shall hold in a fiduciary capacity for the benefit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all secret or confidential information, knowledge or data relating to the Company or any of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After termination of Executive’s employment with the Company, Executive shall not, without the prior written consent of the Company or as may otherwise be required by law or legal process, communicate or divulge any such information, knowledge or data to anyone other than the Company and those persons designated by it; provided however, that this restriction shall not apply to the 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470535</wp:posOffset>
            </wp:positionV>
            <wp:extent cx="50552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2" w:name="page153"/>
    <w:bookmarkEnd w:id="152"/>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39"/>
        <w:spacing w:after="0"/>
        <w:rPr>
          <w:sz w:val="20"/>
          <w:szCs w:val="20"/>
          <w:color w:val="auto"/>
        </w:rPr>
      </w:pPr>
      <w:r>
        <w:rPr>
          <w:rFonts w:ascii="Times New Roman" w:cs="Times New Roman" w:eastAsia="Times New Roman" w:hAnsi="Times New Roman"/>
          <w:sz w:val="16"/>
          <w:szCs w:val="16"/>
          <w:color w:val="auto"/>
        </w:rPr>
        <w:t>disclosure of confidential information (i) to any governmental entity to the extent required by law, (ii) which is or becomes publicly known and available through no wrongful act of Executive or (iii) in connection with the performance of Executive’s duties under this Agreement. No provision of this Agreement, including but not limited to this Section 9, shall be interpreted, construed, asserted or enforced by the Company or Bank to (i)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or (ii) require notification or prior approval by the Company or Bank of any such report; provided that, Executive is not authorized to disclose communications with counsel that were made for the purpose of receiving legal advice or that contain legal advice or that are protected by the attorney work product or similar privilege. Further, nothing contained in this Agreement, or any release and waiver delivered in accordance with this Agreement, shall be interpreted, construed, asserted or enforced by the Company or Bank to prohibit or disqualify Executive from being awarded, receiving and/or enjoying the benefit of, any award, reward, emolument or payment, or other relief of any kind whatsoever, from any agency, which is provided based upon Executive’s provision of information to any such agency as a whistleblower under applicable law or regulation. The Company and Bank hereby waive any right to assert or enforce the provisions of this Agreement in a manner which would impede any whistleblower activity in accordance with applicable law or regulation. Furthermore, Executive shall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In no event shall an asserted violation of the provisions of this Section 9 constitute a basis for deferring or withholding any amounts otherwise payable to Executive under this Agreement, but the Company otherwise shall be entitled to all other remedies that may be available to it at law or equity.</w:t>
      </w:r>
    </w:p>
    <w:p>
      <w:pPr>
        <w:spacing w:after="0" w:line="284" w:lineRule="exact"/>
        <w:rPr>
          <w:sz w:val="20"/>
          <w:szCs w:val="20"/>
          <w:color w:val="auto"/>
        </w:rPr>
      </w:pPr>
    </w:p>
    <w:p>
      <w:pPr>
        <w:ind w:left="520" w:right="699" w:firstLine="968"/>
        <w:spacing w:after="0" w:line="254" w:lineRule="auto"/>
        <w:tabs>
          <w:tab w:leader="none" w:pos="1971"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Successors</w:t>
      </w:r>
      <w:r>
        <w:rPr>
          <w:rFonts w:ascii="Times New Roman" w:cs="Times New Roman" w:eastAsia="Times New Roman" w:hAnsi="Times New Roman"/>
          <w:sz w:val="16"/>
          <w:szCs w:val="16"/>
          <w:color w:val="auto"/>
        </w:rPr>
        <w:t>. (a) This Agreement is personal to Executive and without the prior written consent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shall not be assignable by Executive other than by will or the laws of descent and distribution. This Agreement shall inure to the benefit of and be enforceable by Executive’s legal representatives.</w:t>
      </w:r>
    </w:p>
    <w:p>
      <w:pPr>
        <w:spacing w:after="0" w:line="123" w:lineRule="exact"/>
        <w:rPr>
          <w:sz w:val="20"/>
          <w:szCs w:val="20"/>
          <w:color w:val="auto"/>
        </w:rPr>
      </w:pPr>
    </w:p>
    <w:p>
      <w:pPr>
        <w:ind w:left="520" w:right="619" w:firstLine="968"/>
        <w:spacing w:after="0" w:line="253" w:lineRule="auto"/>
        <w:tabs>
          <w:tab w:leader="none" w:pos="197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inure to the benefit of and be binding upon the Company and its successors and assigns. Except as provided in Section 10(c), without the prior written consent of Executive, this Agreement shall not be assignable by the Company.</w:t>
      </w:r>
    </w:p>
    <w:p>
      <w:pPr>
        <w:spacing w:after="0" w:line="123" w:lineRule="exact"/>
        <w:rPr>
          <w:rFonts w:ascii="Times New Roman" w:cs="Times New Roman" w:eastAsia="Times New Roman" w:hAnsi="Times New Roman"/>
          <w:sz w:val="16"/>
          <w:szCs w:val="16"/>
          <w:color w:val="auto"/>
        </w:rPr>
      </w:pPr>
    </w:p>
    <w:p>
      <w:pPr>
        <w:ind w:left="520" w:right="579" w:firstLine="968"/>
        <w:spacing w:after="0" w:line="253" w:lineRule="auto"/>
        <w:tabs>
          <w:tab w:leader="none" w:pos="197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462915</wp:posOffset>
            </wp:positionV>
            <wp:extent cx="50552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3" w:name="page154"/>
    <w:bookmarkEnd w:id="153"/>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99"/>
        <w:spacing w:after="0" w:line="253" w:lineRule="auto"/>
        <w:rPr>
          <w:sz w:val="20"/>
          <w:szCs w:val="20"/>
          <w:color w:val="auto"/>
        </w:rPr>
      </w:pPr>
      <w:r>
        <w:rPr>
          <w:rFonts w:ascii="Times New Roman" w:cs="Times New Roman" w:eastAsia="Times New Roman" w:hAnsi="Times New Roman"/>
          <w:sz w:val="16"/>
          <w:szCs w:val="16"/>
          <w:color w:val="auto"/>
        </w:rPr>
        <w:t>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22" w:lineRule="exact"/>
        <w:rPr>
          <w:sz w:val="20"/>
          <w:szCs w:val="20"/>
          <w:color w:val="auto"/>
        </w:rPr>
      </w:pPr>
    </w:p>
    <w:p>
      <w:pPr>
        <w:ind w:left="1980" w:hanging="492"/>
        <w:spacing w:after="0"/>
        <w:tabs>
          <w:tab w:leader="none" w:pos="19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left="520" w:right="539" w:firstLine="968"/>
        <w:spacing w:after="0" w:line="239" w:lineRule="auto"/>
        <w:tabs>
          <w:tab w:leader="none" w:pos="1971"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Governing Law and Dispute Resolution</w:t>
      </w:r>
      <w:r>
        <w:rPr>
          <w:rFonts w:ascii="Times New Roman" w:cs="Times New Roman" w:eastAsia="Times New Roman" w:hAnsi="Times New Roman"/>
          <w:sz w:val="16"/>
          <w:szCs w:val="16"/>
          <w:color w:val="auto"/>
        </w:rPr>
        <w:t>. This Agreement shall be governed by and construed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the laws of the State of New York, without reference to principles of conflict of laws. The parties irrevocably submit to the jurisdiction of any state or federal court sitting in or for the United States District Court for the Eastern District of New York or any New York State court sitting in Kings County, New York with respect to any dispute arising out of or relating to this Agreement,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w:t>
      </w:r>
    </w:p>
    <w:p>
      <w:pPr>
        <w:spacing w:after="0" w:line="137" w:lineRule="exact"/>
        <w:rPr>
          <w:rFonts w:ascii="Times New Roman" w:cs="Times New Roman" w:eastAsia="Times New Roman" w:hAnsi="Times New Roman"/>
          <w:sz w:val="16"/>
          <w:szCs w:val="16"/>
          <w:color w:val="auto"/>
        </w:rPr>
      </w:pPr>
    </w:p>
    <w:p>
      <w:pPr>
        <w:ind w:left="520" w:right="659" w:firstLine="968"/>
        <w:spacing w:after="0" w:line="254" w:lineRule="auto"/>
        <w:tabs>
          <w:tab w:leader="none" w:pos="1971"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given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hand delivery to the other party or by registered or certified mail, return receipt requested, postage prepaid, addressed as follows:</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If to Executive</w:t>
      </w:r>
      <w:r>
        <w:rPr>
          <w:rFonts w:ascii="Times New Roman" w:cs="Times New Roman" w:eastAsia="Times New Roman" w:hAnsi="Times New Roman"/>
          <w:sz w:val="16"/>
          <w:szCs w:val="16"/>
          <w:color w:val="auto"/>
        </w:rPr>
        <w:t>:</w:t>
      </w:r>
    </w:p>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 the last address on file</w:t>
      </w:r>
    </w:p>
    <w:p>
      <w:pPr>
        <w:spacing w:after="0" w:line="37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If to the Company</w:t>
      </w:r>
      <w:r>
        <w:rPr>
          <w:rFonts w:ascii="Times New Roman" w:cs="Times New Roman" w:eastAsia="Times New Roman" w:hAnsi="Times New Roman"/>
          <w:sz w:val="16"/>
          <w:szCs w:val="16"/>
          <w:color w:val="auto"/>
        </w:rPr>
        <w:t>:</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898 Veterans Memorial Highway, Suite 560</w:t>
      </w:r>
    </w:p>
    <w:p>
      <w:pPr>
        <w:ind w:left="148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u w:val="single" w:color="auto"/>
          <w:color w:val="auto"/>
        </w:rPr>
        <w:t>Attention</w:t>
      </w:r>
      <w:r>
        <w:rPr>
          <w:rFonts w:ascii="Times New Roman" w:cs="Times New Roman" w:eastAsia="Times New Roman" w:hAnsi="Times New Roman"/>
          <w:sz w:val="16"/>
          <w:szCs w:val="16"/>
          <w:color w:val="auto"/>
        </w:rPr>
        <w:t>: General Counsel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right="859"/>
        <w:spacing w:after="0" w:line="270" w:lineRule="auto"/>
        <w:rPr>
          <w:sz w:val="20"/>
          <w:szCs w:val="20"/>
          <w:color w:val="auto"/>
        </w:rPr>
      </w:pPr>
      <w:r>
        <w:rPr>
          <w:rFonts w:ascii="Times New Roman" w:cs="Times New Roman" w:eastAsia="Times New Roman" w:hAnsi="Times New Roman"/>
          <w:sz w:val="16"/>
          <w:szCs w:val="16"/>
          <w:color w:val="auto"/>
        </w:rPr>
        <w:t>or to such other address as either party shall have furnished to the other in writing in accordance herewith. Notice and communications shall be effective when actually received by the addressee.</w:t>
      </w:r>
    </w:p>
    <w:p>
      <w:pPr>
        <w:spacing w:after="0" w:line="108" w:lineRule="exact"/>
        <w:rPr>
          <w:sz w:val="20"/>
          <w:szCs w:val="20"/>
          <w:color w:val="auto"/>
        </w:rPr>
      </w:pPr>
    </w:p>
    <w:p>
      <w:pPr>
        <w:jc w:val="both"/>
        <w:ind w:left="520" w:right="759" w:firstLine="968"/>
        <w:spacing w:after="0" w:line="254" w:lineRule="auto"/>
        <w:tabs>
          <w:tab w:leader="none" w:pos="197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Invalidity</w:t>
      </w:r>
      <w:r>
        <w:rPr>
          <w:rFonts w:ascii="Times New Roman" w:cs="Times New Roman" w:eastAsia="Times New Roman" w:hAnsi="Times New Roman"/>
          <w:sz w:val="16"/>
          <w:szCs w:val="16"/>
          <w:color w:val="auto"/>
        </w:rPr>
        <w:t>. If any term or provision of this Agreement or the application thereof to any person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circumstance shall to any extent be invalid or unenforceable, the remainder of this Agreement or the application of such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462280</wp:posOffset>
            </wp:positionV>
            <wp:extent cx="50552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4" w:name="page155"/>
    <w:bookmarkEnd w:id="154"/>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99"/>
        <w:spacing w:after="0" w:line="270" w:lineRule="auto"/>
        <w:rPr>
          <w:sz w:val="20"/>
          <w:szCs w:val="20"/>
          <w:color w:val="auto"/>
        </w:rPr>
      </w:pPr>
      <w:r>
        <w:rPr>
          <w:rFonts w:ascii="Times New Roman" w:cs="Times New Roman" w:eastAsia="Times New Roman" w:hAnsi="Times New Roman"/>
          <w:sz w:val="16"/>
          <w:szCs w:val="16"/>
          <w:color w:val="auto"/>
        </w:rPr>
        <w:t>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08" w:lineRule="exact"/>
        <w:rPr>
          <w:sz w:val="20"/>
          <w:szCs w:val="20"/>
          <w:color w:val="auto"/>
        </w:rPr>
      </w:pPr>
    </w:p>
    <w:p>
      <w:pPr>
        <w:ind w:left="520" w:right="579" w:firstLine="968"/>
        <w:spacing w:after="0" w:line="254"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Survivorship</w:t>
      </w:r>
      <w:r>
        <w:rPr>
          <w:rFonts w:ascii="Times New Roman" w:cs="Times New Roman" w:eastAsia="Times New Roman" w:hAnsi="Times New Roman"/>
          <w:sz w:val="16"/>
          <w:szCs w:val="16"/>
          <w:color w:val="auto"/>
        </w:rPr>
        <w:t>. Upon the expiration or other termination of this Agreement or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the respective rights and obligations of the parties hereto shall survive to the extent necessary to carry out the intentions of the parties under this Agreement.</w:t>
      </w:r>
    </w:p>
    <w:p>
      <w:pPr>
        <w:spacing w:after="0" w:line="121" w:lineRule="exact"/>
        <w:rPr>
          <w:rFonts w:ascii="Times New Roman" w:cs="Times New Roman" w:eastAsia="Times New Roman" w:hAnsi="Times New Roman"/>
          <w:sz w:val="16"/>
          <w:szCs w:val="16"/>
          <w:color w:val="auto"/>
        </w:rPr>
      </w:pPr>
    </w:p>
    <w:p>
      <w:pPr>
        <w:ind w:left="520" w:right="639" w:firstLine="968"/>
        <w:spacing w:after="0" w:line="254"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Headings; Construction</w:t>
      </w:r>
      <w:r>
        <w:rPr>
          <w:rFonts w:ascii="Times New Roman" w:cs="Times New Roman" w:eastAsia="Times New Roman" w:hAnsi="Times New Roman"/>
          <w:sz w:val="16"/>
          <w:szCs w:val="16"/>
          <w:color w:val="auto"/>
        </w:rPr>
        <w:t>. The section headings used in this Agreement are included solely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convenience and shall not affect, or be used in connection with, the interpretation hereof. For purposes of this Agreement, the term “including” shall mean “including, without limitation.”</w:t>
      </w:r>
    </w:p>
    <w:p>
      <w:pPr>
        <w:spacing w:after="0" w:line="121" w:lineRule="exact"/>
        <w:rPr>
          <w:rFonts w:ascii="Times New Roman" w:cs="Times New Roman" w:eastAsia="Times New Roman" w:hAnsi="Times New Roman"/>
          <w:sz w:val="16"/>
          <w:szCs w:val="16"/>
          <w:color w:val="auto"/>
        </w:rPr>
      </w:pPr>
    </w:p>
    <w:p>
      <w:pPr>
        <w:ind w:left="520" w:right="539" w:firstLine="968"/>
        <w:spacing w:after="0" w:line="272"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may be executed in several counterparts, each of which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deemed to be an original but all of which together shall constitute one and the same instrument.</w:t>
      </w:r>
    </w:p>
    <w:p>
      <w:pPr>
        <w:spacing w:after="0" w:line="106" w:lineRule="exact"/>
        <w:rPr>
          <w:rFonts w:ascii="Times New Roman" w:cs="Times New Roman" w:eastAsia="Times New Roman" w:hAnsi="Times New Roman"/>
          <w:sz w:val="16"/>
          <w:szCs w:val="16"/>
          <w:color w:val="auto"/>
        </w:rPr>
      </w:pPr>
    </w:p>
    <w:p>
      <w:pPr>
        <w:ind w:left="520" w:right="559" w:firstLine="968"/>
        <w:spacing w:after="0" w:line="243"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Amendments; Waiver</w:t>
      </w:r>
      <w:r>
        <w:rPr>
          <w:rFonts w:ascii="Times New Roman" w:cs="Times New Roman" w:eastAsia="Times New Roman" w:hAnsi="Times New Roman"/>
          <w:sz w:val="16"/>
          <w:szCs w:val="16"/>
          <w:color w:val="auto"/>
        </w:rPr>
        <w:t>. No provision of this Agreement shall be modified or amended except by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instrument in writing duly executed by the parties hereto. The Executive’s or the Company’s failure to insist upon strict compliance with any provision hereof or any other provision of this Agreement or the failure to assert any right Executive or the Company may have hereunder, including the right of Executive to terminate employment for Good Reason pursuant to Section 4(c)(i)-(v), shall not be deemed to be a waiver of such provision or right or any other provision or right of this Agreement.</w:t>
      </w:r>
    </w:p>
    <w:p>
      <w:pPr>
        <w:spacing w:after="0" w:line="131" w:lineRule="exact"/>
        <w:rPr>
          <w:rFonts w:ascii="Times New Roman" w:cs="Times New Roman" w:eastAsia="Times New Roman" w:hAnsi="Times New Roman"/>
          <w:sz w:val="16"/>
          <w:szCs w:val="16"/>
          <w:color w:val="auto"/>
        </w:rPr>
      </w:pPr>
    </w:p>
    <w:p>
      <w:pPr>
        <w:ind w:left="520" w:right="539" w:firstLine="968"/>
        <w:spacing w:after="0" w:line="241"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At-Will Employment</w:t>
      </w:r>
      <w:r>
        <w:rPr>
          <w:rFonts w:ascii="Times New Roman" w:cs="Times New Roman" w:eastAsia="Times New Roman" w:hAnsi="Times New Roman"/>
          <w:sz w:val="16"/>
          <w:szCs w:val="16"/>
          <w:color w:val="auto"/>
        </w:rPr>
        <w:t>. The Executive and the Company acknowledge that, except as may otherwise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provided under any other written agreement between Executive and the Company, the employment of Executive by the Company is “at will” and, subject to Section 1(e) of this Agreement, prior to the Effective Date, Executive’s employment may be terminated by either Executive or the Company at any time prior to the Effective Date, in which case Executive shall have no further rights under this Agreement. From and after the Effective Date, except as specifically provided herein, this Agreement shall supersede any other employment agreement between the parties. For the avoidance of doubt, prior to the Effective Date, any other employment agreement between the parties shall continue to govern the relationship between the parties.</w:t>
      </w:r>
    </w:p>
    <w:p>
      <w:pPr>
        <w:spacing w:after="0" w:line="134" w:lineRule="exact"/>
        <w:rPr>
          <w:rFonts w:ascii="Times New Roman" w:cs="Times New Roman" w:eastAsia="Times New Roman" w:hAnsi="Times New Roman"/>
          <w:sz w:val="16"/>
          <w:szCs w:val="16"/>
          <w:color w:val="auto"/>
        </w:rPr>
      </w:pPr>
    </w:p>
    <w:p>
      <w:pPr>
        <w:jc w:val="both"/>
        <w:ind w:left="520" w:right="539" w:firstLine="968"/>
        <w:spacing w:after="0" w:line="243" w:lineRule="auto"/>
        <w:tabs>
          <w:tab w:leader="none" w:pos="197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This Agreement constitutes the entire agreement of the parties hereto in respect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terms and conditions of Executive’s employment with the Company and its Affiliates, including his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including the Prior Agreement. Executive hereby acknowledges and agrees that Executive has no contractual rights to any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469265</wp:posOffset>
            </wp:positionV>
            <wp:extent cx="50552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5" w:name="page156"/>
    <w:bookmarkEnd w:id="155"/>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jc w:val="both"/>
        <w:ind w:left="520" w:right="539"/>
        <w:spacing w:after="0" w:line="242" w:lineRule="auto"/>
        <w:rPr>
          <w:sz w:val="20"/>
          <w:szCs w:val="20"/>
          <w:color w:val="auto"/>
        </w:rPr>
      </w:pPr>
      <w:r>
        <w:rPr>
          <w:rFonts w:ascii="Times New Roman" w:cs="Times New Roman" w:eastAsia="Times New Roman" w:hAnsi="Times New Roman"/>
          <w:sz w:val="16"/>
          <w:szCs w:val="16"/>
          <w:color w:val="auto"/>
        </w:rPr>
        <w:t>or benefits under the Prior Agreement. For the avoidance of doubt, this Agreement does not limit the terms of any benefit plans (including equity award agreements) of the Company or its Affiliates that are applicable Executive, except to the extent that the terms of this Agreement are more favorable to Executive. From and after the Effective Date, the obligations of Executive under Section 9 shall be the exclusive restrictive covenant to which Executive is bound and any other restrictive covenants, including noncompetition restrictions, set forth in any agreement between Executive and the Company or its Affiliates, including any equity award agreement, shall be void and of no force and effect; provided further that any non-solicitation restrictions shall not be altered by this Agreement..</w:t>
      </w:r>
    </w:p>
    <w:p>
      <w:pPr>
        <w:spacing w:after="0" w:line="130" w:lineRule="exact"/>
        <w:rPr>
          <w:sz w:val="20"/>
          <w:szCs w:val="20"/>
          <w:color w:val="auto"/>
        </w:rPr>
      </w:pPr>
    </w:p>
    <w:p>
      <w:pPr>
        <w:jc w:val="both"/>
        <w:ind w:left="520" w:right="679" w:firstLine="968"/>
        <w:spacing w:after="0" w:line="272" w:lineRule="auto"/>
        <w:tabs>
          <w:tab w:leader="none" w:pos="1971"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Withholding</w:t>
      </w:r>
      <w:r>
        <w:rPr>
          <w:rFonts w:ascii="Times New Roman" w:cs="Times New Roman" w:eastAsia="Times New Roman" w:hAnsi="Times New Roman"/>
          <w:sz w:val="16"/>
          <w:szCs w:val="16"/>
          <w:color w:val="auto"/>
        </w:rPr>
        <w:t>. The Company may withhold from any amounts payable under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Federal, state, local or foreign taxes as shall be required to be withheld pursuant to any applicable law or regulation.</w:t>
      </w:r>
    </w:p>
    <w:p>
      <w:pPr>
        <w:spacing w:after="0" w:line="106" w:lineRule="exact"/>
        <w:rPr>
          <w:rFonts w:ascii="Times New Roman" w:cs="Times New Roman" w:eastAsia="Times New Roman" w:hAnsi="Times New Roman"/>
          <w:sz w:val="16"/>
          <w:szCs w:val="16"/>
          <w:color w:val="auto"/>
        </w:rPr>
      </w:pPr>
    </w:p>
    <w:p>
      <w:pPr>
        <w:ind w:left="1980" w:hanging="492"/>
        <w:spacing w:after="0"/>
        <w:tabs>
          <w:tab w:leader="none" w:pos="19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Section 409A</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ind w:left="520" w:right="559" w:firstLine="1452"/>
        <w:spacing w:after="0"/>
        <w:tabs>
          <w:tab w:leader="none" w:pos="245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General</w:t>
      </w:r>
      <w:r>
        <w:rPr>
          <w:rFonts w:ascii="Times New Roman" w:cs="Times New Roman" w:eastAsia="Times New Roman" w:hAnsi="Times New Roman"/>
          <w:sz w:val="16"/>
          <w:szCs w:val="16"/>
          <w:color w:val="auto"/>
        </w:rPr>
        <w:t>. It is intended that payments and benefits made or provided under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shall be paid in the later taxable year.</w:t>
      </w:r>
    </w:p>
    <w:p>
      <w:pPr>
        <w:spacing w:after="0" w:line="135" w:lineRule="exact"/>
        <w:rPr>
          <w:rFonts w:ascii="Times New Roman" w:cs="Times New Roman" w:eastAsia="Times New Roman" w:hAnsi="Times New Roman"/>
          <w:sz w:val="16"/>
          <w:szCs w:val="16"/>
          <w:color w:val="auto"/>
        </w:rPr>
      </w:pPr>
    </w:p>
    <w:p>
      <w:pPr>
        <w:ind w:left="520" w:right="579" w:firstLine="1452"/>
        <w:spacing w:after="0" w:line="241" w:lineRule="auto"/>
        <w:tabs>
          <w:tab w:leader="none" w:pos="245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Reimbursements and In-Kind Benefits</w:t>
      </w:r>
      <w:r>
        <w:rPr>
          <w:rFonts w:ascii="Times New Roman" w:cs="Times New Roman" w:eastAsia="Times New Roman" w:hAnsi="Times New Roman"/>
          <w:sz w:val="16"/>
          <w:szCs w:val="16"/>
          <w:color w:val="auto"/>
        </w:rPr>
        <w:t>. Notwithstanding anything to the contrary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will be made no later than the last day of the calendar year following the year in which the expense is incurred; and (D) the right to reimbursement or in-kind benefits is not subject to liquidation or exchange for another benefit.</w:t>
      </w:r>
    </w:p>
    <w:p>
      <w:pPr>
        <w:spacing w:after="0" w:line="131" w:lineRule="exact"/>
        <w:rPr>
          <w:rFonts w:ascii="Times New Roman" w:cs="Times New Roman" w:eastAsia="Times New Roman" w:hAnsi="Times New Roman"/>
          <w:sz w:val="16"/>
          <w:szCs w:val="16"/>
          <w:color w:val="auto"/>
        </w:rPr>
      </w:pPr>
    </w:p>
    <w:p>
      <w:pPr>
        <w:ind w:left="520" w:right="579" w:firstLine="1452"/>
        <w:spacing w:after="0" w:line="272" w:lineRule="auto"/>
        <w:tabs>
          <w:tab w:leader="none" w:pos="2455"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Delay of Payments</w:t>
      </w:r>
      <w:r>
        <w:rPr>
          <w:rFonts w:ascii="Times New Roman" w:cs="Times New Roman" w:eastAsia="Times New Roman" w:hAnsi="Times New Roman"/>
          <w:sz w:val="16"/>
          <w:szCs w:val="16"/>
          <w:color w:val="auto"/>
        </w:rPr>
        <w:t>. Notwithstanding any other provision of this Agreement to the contrary,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Executive is considered a “specified employee”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453390</wp:posOffset>
            </wp:positionV>
            <wp:extent cx="50552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6" w:name="page157"/>
    <w:bookmarkEnd w:id="156"/>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ind w:left="520" w:right="539"/>
        <w:spacing w:after="0"/>
        <w:rPr>
          <w:sz w:val="20"/>
          <w:szCs w:val="20"/>
          <w:color w:val="auto"/>
        </w:rPr>
      </w:pPr>
      <w:r>
        <w:rPr>
          <w:rFonts w:ascii="Times New Roman" w:cs="Times New Roman" w:eastAsia="Times New Roman" w:hAnsi="Times New Roman"/>
          <w:sz w:val="16"/>
          <w:szCs w:val="16"/>
          <w:color w:val="auto"/>
        </w:rPr>
        <w:t>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on account of Executive’s separation from service shall instead be paid, with Interest (based on the rate in effect for the month in which the Executive’s separation from service occurs), on the first business day of the seventh month following his separation from service (the “</w:t>
      </w:r>
      <w:r>
        <w:rPr>
          <w:rFonts w:ascii="Times New Roman" w:cs="Times New Roman" w:eastAsia="Times New Roman" w:hAnsi="Times New Roman"/>
          <w:sz w:val="16"/>
          <w:szCs w:val="16"/>
          <w:b w:val="1"/>
          <w:bCs w:val="1"/>
          <w:color w:val="auto"/>
        </w:rPr>
        <w:t>Delayed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Payment Date</w:t>
      </w:r>
      <w:r>
        <w:rPr>
          <w:rFonts w:ascii="Times New Roman" w:cs="Times New Roman" w:eastAsia="Times New Roman" w:hAnsi="Times New Roman"/>
          <w:sz w:val="16"/>
          <w:szCs w:val="16"/>
          <w:color w:val="auto"/>
        </w:rPr>
        <w:t>”), to the extent necessary to prevent the imposition of tax penalties on Executive under Section 409A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Code. If Executive dies during the postponement period, the amounts and entitlements delayed on account of Section 409A of the Code shall be paid to the personal representative of his estate on the first to occur of the Delayed Payment Date or 30 calendar days after the date of Executive’s death.</w:t>
      </w:r>
    </w:p>
    <w:p>
      <w:pPr>
        <w:spacing w:after="0" w:line="133" w:lineRule="exact"/>
        <w:rPr>
          <w:sz w:val="20"/>
          <w:szCs w:val="20"/>
          <w:color w:val="auto"/>
        </w:rPr>
      </w:pPr>
    </w:p>
    <w:p>
      <w:pPr>
        <w:ind w:left="520" w:right="539" w:firstLine="968"/>
        <w:spacing w:after="0" w:line="245" w:lineRule="auto"/>
        <w:tabs>
          <w:tab w:leader="none" w:pos="1971"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Indemnification</w:t>
      </w:r>
      <w:r>
        <w:rPr>
          <w:rFonts w:ascii="Times New Roman" w:cs="Times New Roman" w:eastAsia="Times New Roman" w:hAnsi="Times New Roman"/>
          <w:sz w:val="16"/>
          <w:szCs w:val="16"/>
          <w:color w:val="auto"/>
        </w:rPr>
        <w:t>. The Company shall indemnify Executive and hold him harmless to the fullest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permitted by law and under the charter and bylaws of the Company (including the advancement of expenses) against, and with respect to, any and all actions, suits, proceedings, claims, demands, judgments, costs, expenses (including reasonable attorney fees), losses and damages resulting from Executive’s good faith performance of his duties and obligations with the Company and its Affiliates.</w:t>
      </w:r>
    </w:p>
    <w:p>
      <w:pPr>
        <w:spacing w:after="0" w:line="129" w:lineRule="exact"/>
        <w:rPr>
          <w:rFonts w:ascii="Times New Roman" w:cs="Times New Roman" w:eastAsia="Times New Roman" w:hAnsi="Times New Roman"/>
          <w:sz w:val="16"/>
          <w:szCs w:val="16"/>
          <w:color w:val="auto"/>
        </w:rPr>
      </w:pPr>
    </w:p>
    <w:p>
      <w:pPr>
        <w:ind w:left="520" w:right="619" w:firstLine="968"/>
        <w:spacing w:after="0" w:line="248" w:lineRule="auto"/>
        <w:tabs>
          <w:tab w:leader="none" w:pos="1971"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Federal Deposit Insurance Act</w:t>
      </w:r>
      <w:r>
        <w:rPr>
          <w:rFonts w:ascii="Times New Roman" w:cs="Times New Roman" w:eastAsia="Times New Roman" w:hAnsi="Times New Roman"/>
          <w:sz w:val="16"/>
          <w:szCs w:val="16"/>
          <w:color w:val="auto"/>
        </w:rPr>
        <w:t>. Notwithstanding any provision of this Agreement to the contrary,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and benefits to Executive hereunder shall be paid or provided, to the extent applicable, in compliance with Section 18(k) of the Federal Deposit Insurance Act, 12 U.S.C. Section 1828(k), and any regulations promulgated thereunder.</w:t>
      </w:r>
    </w:p>
    <w:p>
      <w:pPr>
        <w:spacing w:after="0" w:line="126" w:lineRule="exact"/>
        <w:rPr>
          <w:rFonts w:ascii="Times New Roman" w:cs="Times New Roman" w:eastAsia="Times New Roman" w:hAnsi="Times New Roman"/>
          <w:sz w:val="16"/>
          <w:szCs w:val="16"/>
          <w:color w:val="auto"/>
        </w:rPr>
      </w:pPr>
    </w:p>
    <w:p>
      <w:pPr>
        <w:jc w:val="both"/>
        <w:ind w:left="520" w:right="559" w:firstLine="968"/>
        <w:spacing w:after="0" w:line="248" w:lineRule="auto"/>
        <w:tabs>
          <w:tab w:leader="none" w:pos="1971"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Non-Solicitation, Non-Disparagement.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exchange for the potential payments and benefits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which the Executive hereby acknowledges constitutes valid consideration, the Executive hereby covenants and agrees that, for a period of one year following the Executive’s termination of employment with the Bank, the Executive shall not, without the written consent of the Bank, either directly or indirectly:</w:t>
      </w:r>
    </w:p>
    <w:p>
      <w:pPr>
        <w:spacing w:after="0" w:line="128" w:lineRule="exact"/>
        <w:rPr>
          <w:sz w:val="20"/>
          <w:szCs w:val="20"/>
          <w:color w:val="auto"/>
        </w:rPr>
      </w:pPr>
    </w:p>
    <w:p>
      <w:pPr>
        <w:jc w:val="both"/>
        <w:ind w:left="520" w:right="539" w:firstLine="968"/>
        <w:spacing w:after="0" w:line="259" w:lineRule="auto"/>
        <w:tabs>
          <w:tab w:leader="none" w:pos="1971"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offer employment to, or take any other action intended (or that a reasonable person acting in like circumstances would expect) to have the effect of causing any officer or employee of the Bank, the Company or any of their respective subsidiaries or affiliates to terminate his or her employment and accept employment or become affiliated with, or provide services for compensation in any capacity whatsoever to, any business whatsoever that competes with the business of the Bank or the Company or any of their direct or indirect subsidiaries or affiliates or has headquarters or offices within the counties in which the Bank or the Company has business operations or has filed an application for regulatory approval to establish an office; provided, however, that this subsection (i) shall not prohibit general solicitations in any medium not specifically directed at officers or employees of the Bank, the Company or their respective subsidiaries or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474980</wp:posOffset>
            </wp:positionV>
            <wp:extent cx="50552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7" w:name="page158"/>
    <w:bookmarkEnd w:id="157"/>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2" w:lineRule="exact"/>
        <w:rPr>
          <w:sz w:val="20"/>
          <w:szCs w:val="20"/>
          <w:color w:val="auto"/>
        </w:rPr>
      </w:pPr>
    </w:p>
    <w:p>
      <w:pPr>
        <w:jc w:val="both"/>
        <w:ind w:left="520" w:right="539" w:firstLine="968"/>
        <w:spacing w:after="0" w:line="247" w:lineRule="auto"/>
        <w:tabs>
          <w:tab w:leader="none" w:pos="197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provide any information, advice or recommendation or take any other action intended (or that a reasonable person acting in like circumstances would expect) to have the effect of causing any customer of the Bank or the Company located within a seventy-five (75) mile radius of Times Square, New York to terminate an existing business or commercial relationship with the Bank or the Company.</w:t>
      </w:r>
    </w:p>
    <w:p>
      <w:pPr>
        <w:spacing w:after="0" w:line="150" w:lineRule="exact"/>
        <w:rPr>
          <w:sz w:val="20"/>
          <w:szCs w:val="20"/>
          <w:color w:val="auto"/>
        </w:rPr>
      </w:pPr>
    </w:p>
    <w:p>
      <w:pPr>
        <w:jc w:val="both"/>
        <w:ind w:left="520" w:right="539" w:firstLine="484"/>
        <w:spacing w:after="0" w:line="244" w:lineRule="auto"/>
        <w:rPr>
          <w:sz w:val="20"/>
          <w:szCs w:val="20"/>
          <w:color w:val="auto"/>
        </w:rPr>
      </w:pPr>
      <w:r>
        <w:rPr>
          <w:rFonts w:ascii="Times New Roman" w:cs="Times New Roman" w:eastAsia="Times New Roman" w:hAnsi="Times New Roman"/>
          <w:sz w:val="16"/>
          <w:szCs w:val="16"/>
          <w:color w:val="auto"/>
        </w:rPr>
        <w:t>Executive agrees not to disparage or defame in any manner, whether directly or indirectly, the Company, the Bank, or their affiliates, officers, directors, owners, representatives, employees, products or services, and the Company and the Bank agree not to disparage or defame in any manner, whether directly or indirectly, the Executive, in each case at any time during the Employment Period or at any time following termination of employment, except when compelled to do so in connection with a government investigation or judicial proceeding, or as otherwise may be required or protected by law.</w:t>
      </w:r>
    </w:p>
    <w:p>
      <w:pPr>
        <w:spacing w:after="0" w:line="153" w:lineRule="exact"/>
        <w:rPr>
          <w:sz w:val="20"/>
          <w:szCs w:val="20"/>
          <w:color w:val="auto"/>
        </w:rPr>
      </w:pPr>
    </w:p>
    <w:p>
      <w:pPr>
        <w:jc w:val="both"/>
        <w:ind w:left="520" w:right="539" w:firstLine="484"/>
        <w:spacing w:after="0" w:line="243" w:lineRule="auto"/>
        <w:rPr>
          <w:sz w:val="20"/>
          <w:szCs w:val="20"/>
          <w:color w:val="auto"/>
        </w:rPr>
      </w:pPr>
      <w:r>
        <w:rPr>
          <w:rFonts w:ascii="Times New Roman" w:cs="Times New Roman" w:eastAsia="Times New Roman" w:hAnsi="Times New Roman"/>
          <w:sz w:val="16"/>
          <w:szCs w:val="16"/>
          <w:color w:val="auto"/>
        </w:rPr>
        <w:t>The parties hereto, recognizing that irreparable injury will result to the Bank, its business and property in the event of the Executive’s breach of this Section 11(n), agree that, in the event of any such breach by the Executive, the Bank and/or the Company will be entitled, in addition to any other remedies and damages available, to an injunction to restrain the violation hereof by the Executive and all persons acting for or with the Executive. Nothing herein will be construed as prohibiting the Bank and the Company from pursuing any other remedies available to them for such breach or threatened breach, including the recovery of damages from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365760</wp:posOffset>
            </wp:positionV>
            <wp:extent cx="50552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5055235"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8" w:name="page159"/>
    <w:bookmarkEnd w:id="158"/>
    <w:p>
      <w:pPr>
        <w:ind w:left="520"/>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00" w:lineRule="exact"/>
        <w:rPr>
          <w:sz w:val="20"/>
          <w:szCs w:val="20"/>
          <w:color w:val="auto"/>
        </w:rPr>
      </w:pPr>
    </w:p>
    <w:p>
      <w:pPr>
        <w:jc w:val="both"/>
        <w:ind w:left="520" w:right="539" w:firstLine="968"/>
        <w:spacing w:after="0" w:line="254"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Executive has hereunto set Executive’s hand and, pursuant to the authorization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the Board, the Company has caused this Agreement to be executed in its name on its behalf,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DIME COMMUNITY BANCSHARES,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2276475</wp:posOffset>
            </wp:positionV>
            <wp:extent cx="50552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5055235" cy="1905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126365</wp:posOffset>
            </wp:positionV>
            <wp:extent cx="2271395" cy="17595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2271395" cy="1759585"/>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59" w:name="page160"/>
    <w:bookmarkEnd w:id="159"/>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161"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This Employment Agreement (this “Agreement”) is dated this 20</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day of February 2025 with an effective date of February 24, 2025 (the “Effective Date”), by and between Dime Community Bancshares, Inc., a New York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Dime Community Bank, a New York State chartered trust company and a wholly owned subsidiary of the Company (the “</w:t>
      </w:r>
      <w:r>
        <w:rPr>
          <w:rFonts w:ascii="Times New Roman" w:cs="Times New Roman" w:eastAsia="Times New Roman" w:hAnsi="Times New Roman"/>
          <w:sz w:val="16"/>
          <w:szCs w:val="16"/>
          <w:b w:val="1"/>
          <w:bCs w:val="1"/>
          <w:color w:val="auto"/>
        </w:rPr>
        <w:t>Bank</w:t>
      </w:r>
      <w:r>
        <w:rPr>
          <w:rFonts w:ascii="Times New Roman" w:cs="Times New Roman" w:eastAsia="Times New Roman" w:hAnsi="Times New Roman"/>
          <w:sz w:val="16"/>
          <w:szCs w:val="16"/>
          <w:color w:val="auto"/>
        </w:rPr>
        <w:t>”), and Thomas X. Geisel (the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180" w:right="199"/>
        <w:spacing w:after="0" w:line="4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Executive has accepted employment as a senior officer of the Company and Bank (the “</w:t>
      </w:r>
      <w:r>
        <w:rPr>
          <w:rFonts w:ascii="Times New Roman" w:cs="Times New Roman" w:eastAsia="Times New Roman" w:hAnsi="Times New Roman"/>
          <w:sz w:val="16"/>
          <w:szCs w:val="16"/>
          <w:b w:val="1"/>
          <w:bCs w:val="1"/>
          <w:u w:val="single" w:color="auto"/>
          <w:color w:val="auto"/>
        </w:rPr>
        <w:t>Bank</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u w:val="single" w:color="auto"/>
          <w:color w:val="auto"/>
        </w:rPr>
        <w:t>Employer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WHEREAS, </w:t>
      </w:r>
      <w:r>
        <w:rPr>
          <w:rFonts w:ascii="Times New Roman" w:cs="Times New Roman" w:eastAsia="Times New Roman" w:hAnsi="Times New Roman"/>
          <w:sz w:val="16"/>
          <w:szCs w:val="16"/>
          <w:color w:val="auto"/>
        </w:rPr>
        <w:t>the parties wish to set for the terms and conditions of the Executive’s employment in this Agreement;</w:t>
      </w:r>
    </w:p>
    <w:p>
      <w:pPr>
        <w:spacing w:after="0" w:line="126" w:lineRule="exact"/>
        <w:rPr>
          <w:sz w:val="20"/>
          <w:szCs w:val="20"/>
          <w:color w:val="auto"/>
        </w:rPr>
      </w:pPr>
    </w:p>
    <w:p>
      <w:pPr>
        <w:jc w:val="both"/>
        <w:ind w:left="180" w:right="199"/>
        <w:spacing w:after="0" w:line="27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covenants herein contained, and upon the other terms and conditions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hereinafter provided, the parties hereby agree as follows:</w:t>
      </w:r>
    </w:p>
    <w:p>
      <w:pPr>
        <w:spacing w:after="0" w:line="127" w:lineRule="exact"/>
        <w:rPr>
          <w:sz w:val="20"/>
          <w:szCs w:val="20"/>
          <w:color w:val="auto"/>
        </w:rPr>
      </w:pPr>
    </w:p>
    <w:p>
      <w:pPr>
        <w:ind w:left="600" w:hanging="412"/>
        <w:spacing w:after="0"/>
        <w:tabs>
          <w:tab w:leader="none" w:pos="6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Employment Period.</w:t>
      </w:r>
    </w:p>
    <w:p>
      <w:pPr>
        <w:spacing w:after="0" w:line="181" w:lineRule="exact"/>
        <w:rPr>
          <w:sz w:val="20"/>
          <w:szCs w:val="20"/>
          <w:color w:val="auto"/>
        </w:rPr>
      </w:pPr>
    </w:p>
    <w:p>
      <w:pPr>
        <w:jc w:val="both"/>
        <w:ind w:left="180" w:right="199" w:firstLine="8"/>
        <w:spacing w:after="0" w:line="244" w:lineRule="auto"/>
        <w:tabs>
          <w:tab w:leader="none" w:pos="66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Three Year Contract; Daily Renewal</w:t>
      </w:r>
      <w:r>
        <w:rPr>
          <w:rFonts w:ascii="Times New Roman" w:cs="Times New Roman" w:eastAsia="Times New Roman" w:hAnsi="Times New Roman"/>
          <w:sz w:val="16"/>
          <w:szCs w:val="16"/>
          <w:color w:val="auto"/>
        </w:rPr>
        <w:t>. The term of this Agreement shall commence as of the Effective Date and shall continue thereafter for a period of three (3) years (the “Employment Period”) and the Employment Period shall automatically renew on a daily basis, such that the remaining unexpired Employment Period shall be three years, until the date the Company or Bank gives the Executive written notice of non-renewal (“Non-Renewal Notice”). The Employment Period shall end on the date that is three years after the date of the Non-Renewal Notice.</w:t>
      </w:r>
    </w:p>
    <w:p>
      <w:pPr>
        <w:spacing w:after="0" w:line="153" w:lineRule="exact"/>
        <w:rPr>
          <w:rFonts w:ascii="Times New Roman" w:cs="Times New Roman" w:eastAsia="Times New Roman" w:hAnsi="Times New Roman"/>
          <w:sz w:val="16"/>
          <w:szCs w:val="16"/>
          <w:color w:val="auto"/>
        </w:rPr>
      </w:pPr>
    </w:p>
    <w:p>
      <w:pPr>
        <w:jc w:val="both"/>
        <w:ind w:left="180" w:right="199" w:firstLine="8"/>
        <w:spacing w:after="0" w:line="247" w:lineRule="auto"/>
        <w:tabs>
          <w:tab w:leader="none" w:pos="69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Performance Evaluation</w:t>
      </w:r>
      <w:r>
        <w:rPr>
          <w:rFonts w:ascii="Times New Roman" w:cs="Times New Roman" w:eastAsia="Times New Roman" w:hAnsi="Times New Roman"/>
          <w:sz w:val="16"/>
          <w:szCs w:val="16"/>
          <w:color w:val="auto"/>
        </w:rPr>
        <w:t>. On a calendar year basis, the Bank and/or the Company (acting through the full Board or a committee thereof) shall conduct an annual performance evaluation of the Executive, no later than April 30th of the following calendar year, the results of which shall be communicated to the Executive. The first such annual performance evaluation shall occur for the year ended 2025.</w:t>
      </w:r>
    </w:p>
    <w:p>
      <w:pPr>
        <w:spacing w:after="0" w:line="149"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64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Continued Employment Following Termination of Employment Period</w:t>
      </w:r>
      <w:r>
        <w:rPr>
          <w:rFonts w:ascii="Times New Roman" w:cs="Times New Roman" w:eastAsia="Times New Roman" w:hAnsi="Times New Roman"/>
          <w:sz w:val="16"/>
          <w:szCs w:val="16"/>
          <w:color w:val="auto"/>
        </w:rPr>
        <w:t>. Nothing in this Agreement shall mandate or prohibit a continuation of the Executive’s employment following the expiration of the Employment Period.</w:t>
      </w:r>
    </w:p>
    <w:p>
      <w:pPr>
        <w:spacing w:after="0" w:line="128" w:lineRule="exact"/>
        <w:rPr>
          <w:sz w:val="20"/>
          <w:szCs w:val="20"/>
          <w:color w:val="auto"/>
        </w:rPr>
      </w:pPr>
    </w:p>
    <w:p>
      <w:pPr>
        <w:ind w:left="600" w:hanging="412"/>
        <w:spacing w:after="0"/>
        <w:tabs>
          <w:tab w:leader="none" w:pos="60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Duties</w:t>
      </w:r>
      <w:r>
        <w:rPr>
          <w:rFonts w:ascii="Times New Roman" w:cs="Times New Roman" w:eastAsia="Times New Roman" w:hAnsi="Times New Roman"/>
          <w:sz w:val="16"/>
          <w:szCs w:val="16"/>
          <w:i w:val="1"/>
          <w:iCs w:val="1"/>
          <w:color w:val="auto"/>
        </w:rPr>
        <w:t>.</w:t>
      </w:r>
    </w:p>
    <w:p>
      <w:pPr>
        <w:spacing w:after="0" w:line="181" w:lineRule="exact"/>
        <w:rPr>
          <w:sz w:val="20"/>
          <w:szCs w:val="20"/>
          <w:color w:val="auto"/>
        </w:rPr>
      </w:pPr>
    </w:p>
    <w:p>
      <w:pPr>
        <w:jc w:val="both"/>
        <w:ind w:left="180" w:right="199" w:firstLine="8"/>
        <w:spacing w:after="0" w:line="253" w:lineRule="auto"/>
        <w:tabs>
          <w:tab w:leader="none" w:pos="661"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Responsibility</w:t>
      </w:r>
      <w:r>
        <w:rPr>
          <w:rFonts w:ascii="Times New Roman" w:cs="Times New Roman" w:eastAsia="Times New Roman" w:hAnsi="Times New Roman"/>
          <w:sz w:val="16"/>
          <w:szCs w:val="16"/>
          <w:color w:val="auto"/>
        </w:rPr>
        <w:t>. The Executive shall serve as a Senior Executive Vice President of the Company and the Bank, and shall be tasked with duties pertaining to management and growth of the Bank’s loan portfolio, and any other duties assigned by the Chief Executive Officer of the Company and Bank or his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360045</wp:posOffset>
            </wp:positionV>
            <wp:extent cx="547751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60" w:name="page161"/>
    <w:bookmarkEnd w:id="160"/>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ind w:left="180" w:right="199" w:firstLine="8"/>
        <w:spacing w:after="0" w:line="270" w:lineRule="auto"/>
        <w:tabs>
          <w:tab w:leader="none" w:pos="65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Time Commitment</w:t>
      </w:r>
      <w:r>
        <w:rPr>
          <w:rFonts w:ascii="Times New Roman" w:cs="Times New Roman" w:eastAsia="Times New Roman" w:hAnsi="Times New Roman"/>
          <w:sz w:val="16"/>
          <w:szCs w:val="16"/>
          <w:color w:val="auto"/>
        </w:rPr>
        <w:t>. The Executive shall devote his full business time and attention to the business and affairs of the Company and the Bank and shall use his best efforts to advance the interests of the Company and the Bank.</w:t>
      </w:r>
    </w:p>
    <w:p>
      <w:pPr>
        <w:spacing w:after="0" w:line="148" w:lineRule="exact"/>
        <w:rPr>
          <w:sz w:val="20"/>
          <w:szCs w:val="20"/>
          <w:color w:val="auto"/>
        </w:rPr>
      </w:pPr>
    </w:p>
    <w:p>
      <w:pPr>
        <w:ind w:left="1500" w:hanging="657"/>
        <w:spacing w:after="0"/>
        <w:tabs>
          <w:tab w:leader="none" w:pos="1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Annual Compensation</w:t>
      </w:r>
      <w:r>
        <w:rPr>
          <w:rFonts w:ascii="Times New Roman" w:cs="Times New Roman" w:eastAsia="Times New Roman" w:hAnsi="Times New Roman"/>
          <w:sz w:val="16"/>
          <w:szCs w:val="16"/>
          <w:i w:val="1"/>
          <w:iCs w:val="1"/>
          <w:color w:val="auto"/>
        </w:rPr>
        <w:t>.</w:t>
      </w:r>
    </w:p>
    <w:p>
      <w:pPr>
        <w:spacing w:after="0" w:line="200" w:lineRule="exact"/>
        <w:rPr>
          <w:rFonts w:ascii="Times New Roman" w:cs="Times New Roman" w:eastAsia="Times New Roman" w:hAnsi="Times New Roman"/>
          <w:sz w:val="16"/>
          <w:szCs w:val="16"/>
          <w:color w:val="auto"/>
        </w:rPr>
      </w:pPr>
    </w:p>
    <w:p>
      <w:pPr>
        <w:jc w:val="both"/>
        <w:ind w:left="180" w:right="199" w:firstLine="8"/>
        <w:spacing w:after="0" w:line="244" w:lineRule="auto"/>
        <w:tabs>
          <w:tab w:leader="none" w:pos="671"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Salary</w:t>
      </w:r>
      <w:r>
        <w:rPr>
          <w:rFonts w:ascii="Times New Roman" w:cs="Times New Roman" w:eastAsia="Times New Roman" w:hAnsi="Times New Roman"/>
          <w:sz w:val="16"/>
          <w:szCs w:val="16"/>
          <w:color w:val="auto"/>
        </w:rPr>
        <w:t>. In consideration for the services performed by the Executive under this Agreement, the Bank shall pay to the Executive an annual salary (“Base Salary”) of not less than $489,456.00. The Base Salary shall be paid in approximately equal installments in accordance with the Bank’s customary payroll practices. The Bank shall review the Executive’s Base Salary at least annually and such Base Salary may be increased, but may not be decreased without the Executive’s consent (any increase in Base Salary shall become the new “Base Salary” for purposes of this Agreement).</w:t>
      </w:r>
    </w:p>
    <w:p>
      <w:pPr>
        <w:spacing w:after="0" w:line="153"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65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Incentive Compensation</w:t>
      </w:r>
      <w:r>
        <w:rPr>
          <w:rFonts w:ascii="Times New Roman" w:cs="Times New Roman" w:eastAsia="Times New Roman" w:hAnsi="Times New Roman"/>
          <w:sz w:val="16"/>
          <w:szCs w:val="16"/>
          <w:color w:val="auto"/>
        </w:rPr>
        <w:t>. The Executive shall be eligible to participate in any incentive compensation programs established by the Bank and/or the Company from time to time for senior executive officers, in accordance with the terms of such plans as they may exist from time to time.</w:t>
      </w:r>
    </w:p>
    <w:p>
      <w:pPr>
        <w:spacing w:after="0" w:line="144" w:lineRule="exact"/>
        <w:rPr>
          <w:sz w:val="20"/>
          <w:szCs w:val="20"/>
          <w:color w:val="auto"/>
        </w:rPr>
      </w:pPr>
    </w:p>
    <w:p>
      <w:pPr>
        <w:jc w:val="both"/>
        <w:ind w:left="180" w:right="199"/>
        <w:spacing w:after="0" w:line="242" w:lineRule="auto"/>
        <w:rPr>
          <w:sz w:val="20"/>
          <w:szCs w:val="20"/>
          <w:color w:val="auto"/>
        </w:rPr>
      </w:pPr>
      <w:r>
        <w:rPr>
          <w:rFonts w:ascii="Times New Roman" w:cs="Times New Roman" w:eastAsia="Times New Roman" w:hAnsi="Times New Roman"/>
          <w:sz w:val="16"/>
          <w:szCs w:val="16"/>
          <w:color w:val="auto"/>
        </w:rPr>
        <w:t xml:space="preserve">(c)(i) </w:t>
      </w:r>
      <w:r>
        <w:rPr>
          <w:rFonts w:ascii="Times New Roman" w:cs="Times New Roman" w:eastAsia="Times New Roman" w:hAnsi="Times New Roman"/>
          <w:sz w:val="16"/>
          <w:szCs w:val="16"/>
          <w:u w:val="single" w:color="auto"/>
          <w:color w:val="auto"/>
        </w:rPr>
        <w:t>Annual Equity Grant</w:t>
      </w:r>
      <w:r>
        <w:rPr>
          <w:rFonts w:ascii="Times New Roman" w:cs="Times New Roman" w:eastAsia="Times New Roman" w:hAnsi="Times New Roman"/>
          <w:sz w:val="16"/>
          <w:szCs w:val="16"/>
          <w:color w:val="auto"/>
        </w:rPr>
        <w:t>. The Executive will participate in the Long Term Incentive Plan (“LTIP”) starting in March 2026. The LTIP target will be a minimum opportunity of 40% of base salary. Approximately 60% of the LTIP will be performance based and the remaining 40% time-based. The LTIP is subject to various terms and conditions, including, but not limited to terms related to performance-based vesting, as shall be determined by the Compensation Committee of the Board (the “Committee”) and set forth in a grant award agreement, including without limitation vesting conditions (which may include performance-based vesting conditions). Additionally, the award agreement’s provisions regarding vesting, dividends and other terms shall be consistent with the related equity plan as in effect on the date of grant.</w:t>
      </w:r>
    </w:p>
    <w:p>
      <w:pPr>
        <w:spacing w:after="0" w:line="153"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 xml:space="preserve">(c)(ii) </w:t>
      </w:r>
      <w:r>
        <w:rPr>
          <w:rFonts w:ascii="Times New Roman" w:cs="Times New Roman" w:eastAsia="Times New Roman" w:hAnsi="Times New Roman"/>
          <w:sz w:val="16"/>
          <w:szCs w:val="16"/>
          <w:u w:val="single" w:color="auto"/>
          <w:color w:val="auto"/>
        </w:rPr>
        <w:t>One-time Equity Grant</w:t>
      </w:r>
      <w:r>
        <w:rPr>
          <w:rFonts w:ascii="Times New Roman" w:cs="Times New Roman" w:eastAsia="Times New Roman" w:hAnsi="Times New Roman"/>
          <w:sz w:val="16"/>
          <w:szCs w:val="16"/>
          <w:color w:val="auto"/>
        </w:rPr>
        <w:t>. The Bank shall make a stock grant to the Executive within 45 days of the Effective Date in an amount equal to $200,000 in shares of Company common stock of which $100,000 shall be time-based stock vesting ratable over a three-year period and $100,000 shall be performance-based stock that cliff vests in three years based upon agreed upon growth in business loans, deposit funding, hiring of new teams and maintenance of asset quality.</w:t>
      </w:r>
    </w:p>
    <w:p>
      <w:pPr>
        <w:spacing w:after="0" w:line="150" w:lineRule="exact"/>
        <w:rPr>
          <w:sz w:val="20"/>
          <w:szCs w:val="20"/>
          <w:color w:val="auto"/>
        </w:rPr>
      </w:pPr>
    </w:p>
    <w:p>
      <w:pPr>
        <w:jc w:val="both"/>
        <w:ind w:left="180" w:right="199"/>
        <w:spacing w:after="0" w:line="242" w:lineRule="auto"/>
        <w:rPr>
          <w:sz w:val="20"/>
          <w:szCs w:val="20"/>
          <w:color w:val="auto"/>
        </w:rPr>
      </w:pPr>
      <w:r>
        <w:rPr>
          <w:rFonts w:ascii="Times New Roman" w:cs="Times New Roman" w:eastAsia="Times New Roman" w:hAnsi="Times New Roman"/>
          <w:sz w:val="16"/>
          <w:szCs w:val="16"/>
          <w:color w:val="auto"/>
        </w:rPr>
        <w:t xml:space="preserve">(d)(i) </w:t>
      </w:r>
      <w:r>
        <w:rPr>
          <w:rFonts w:ascii="Times New Roman" w:cs="Times New Roman" w:eastAsia="Times New Roman" w:hAnsi="Times New Roman"/>
          <w:sz w:val="16"/>
          <w:szCs w:val="16"/>
          <w:u w:val="single" w:color="auto"/>
          <w:color w:val="auto"/>
        </w:rPr>
        <w:t>Annual Cash Bonus</w:t>
      </w:r>
      <w:r>
        <w:rPr>
          <w:rFonts w:ascii="Times New Roman" w:cs="Times New Roman" w:eastAsia="Times New Roman" w:hAnsi="Times New Roman"/>
          <w:sz w:val="16"/>
          <w:szCs w:val="16"/>
          <w:color w:val="auto"/>
        </w:rPr>
        <w:t>. The Bank shall provide the Executive an annual cash bonus opportunity, starting in March 2026, in an amount equal to fifty percent (50%) of Base Salary at target, less required tax withholding, on an annual basis during the term of this Agreement (the “Annual Cash Bonus”), subject to terms and conditions, including performance conditions, as shall be determined by the Committee. Each Annual Cash Bonus shall be paid to the Executive as a single lump sum cash payment (less required withholding) as soon as practicable after the last day of the applicable bonus period, but in no event later than March 31st of the calendar year following the year in which the last day of the performance period occurs (or as soon as administratively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365760</wp:posOffset>
            </wp:positionV>
            <wp:extent cx="547751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1" w:name="page162"/>
    <w:bookmarkEnd w:id="161"/>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 xml:space="preserve">(d)(ii) </w:t>
      </w:r>
      <w:r>
        <w:rPr>
          <w:rFonts w:ascii="Times New Roman" w:cs="Times New Roman" w:eastAsia="Times New Roman" w:hAnsi="Times New Roman"/>
          <w:sz w:val="16"/>
          <w:szCs w:val="16"/>
          <w:u w:val="single" w:color="auto"/>
          <w:color w:val="auto"/>
        </w:rPr>
        <w:t>One-time Cash Bonus</w:t>
      </w:r>
      <w:r>
        <w:rPr>
          <w:rFonts w:ascii="Times New Roman" w:cs="Times New Roman" w:eastAsia="Times New Roman" w:hAnsi="Times New Roman"/>
          <w:sz w:val="16"/>
          <w:szCs w:val="16"/>
          <w:color w:val="auto"/>
        </w:rPr>
        <w:t>. The Bank shall provide the Executive a one-time cash bonus in an amount equal to $200,000 payable to Executive on or about March 15, 2025, to coincide with the closest payroll date. In the event Executive leaves Dime on a voluntary basis without Good Reason within eighteen months of the Effective Date, Executive will be required to reimburse Dime for the full amount of this one-time cash bonus.</w:t>
      </w:r>
    </w:p>
    <w:p>
      <w:pPr>
        <w:spacing w:after="0" w:line="150" w:lineRule="exact"/>
        <w:rPr>
          <w:sz w:val="20"/>
          <w:szCs w:val="20"/>
          <w:color w:val="auto"/>
        </w:rPr>
      </w:pPr>
    </w:p>
    <w:p>
      <w:pPr>
        <w:jc w:val="both"/>
        <w:ind w:left="180" w:right="199" w:firstLine="8"/>
        <w:spacing w:after="0" w:line="253" w:lineRule="auto"/>
        <w:tabs>
          <w:tab w:leader="none" w:pos="667"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 3(c), the number of restricted stock awards to be granted in accordance with such provisions shall be determined by dividing the restricted stock award value by the VWAP derived from the stock price for the 10 business days prior to the grant date as reported on The NASDAQ Stock Market, LLC and without regard to any after-hours trading.</w:t>
      </w:r>
    </w:p>
    <w:p>
      <w:pPr>
        <w:spacing w:after="0" w:line="162" w:lineRule="exact"/>
        <w:rPr>
          <w:sz w:val="20"/>
          <w:szCs w:val="20"/>
          <w:color w:val="auto"/>
        </w:rPr>
      </w:pPr>
    </w:p>
    <w:p>
      <w:pPr>
        <w:ind w:left="1500" w:hanging="657"/>
        <w:spacing w:after="0"/>
        <w:tabs>
          <w:tab w:leader="none" w:pos="150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Employee Benefit Plans; Paid Time Off</w:t>
      </w:r>
    </w:p>
    <w:p>
      <w:pPr>
        <w:spacing w:after="0" w:line="200" w:lineRule="exact"/>
        <w:rPr>
          <w:rFonts w:ascii="Times New Roman" w:cs="Times New Roman" w:eastAsia="Times New Roman" w:hAnsi="Times New Roman"/>
          <w:sz w:val="16"/>
          <w:szCs w:val="16"/>
          <w:color w:val="auto"/>
        </w:rPr>
      </w:pPr>
    </w:p>
    <w:p>
      <w:pPr>
        <w:jc w:val="both"/>
        <w:ind w:left="180" w:right="199" w:firstLine="8"/>
        <w:spacing w:after="0" w:line="241" w:lineRule="auto"/>
        <w:tabs>
          <w:tab w:leader="none" w:pos="782"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 Plans</w:t>
      </w:r>
      <w:r>
        <w:rPr>
          <w:rFonts w:ascii="Times New Roman" w:cs="Times New Roman" w:eastAsia="Times New Roman" w:hAnsi="Times New Roman"/>
          <w:sz w:val="16"/>
          <w:szCs w:val="16"/>
          <w:color w:val="auto"/>
        </w:rPr>
        <w:t>. During the Employment Period, the Executive shall be an employee of the Bank and shall be entitled to participate in benefit plans sponsored and maintained by the Bank, including, but not limited to any: (i) tax-qualified retirement plans; (ii) Supplemental Executive Retirement Plan approved by the Bank (to the extent it is being provided to similarly situated executives of the Company); (iii) individual split-dollar life insurance policy benefit; (iv) group life, health and disability insurance plans and (v) any other employee benefit plans and programs in accordance with the Bank’s customary practices, provided; however, such participation shall be in accordance with the terms of such benefit plans and programs and, for purposes of this Section 4(a), the Bank may amend, modify or reduce benefits provided under such benefit plans and programs provided the changes apply to all similarly-situated participants on an equivalent basis.</w:t>
      </w:r>
    </w:p>
    <w:p>
      <w:pPr>
        <w:spacing w:after="0" w:line="154"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79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Paid Time Off</w:t>
      </w:r>
      <w:r>
        <w:rPr>
          <w:rFonts w:ascii="Times New Roman" w:cs="Times New Roman" w:eastAsia="Times New Roman" w:hAnsi="Times New Roman"/>
          <w:sz w:val="16"/>
          <w:szCs w:val="16"/>
          <w:color w:val="auto"/>
        </w:rPr>
        <w:t>. The Executive shall be entitled to 23 days of paid time off (“PTO”), 7 sick days, and paid holidays in accordance with the Bank’s current policy. All unused accrued PTO will be payable to Executive upon termination of employment.</w:t>
      </w:r>
    </w:p>
    <w:p>
      <w:pPr>
        <w:spacing w:after="0" w:line="130"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68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Perquisite Allowance</w:t>
      </w:r>
      <w:r>
        <w:rPr>
          <w:rFonts w:ascii="Times New Roman" w:cs="Times New Roman" w:eastAsia="Times New Roman" w:hAnsi="Times New Roman"/>
          <w:sz w:val="16"/>
          <w:szCs w:val="16"/>
          <w:color w:val="auto"/>
        </w:rPr>
        <w:t>. The Executive shall be paid an annual allowance of $50,000 in the form of a cash payment, in lieu of any perquisites. For 2025, the allowance will be pro-rated (calculated as roughly 10 months) and paid at the same time as the one-time cash bonus described in Section 3(d)(ii).</w:t>
      </w:r>
    </w:p>
    <w:p>
      <w:pPr>
        <w:spacing w:after="0" w:line="161" w:lineRule="exact"/>
        <w:rPr>
          <w:rFonts w:ascii="Times New Roman" w:cs="Times New Roman" w:eastAsia="Times New Roman" w:hAnsi="Times New Roman"/>
          <w:sz w:val="16"/>
          <w:szCs w:val="16"/>
          <w:color w:val="auto"/>
        </w:rPr>
      </w:pPr>
    </w:p>
    <w:p>
      <w:pPr>
        <w:ind w:left="1500" w:hanging="657"/>
        <w:spacing w:after="0"/>
        <w:tabs>
          <w:tab w:leader="none" w:pos="150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Outside Activities and Board Memberships</w:t>
      </w:r>
    </w:p>
    <w:p>
      <w:pPr>
        <w:spacing w:after="0" w:line="201" w:lineRule="exact"/>
        <w:rPr>
          <w:sz w:val="20"/>
          <w:szCs w:val="20"/>
          <w:color w:val="auto"/>
        </w:rPr>
      </w:pPr>
    </w:p>
    <w:p>
      <w:pPr>
        <w:jc w:val="both"/>
        <w:ind w:left="180" w:right="199"/>
        <w:spacing w:after="0" w:line="241" w:lineRule="auto"/>
        <w:rPr>
          <w:sz w:val="20"/>
          <w:szCs w:val="20"/>
          <w:color w:val="auto"/>
        </w:rPr>
      </w:pPr>
      <w:r>
        <w:rPr>
          <w:rFonts w:ascii="Times New Roman" w:cs="Times New Roman" w:eastAsia="Times New Roman" w:hAnsi="Times New Roman"/>
          <w:sz w:val="16"/>
          <w:szCs w:val="16"/>
          <w:color w:val="auto"/>
        </w:rPr>
        <w:t>During the term of this Agreement, the Executive shall not, directly or indirectly, provide services on behalf of any financial institution, any insurance company or agency, any mortgage or loan broker or any other entity or on behalf of any subsidiary or affiliate of any such entity engaged in the financial services industry, as an employee, consultant, independent contractor, agent, sole proprietor, partner, joint venturer, corporate officer or director; nor shall the Executive acquire by reason of purchase during the term of this Agreement the ownership of more than 5% of the outstanding equity interest in any such entity. Subject to the foregoing, and to the Executive’s right to continue to serve as an officer and/or director or trustee of any business organization as to which he was so serving on the Effective Date of this Agreement, the Executive may serve on boards of directors of unaffiliated, for-profit business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252095</wp:posOffset>
            </wp:positionV>
            <wp:extent cx="547751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2" w:name="page163"/>
    <w:bookmarkEnd w:id="162"/>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4" w:lineRule="auto"/>
        <w:rPr>
          <w:sz w:val="20"/>
          <w:szCs w:val="20"/>
          <w:color w:val="auto"/>
        </w:rPr>
      </w:pPr>
      <w:r>
        <w:rPr>
          <w:rFonts w:ascii="Times New Roman" w:cs="Times New Roman" w:eastAsia="Times New Roman" w:hAnsi="Times New Roman"/>
          <w:sz w:val="16"/>
          <w:szCs w:val="16"/>
          <w:color w:val="auto"/>
        </w:rPr>
        <w:t>subject to Board approval, which shall not be unreasonably withheld, and such services shall be presumed for these purposes to be for the benefit of the Bank and the Company. Except as specifically set forth herein, the Executive may engage in personal business and investment activities, including real estate investments and personal investments in the stocks, securities and obligations of other financial institutions (or their holding companies). Notwithstanding the foregoing, in no event shall the Executive’s outside activities, services, personal business and investments materially interfere with the performance of his duties under this Agreement.</w:t>
      </w:r>
    </w:p>
    <w:p>
      <w:pPr>
        <w:spacing w:after="0" w:line="171" w:lineRule="exact"/>
        <w:rPr>
          <w:sz w:val="20"/>
          <w:szCs w:val="20"/>
          <w:color w:val="auto"/>
        </w:rPr>
      </w:pPr>
    </w:p>
    <w:p>
      <w:pPr>
        <w:ind w:left="1500" w:hanging="657"/>
        <w:spacing w:after="0"/>
        <w:tabs>
          <w:tab w:leader="none" w:pos="150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Working Facilities and Expenses</w:t>
      </w:r>
    </w:p>
    <w:p>
      <w:pPr>
        <w:spacing w:after="0" w:line="200" w:lineRule="exact"/>
        <w:rPr>
          <w:rFonts w:ascii="Times New Roman" w:cs="Times New Roman" w:eastAsia="Times New Roman" w:hAnsi="Times New Roman"/>
          <w:sz w:val="16"/>
          <w:szCs w:val="16"/>
          <w:color w:val="auto"/>
        </w:rPr>
      </w:pPr>
    </w:p>
    <w:p>
      <w:pPr>
        <w:ind w:left="640" w:hanging="452"/>
        <w:spacing w:after="0"/>
        <w:tabs>
          <w:tab w:leader="none" w:pos="64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Working Facilities</w:t>
      </w:r>
      <w:r>
        <w:rPr>
          <w:rFonts w:ascii="Times New Roman" w:cs="Times New Roman" w:eastAsia="Times New Roman" w:hAnsi="Times New Roman"/>
          <w:sz w:val="16"/>
          <w:szCs w:val="16"/>
          <w:color w:val="auto"/>
        </w:rPr>
        <w:t>. The Executive’s principal place of employment shall be at the Bank’s office in Manhattan, New York.</w:t>
      </w:r>
    </w:p>
    <w:p>
      <w:pPr>
        <w:spacing w:after="0" w:line="178" w:lineRule="exact"/>
        <w:rPr>
          <w:rFonts w:ascii="Times New Roman" w:cs="Times New Roman" w:eastAsia="Times New Roman" w:hAnsi="Times New Roman"/>
          <w:sz w:val="16"/>
          <w:szCs w:val="16"/>
          <w:color w:val="auto"/>
        </w:rPr>
      </w:pPr>
    </w:p>
    <w:p>
      <w:pPr>
        <w:jc w:val="both"/>
        <w:ind w:left="180" w:right="199" w:firstLine="8"/>
        <w:spacing w:after="0" w:line="243" w:lineRule="auto"/>
        <w:tabs>
          <w:tab w:leader="none" w:pos="781"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Bank or Company, as appropriate, shall reimburse the Executive for his ordinary and necessary business expenses, incurred in connection with the performance of his duties under this Agreement, upon presentation to the Bank or Company of an itemized account of such expenses in such form as the Bank or Company may reasonably require. Any such expense shall be reimbursed as soon as practicable and no later than two and one-half months following the end of the year in which the expense was incurred, and the amount of expenses eligible for reimbursement (and in-kind benefits provided to Executive) during any one year may not affect amounts reimbursable or provided in any subsequent year.</w:t>
      </w:r>
    </w:p>
    <w:p>
      <w:pPr>
        <w:spacing w:after="0" w:line="170" w:lineRule="exact"/>
        <w:rPr>
          <w:rFonts w:ascii="Times New Roman" w:cs="Times New Roman" w:eastAsia="Times New Roman" w:hAnsi="Times New Roman"/>
          <w:sz w:val="16"/>
          <w:szCs w:val="16"/>
          <w:color w:val="auto"/>
        </w:rPr>
      </w:pPr>
    </w:p>
    <w:p>
      <w:pPr>
        <w:ind w:left="1500" w:hanging="657"/>
        <w:spacing w:after="0"/>
        <w:tabs>
          <w:tab w:leader="none" w:pos="1500"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Termination of Employment with Bank Liability</w:t>
      </w:r>
    </w:p>
    <w:p>
      <w:pPr>
        <w:spacing w:after="0" w:line="201" w:lineRule="exact"/>
        <w:rPr>
          <w:sz w:val="20"/>
          <w:szCs w:val="20"/>
          <w:color w:val="auto"/>
        </w:rPr>
      </w:pPr>
    </w:p>
    <w:p>
      <w:pPr>
        <w:jc w:val="both"/>
        <w:ind w:left="180" w:right="199" w:firstLine="8"/>
        <w:spacing w:after="0" w:line="244" w:lineRule="auto"/>
        <w:tabs>
          <w:tab w:leader="none" w:pos="72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Reasons for Termination</w:t>
      </w:r>
      <w:r>
        <w:rPr>
          <w:rFonts w:ascii="Times New Roman" w:cs="Times New Roman" w:eastAsia="Times New Roman" w:hAnsi="Times New Roman"/>
          <w:sz w:val="16"/>
          <w:szCs w:val="16"/>
          <w:color w:val="auto"/>
        </w:rPr>
        <w:t>. In the event that the Executive’s employment with the Bank and/or the Company shall terminate during the Employment Period on account of any of the events set forth in Sections 7(a)(i) or 7(a)(ii) below (an “Event of Termination”), the Bank shall provide the benefits and pay to the Executive the amounts provided for under Section 7(b) or Section</w:t>
      </w:r>
    </w:p>
    <w:p>
      <w:pPr>
        <w:spacing w:after="0" w:line="1"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7(c), as applicable:</w:t>
      </w:r>
    </w:p>
    <w:p>
      <w:pPr>
        <w:spacing w:after="0" w:line="161" w:lineRule="exact"/>
        <w:rPr>
          <w:sz w:val="20"/>
          <w:szCs w:val="20"/>
          <w:color w:val="auto"/>
        </w:rPr>
      </w:pPr>
    </w:p>
    <w:p>
      <w:pPr>
        <w:jc w:val="both"/>
        <w:ind w:left="180" w:right="199" w:firstLine="8"/>
        <w:spacing w:after="0" w:line="243" w:lineRule="auto"/>
        <w:tabs>
          <w:tab w:leader="none" w:pos="661"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Executive’s voluntary resignation from employment with the Bank and the Company during the term of this Agreement due to the occurrence of any of the following events without Executive’s consent, such that the Executive’s resignation shall be treated as a resignation for “Good Reason,” provided that for purposes of this Section 7(a)(i), the Executive must provide not greater than ninety (90) days’ written notice to the Bank and the Company of the initial existence of such condition and the Bank and the Company shall have thirty (30) days to cure the condition giving rise to the Event of Termination (but the Bank and the Company may elect to waive such thirty (30) day period):</w:t>
      </w:r>
    </w:p>
    <w:p>
      <w:pPr>
        <w:spacing w:after="0" w:line="152" w:lineRule="exact"/>
        <w:rPr>
          <w:sz w:val="20"/>
          <w:szCs w:val="20"/>
          <w:color w:val="auto"/>
        </w:rPr>
      </w:pPr>
    </w:p>
    <w:p>
      <w:pPr>
        <w:ind w:left="180" w:right="199" w:firstLine="8"/>
        <w:spacing w:after="0" w:line="270" w:lineRule="auto"/>
        <w:tabs>
          <w:tab w:leader="none" w:pos="71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diminution in Executive’s duties or responsibilities, including the failure to re-appoint the Executive to the officer position set forth under Section 2(a);</w:t>
      </w:r>
    </w:p>
    <w:p>
      <w:pPr>
        <w:spacing w:after="0" w:line="130"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70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Executive’s Base Salary or a decrease in the minimum grant and bonus opportunity percentages as set forth in Sections 3(c) and 3(d) or the failure of the Bank or Company to maintain Executive’s participation under the Bank’s employee benefit, retirement, or material fringe benefit plans, policies, practices, or arrangements in which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245110</wp:posOffset>
            </wp:positionV>
            <wp:extent cx="547751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3" w:name="page164"/>
    <w:bookmarkEnd w:id="163"/>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ind w:left="180" w:right="199"/>
        <w:spacing w:after="0" w:line="270" w:lineRule="auto"/>
        <w:rPr>
          <w:sz w:val="20"/>
          <w:szCs w:val="20"/>
          <w:color w:val="auto"/>
        </w:rPr>
      </w:pPr>
      <w:r>
        <w:rPr>
          <w:rFonts w:ascii="Times New Roman" w:cs="Times New Roman" w:eastAsia="Times New Roman" w:hAnsi="Times New Roman"/>
          <w:sz w:val="16"/>
          <w:szCs w:val="16"/>
          <w:color w:val="auto"/>
        </w:rPr>
        <w:t>participates. Notwithstanding the foregoing, the Bank or Company may eliminate and/or modify existing employee benefit, retirement, or fringe benefit plans and coverage levels on a consistent and non-discriminatory basis applicable to all such executives;</w:t>
      </w:r>
    </w:p>
    <w:p>
      <w:pPr>
        <w:spacing w:after="0" w:line="130" w:lineRule="exact"/>
        <w:rPr>
          <w:sz w:val="20"/>
          <w:szCs w:val="20"/>
          <w:color w:val="auto"/>
        </w:rPr>
      </w:pPr>
    </w:p>
    <w:p>
      <w:pPr>
        <w:ind w:left="180" w:right="199" w:firstLine="8"/>
        <w:spacing w:after="0" w:line="270" w:lineRule="auto"/>
        <w:tabs>
          <w:tab w:leader="none" w:pos="89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liquidation or dissolution of the Bank or the Company other than a liquidation or dissolution that is caused by a reorganization that does not affect the status of the Executive;</w:t>
      </w:r>
    </w:p>
    <w:p>
      <w:pPr>
        <w:spacing w:after="0" w:line="130" w:lineRule="exact"/>
        <w:rPr>
          <w:rFonts w:ascii="Times New Roman" w:cs="Times New Roman" w:eastAsia="Times New Roman" w:hAnsi="Times New Roman"/>
          <w:sz w:val="16"/>
          <w:szCs w:val="16"/>
          <w:color w:val="auto"/>
        </w:rPr>
      </w:pPr>
    </w:p>
    <w:p>
      <w:pPr>
        <w:ind w:left="700" w:hanging="512"/>
        <w:spacing w:after="0"/>
        <w:tabs>
          <w:tab w:leader="none" w:pos="70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breach of this Agreement by the Bank and/or the Company; or</w:t>
      </w:r>
    </w:p>
    <w:p>
      <w:pPr>
        <w:spacing w:after="0" w:line="178"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828"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relocation of Executive’s principal place of employment to an office other than one located in Section 6(a) of this Agreement and which results in an increase in Executive’s commute by fifty (50) miles or more.</w:t>
      </w:r>
    </w:p>
    <w:p>
      <w:pPr>
        <w:spacing w:after="0" w:line="312" w:lineRule="exact"/>
        <w:rPr>
          <w:sz w:val="20"/>
          <w:szCs w:val="20"/>
          <w:color w:val="auto"/>
        </w:rPr>
      </w:pPr>
    </w:p>
    <w:p>
      <w:pPr>
        <w:jc w:val="both"/>
        <w:ind w:left="180" w:right="199" w:firstLine="8"/>
        <w:spacing w:after="0" w:line="241" w:lineRule="auto"/>
        <w:tabs>
          <w:tab w:leader="none" w:pos="724"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involuntary termination of the Executive’s employment by the Bank and/or the Company for any reason other than: for “Cause” as defined in Section 8(a); for “Disability” as set forth in Section 7(d) below; in connection with a Change in Control, as set forth in Section 7(c) below; or as a result of the death of the Executive; provided that such involuntary termination of employment constitutes a “Separation from Service” within the meaning of Section 409A of the U.S. Internal Revenue Code of 1986 (“Section 409A”) and the Treasury regulations promulgated thereunder.</w:t>
      </w:r>
    </w:p>
    <w:p>
      <w:pPr>
        <w:spacing w:after="0" w:line="1" w:lineRule="exact"/>
        <w:rPr>
          <w:sz w:val="20"/>
          <w:szCs w:val="20"/>
          <w:color w:val="auto"/>
        </w:rPr>
      </w:pPr>
    </w:p>
    <w:p>
      <w:pPr>
        <w:jc w:val="both"/>
        <w:ind w:left="180" w:right="199" w:firstLine="8"/>
        <w:spacing w:after="0" w:line="241" w:lineRule="auto"/>
        <w:tabs>
          <w:tab w:leader="none" w:pos="77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Severance Pay</w:t>
      </w:r>
      <w:r>
        <w:rPr>
          <w:rFonts w:ascii="Times New Roman" w:cs="Times New Roman" w:eastAsia="Times New Roman" w:hAnsi="Times New Roman"/>
          <w:sz w:val="16"/>
          <w:szCs w:val="16"/>
          <w:color w:val="auto"/>
        </w:rPr>
        <w:t>. Upon an Event of Termination, the Bank or Company shall pay to the Executive (or, in the event of the Executive’s death after the event described in Section 7(a) has occurred, the Bank or Company shall pay to the Executive’s surviving spouse, beneficiary or estate) an amount equal to the following:</w:t>
      </w:r>
    </w:p>
    <w:p>
      <w:pPr>
        <w:spacing w:after="0" w:line="153" w:lineRule="exact"/>
        <w:rPr>
          <w:sz w:val="20"/>
          <w:szCs w:val="20"/>
          <w:color w:val="auto"/>
        </w:rPr>
      </w:pPr>
    </w:p>
    <w:p>
      <w:pPr>
        <w:jc w:val="both"/>
        <w:ind w:left="180" w:right="199" w:firstLine="8"/>
        <w:spacing w:after="0"/>
        <w:tabs>
          <w:tab w:leader="none" w:pos="119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Executive’s earned but unpaid Base Salary, the Executive’s business expenses that have not been reimbursed by the Company or the Bank, the Executive’s Annual Cash Bonus for the fiscal year immediately preceding the fiscal year in which the Event of Termination occurs (the “Recent Bonus”) if such bonus has not been paid as of the date of the Event of Termination, and any accrued vacation pay if such amounts have not been paid as of the Event of Termination (the “Accrued Obligations”), and (2) an amount equal to the product of (x) the Recent Bonus and (y) 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Internal Revenue Code of 1986 (the “Code”) to defer any portion of the Base Salary or the Annual Cash Bonus described in this clause, then for purposes of this Section 7(b)(i), such election shall remain effective and such portion shall not be considered as part of the “Accrued Obligations” but shall instead be an “Other Benefit” (as defined below); and</w:t>
      </w:r>
    </w:p>
    <w:p>
      <w:pPr>
        <w:spacing w:after="0" w:line="337" w:lineRule="exact"/>
        <w:rPr>
          <w:sz w:val="20"/>
          <w:szCs w:val="20"/>
          <w:color w:val="auto"/>
        </w:rPr>
      </w:pPr>
    </w:p>
    <w:p>
      <w:pPr>
        <w:ind w:left="940" w:hanging="752"/>
        <w:spacing w:after="0"/>
        <w:tabs>
          <w:tab w:leader="none" w:pos="94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Base Salary and (y) the Recent Bonus;</w:t>
      </w:r>
    </w:p>
    <w:p>
      <w:pPr>
        <w:spacing w:after="0" w:line="178"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108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236855</wp:posOffset>
            </wp:positionV>
            <wp:extent cx="547751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4" w:name="page165"/>
    <w:bookmarkEnd w:id="164"/>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38" w:lineRule="auto"/>
        <w:rPr>
          <w:sz w:val="20"/>
          <w:szCs w:val="20"/>
          <w:color w:val="auto"/>
        </w:rPr>
      </w:pPr>
      <w:r>
        <w:rPr>
          <w:rFonts w:ascii="Times New Roman" w:cs="Times New Roman" w:eastAsia="Times New Roman" w:hAnsi="Times New Roman"/>
          <w:sz w:val="16"/>
          <w:szCs w:val="16"/>
          <w:color w:val="auto"/>
        </w:rPr>
        <w:t>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164" w:lineRule="exact"/>
        <w:rPr>
          <w:sz w:val="20"/>
          <w:szCs w:val="20"/>
          <w:color w:val="auto"/>
        </w:rPr>
      </w:pPr>
    </w:p>
    <w:p>
      <w:pPr>
        <w:jc w:val="both"/>
        <w:ind w:left="180" w:right="199" w:firstLine="8"/>
        <w:spacing w:after="0" w:line="242" w:lineRule="auto"/>
        <w:tabs>
          <w:tab w:leader="none" w:pos="10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153" w:lineRule="exact"/>
        <w:rPr>
          <w:sz w:val="20"/>
          <w:szCs w:val="20"/>
          <w:color w:val="auto"/>
        </w:rPr>
      </w:pPr>
    </w:p>
    <w:p>
      <w:pPr>
        <w:jc w:val="both"/>
        <w:ind w:left="180" w:right="199" w:firstLine="8"/>
        <w:spacing w:after="0" w:line="253" w:lineRule="auto"/>
        <w:tabs>
          <w:tab w:leader="none" w:pos="98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43" w:lineRule="auto"/>
        <w:tabs>
          <w:tab w:leader="none" w:pos="90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Section 7(b) of this Agreement, Executive shall not be entitled to any duplicative severance pay or duplicative benefits under any severance plan, program or policy of the Company and its Affiliates, unless otherwise specifically provided therein in a specific reference to this Agreement, and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368935</wp:posOffset>
            </wp:positionV>
            <wp:extent cx="547751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5" w:name="page166"/>
    <w:bookmarkEnd w:id="165"/>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53" w:lineRule="auto"/>
        <w:rPr>
          <w:sz w:val="20"/>
          <w:szCs w:val="20"/>
          <w:color w:val="auto"/>
        </w:rPr>
      </w:pPr>
      <w:r>
        <w:rPr>
          <w:rFonts w:ascii="Times New Roman" w:cs="Times New Roman" w:eastAsia="Times New Roman" w:hAnsi="Times New Roman"/>
          <w:sz w:val="16"/>
          <w:szCs w:val="16"/>
          <w:color w:val="auto"/>
        </w:rPr>
        <w:t>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44" w:lineRule="exact"/>
        <w:rPr>
          <w:sz w:val="20"/>
          <w:szCs w:val="20"/>
          <w:color w:val="auto"/>
        </w:rPr>
      </w:pPr>
    </w:p>
    <w:p>
      <w:pPr>
        <w:jc w:val="both"/>
        <w:ind w:left="180" w:right="199" w:firstLine="8"/>
        <w:spacing w:after="0" w:line="247" w:lineRule="auto"/>
        <w:tabs>
          <w:tab w:leader="none" w:pos="843"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If within the period ending two years after a Change in Control (as defined in Section 9 of this Agreement), (i) the Bank and/or the Company terminates the Executive’s employment without Cause, or (ii) the Executive voluntarily terminates his employment with Good Reason, the Company and/or the Bank shall pay the Executive within ten (10) business days following the Event of Termination the following:</w:t>
      </w:r>
    </w:p>
    <w:p>
      <w:pPr>
        <w:spacing w:after="0" w:line="150" w:lineRule="exact"/>
        <w:rPr>
          <w:sz w:val="20"/>
          <w:szCs w:val="20"/>
          <w:color w:val="auto"/>
        </w:rPr>
      </w:pPr>
    </w:p>
    <w:p>
      <w:pPr>
        <w:jc w:val="both"/>
        <w:ind w:left="180" w:right="199" w:firstLine="8"/>
        <w:spacing w:after="0" w:line="243" w:lineRule="auto"/>
        <w:tabs>
          <w:tab w:leader="none" w:pos="122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Accrued Obligations, and (2) an amount equal to the product of (x) the Recent Bonus and (y) 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Code to defer any portion of the Base Salary or the Annual Cash Bonus described in this clause, then for purposes of this Section 7(c)(i), such election shall remain effective and such portion shall not be considered as part of the “Accrued Obligations” but shall instead be an “Other Benefit” (as defined below); and</w:t>
      </w:r>
    </w:p>
    <w:p>
      <w:pPr>
        <w:spacing w:after="0" w:line="152" w:lineRule="exact"/>
        <w:rPr>
          <w:sz w:val="20"/>
          <w:szCs w:val="20"/>
          <w:color w:val="auto"/>
        </w:rPr>
      </w:pPr>
    </w:p>
    <w:p>
      <w:pPr>
        <w:jc w:val="both"/>
        <w:ind w:left="180" w:right="199" w:firstLine="8"/>
        <w:spacing w:after="0" w:line="247" w:lineRule="auto"/>
        <w:tabs>
          <w:tab w:leader="none" w:pos="112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Base Salary and (y) the greater of the Annual Cash Bonus (at target) in the year of a Change in Control or the average of the Annual Cash Bonus earned by Executive during the three years prior to a Change in Control (including the full value of the Annual Cash Bonus, whether payable in cash or another form).</w:t>
      </w:r>
    </w:p>
    <w:p>
      <w:pPr>
        <w:spacing w:after="0" w:line="149" w:lineRule="exact"/>
        <w:rPr>
          <w:rFonts w:ascii="Times New Roman" w:cs="Times New Roman" w:eastAsia="Times New Roman" w:hAnsi="Times New Roman"/>
          <w:sz w:val="16"/>
          <w:szCs w:val="16"/>
          <w:color w:val="auto"/>
        </w:rPr>
      </w:pPr>
    </w:p>
    <w:p>
      <w:pPr>
        <w:jc w:val="both"/>
        <w:ind w:left="180" w:right="199" w:firstLine="8"/>
        <w:spacing w:after="0" w:line="239" w:lineRule="auto"/>
        <w:tabs>
          <w:tab w:leader="none" w:pos="1131"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252730</wp:posOffset>
            </wp:positionV>
            <wp:extent cx="547751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6" w:name="page167"/>
    <w:bookmarkEnd w:id="166"/>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150" w:lineRule="exact"/>
        <w:rPr>
          <w:sz w:val="20"/>
          <w:szCs w:val="20"/>
          <w:color w:val="auto"/>
        </w:rPr>
      </w:pPr>
    </w:p>
    <w:p>
      <w:pPr>
        <w:jc w:val="both"/>
        <w:ind w:left="180" w:right="199" w:firstLine="8"/>
        <w:spacing w:after="0" w:line="242" w:lineRule="auto"/>
        <w:tabs>
          <w:tab w:leader="none" w:pos="104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153" w:lineRule="exact"/>
        <w:rPr>
          <w:sz w:val="20"/>
          <w:szCs w:val="20"/>
          <w:color w:val="auto"/>
        </w:rPr>
      </w:pPr>
    </w:p>
    <w:p>
      <w:pPr>
        <w:jc w:val="both"/>
        <w:ind w:left="180" w:right="199" w:firstLine="8"/>
        <w:spacing w:after="0" w:line="253" w:lineRule="auto"/>
        <w:tabs>
          <w:tab w:leader="none" w:pos="987"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42" w:lineRule="auto"/>
        <w:tabs>
          <w:tab w:leader="none" w:pos="101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this Section 7(c) of this Agreement, Executive shall not be entitled to any duplicative severance pay or duplicative benefits under any severance plan, program or policy of the Company and its Affiliates, unless otherwise specifically provided therein in a specific reference to this Agreement, To the extent not theretofore paid or provided, the Company shall timely pay or provide to Executive any other amounts or benefits required to be paid or provided or</w:t>
      </w:r>
    </w:p>
    <w:p>
      <w:pPr>
        <w:spacing w:after="0" w:line="2" w:lineRule="exact"/>
        <w:rPr>
          <w:sz w:val="20"/>
          <w:szCs w:val="20"/>
          <w:color w:val="auto"/>
        </w:rPr>
      </w:pPr>
    </w:p>
    <w:p>
      <w:pPr>
        <w:jc w:val="both"/>
        <w:ind w:left="180" w:right="199"/>
        <w:spacing w:after="0" w:line="236" w:lineRule="auto"/>
        <w:rPr>
          <w:sz w:val="20"/>
          <w:szCs w:val="20"/>
          <w:color w:val="auto"/>
        </w:rPr>
      </w:pPr>
      <w:r>
        <w:rPr>
          <w:rFonts w:ascii="Times New Roman" w:cs="Times New Roman" w:eastAsia="Times New Roman" w:hAnsi="Times New Roman"/>
          <w:sz w:val="16"/>
          <w:szCs w:val="16"/>
          <w:color w:val="auto"/>
        </w:rPr>
        <w:t>that Executive is eligible to receive under any plan, program, policy or practice or contract or agreement of the Company and 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2" w:lineRule="exact"/>
        <w:rPr>
          <w:sz w:val="20"/>
          <w:szCs w:val="20"/>
          <w:color w:val="auto"/>
        </w:rPr>
      </w:pPr>
    </w:p>
    <w:p>
      <w:pPr>
        <w:jc w:val="both"/>
        <w:ind w:left="180" w:right="199" w:firstLine="8"/>
        <w:spacing w:after="0" w:line="239" w:lineRule="auto"/>
        <w:tabs>
          <w:tab w:leader="none" w:pos="66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Executive’s equity awards subject to performance-based vesting (“Performance Awards”) will become fully vested as of the date of termination of employment: (i) based on actual performance measured as of the most recent completed fiscal quarter, and (ii) if actual performance cannot be determined, all Performance Awards will vest as to all shares subject to an outstanding Performance Award at the target performance level; and all of the Executive’s equity awards subject to time-based vesting will become fully vested as of the date of termination of employment.</w:t>
      </w:r>
    </w:p>
    <w:p>
      <w:pPr>
        <w:spacing w:after="0" w:line="154" w:lineRule="exact"/>
        <w:rPr>
          <w:sz w:val="20"/>
          <w:szCs w:val="20"/>
          <w:color w:val="auto"/>
        </w:rPr>
      </w:pPr>
    </w:p>
    <w:p>
      <w:pPr>
        <w:jc w:val="both"/>
        <w:ind w:left="180" w:right="199" w:firstLine="8"/>
        <w:spacing w:after="0" w:line="244" w:lineRule="auto"/>
        <w:tabs>
          <w:tab w:leader="none" w:pos="77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 or Disability.</w:t>
      </w:r>
      <w:r>
        <w:rPr>
          <w:rFonts w:ascii="Times New Roman" w:cs="Times New Roman" w:eastAsia="Times New Roman" w:hAnsi="Times New Roman"/>
          <w:sz w:val="16"/>
          <w:szCs w:val="16"/>
          <w:color w:val="auto"/>
        </w:rPr>
        <w:t xml:space="preserve"> In the case of a termination of Executive’s employment due to death or disability, within the meaning of Code Section 409A and the Treasury regulations thereunder (a “Disability”), the Executive shall be entitled to the following from the Bank: (a) benefits under any applicable short-term and/or long-term disability insurance plan, (b) the Accrued Obligations, (c) an amount equal to the product of the most recent annual cash bonus multiplied by a fraction, with the numerator equal to the number of days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250825</wp:posOffset>
            </wp:positionV>
            <wp:extent cx="547751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7" w:name="page168"/>
    <w:bookmarkEnd w:id="167"/>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3" w:lineRule="auto"/>
        <w:rPr>
          <w:sz w:val="20"/>
          <w:szCs w:val="20"/>
          <w:color w:val="auto"/>
        </w:rPr>
      </w:pPr>
      <w:r>
        <w:rPr>
          <w:rFonts w:ascii="Times New Roman" w:cs="Times New Roman" w:eastAsia="Times New Roman" w:hAnsi="Times New Roman"/>
          <w:sz w:val="16"/>
          <w:szCs w:val="16"/>
          <w:color w:val="auto"/>
        </w:rPr>
        <w:t>current fiscal year through the date of termination due to death or Disability and the denominator equal to 365, (c) any unvested restricted stock awards subject to time-based vesting shall become fully and immediately vested, and the payment or delivery of such awards or benefits shall be accelerated to the extent permitted by Section 409A or other applicable law and the terms of such plan or arrangement, and (d) any unvested performance stock awards shall become fully and immediately vested and pro-rated based on actual performance and if actual performance is not determinable, at target, and the payment or delivery of such awards or benefits shall be accelerated to the extent permitted by Section 409A or other applicable law and the terms of such plan or arrangement.</w:t>
      </w:r>
    </w:p>
    <w:p>
      <w:pPr>
        <w:spacing w:after="0" w:line="152" w:lineRule="exact"/>
        <w:rPr>
          <w:sz w:val="20"/>
          <w:szCs w:val="20"/>
          <w:color w:val="auto"/>
        </w:rPr>
      </w:pPr>
    </w:p>
    <w:p>
      <w:pPr>
        <w:jc w:val="both"/>
        <w:ind w:left="180" w:right="199" w:firstLine="8"/>
        <w:spacing w:after="0" w:line="242" w:lineRule="auto"/>
        <w:tabs>
          <w:tab w:leader="none" w:pos="651"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Timing of Severance Pay</w:t>
      </w:r>
      <w:r>
        <w:rPr>
          <w:rFonts w:ascii="Times New Roman" w:cs="Times New Roman" w:eastAsia="Times New Roman" w:hAnsi="Times New Roman"/>
          <w:sz w:val="16"/>
          <w:szCs w:val="16"/>
          <w:color w:val="auto"/>
        </w:rPr>
        <w:t>. Any cash payments pursuant to this Section 7 shall be made in a lump sum within ten (10) business days following the Event of Termination less applicable withholding taxes. Such payments shall not be reduced in the event the Executive obtains other employment following termination of employment with the Bank or following a Change in Control. Notwithstanding anything herein to the contrary, if Executive is a Specified Employee, as defined in Code Section 409A, and if any payment to be made under Section 7 shall be determined to be subject to Code Section 409A, then if required by Code Section 409A, such payment or a portion of such payment (to the minimum extent possible) shall be delayed and shall be paid on the first day of the seventh month following Executive’s Separation from Service pursuant to Treasury regulation Section 1.409A-1(b)(9)(iii).</w:t>
      </w:r>
    </w:p>
    <w:p>
      <w:pPr>
        <w:spacing w:after="0" w:line="152" w:lineRule="exact"/>
        <w:rPr>
          <w:rFonts w:ascii="Times New Roman" w:cs="Times New Roman" w:eastAsia="Times New Roman" w:hAnsi="Times New Roman"/>
          <w:sz w:val="16"/>
          <w:szCs w:val="16"/>
          <w:color w:val="auto"/>
        </w:rPr>
      </w:pPr>
    </w:p>
    <w:p>
      <w:pPr>
        <w:jc w:val="both"/>
        <w:ind w:left="180" w:right="199" w:firstLine="8"/>
        <w:spacing w:after="0" w:line="241" w:lineRule="auto"/>
        <w:tabs>
          <w:tab w:leader="none" w:pos="633"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Agreement</w:t>
      </w:r>
      <w:r>
        <w:rPr>
          <w:rFonts w:ascii="Times New Roman" w:cs="Times New Roman" w:eastAsia="Times New Roman" w:hAnsi="Times New Roman"/>
          <w:sz w:val="16"/>
          <w:szCs w:val="16"/>
          <w:color w:val="auto"/>
        </w:rPr>
        <w:t>. Notwithstanding anything in this Agreement to the contrary, the payments and benefits under this Section 7, but excluding Section 7(c) and excluding the Accrued Obligations, shall be paid to Executive within ten (10) business days following the Event of Termination, or if later, following the seventh (7th) day after Executive executes a release of his claims against the Company, Bank, its officers, directors, successors and assigns, in a form satisfactory to the Company and the Bank (the “Release”). The Release must be executed and become irrevocable by the 60th day following the Event of Termination, provided that if the 60-day period spans two (2) calendar years, then, to the extent necessary to comply with Section 409A of the Code, the payments under Section 7 shall be paid, or commence, in the second calendar year. The payments due under Section 7 (other than any Accrued Obligations and the payments under Section 7(c)) are subject to Executive’s execution of the Release.</w:t>
      </w:r>
    </w:p>
    <w:p>
      <w:pPr>
        <w:spacing w:after="0" w:line="153" w:lineRule="exact"/>
        <w:rPr>
          <w:sz w:val="20"/>
          <w:szCs w:val="20"/>
          <w:color w:val="auto"/>
        </w:rPr>
      </w:pPr>
    </w:p>
    <w:p>
      <w:pPr>
        <w:ind w:left="600" w:hanging="412"/>
        <w:spacing w:after="0"/>
        <w:tabs>
          <w:tab w:leader="none" w:pos="6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Termination without Additional Bank or Company Liability</w:t>
      </w:r>
    </w:p>
    <w:p>
      <w:pPr>
        <w:spacing w:after="0" w:line="181" w:lineRule="exact"/>
        <w:rPr>
          <w:sz w:val="20"/>
          <w:szCs w:val="20"/>
          <w:color w:val="auto"/>
        </w:rPr>
      </w:pPr>
    </w:p>
    <w:p>
      <w:pPr>
        <w:ind w:left="640" w:hanging="452"/>
        <w:spacing w:after="0"/>
        <w:tabs>
          <w:tab w:leader="none" w:pos="64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left="180" w:right="199" w:firstLine="8"/>
        <w:spacing w:after="0" w:line="242" w:lineRule="auto"/>
        <w:tabs>
          <w:tab w:leader="none" w:pos="779"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and/or the Company may terminate the Executive’s employment at any time, but any termination other than termination for “Cause,” as defined herein, shall not prejudice the Executive’s right to compensation or other benefits under the Agreement. The Executive shall have no right to receive compensation or other benefits for any period after termination for “Cause.” Termination for “Cause” shall mean termination because of: (i) the conviction of the Executive of a felony or of any lesser criminal offense involving moral turpitude (other than for traffic violations); (ii) the willful commission by the Executive of a criminal or other act that, in the judgment of the Board or the President and Chief Executive Officer will likely cause substantial economic damage to the Company, the Bank or any subsidiary or substantial injury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250825</wp:posOffset>
            </wp:positionV>
            <wp:extent cx="547751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8" w:name="page169"/>
    <w:bookmarkEnd w:id="168"/>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2" w:lineRule="auto"/>
        <w:rPr>
          <w:sz w:val="20"/>
          <w:szCs w:val="20"/>
          <w:color w:val="auto"/>
        </w:rPr>
      </w:pPr>
      <w:r>
        <w:rPr>
          <w:rFonts w:ascii="Times New Roman" w:cs="Times New Roman" w:eastAsia="Times New Roman" w:hAnsi="Times New Roman"/>
          <w:sz w:val="16"/>
          <w:szCs w:val="16"/>
          <w:color w:val="auto"/>
        </w:rPr>
        <w:t>the business reputation of the Company, the Bank or any subsidiary; (iii) the commission by the Executive of an act of fraud in the performance of his duties on behalf of the Company, the Bank or any subsidiary; (iv) the continuing willful failure of the Executive to perform his duties to the Company, the Bank or any subsidiary (other than any such failure resulting from the Executive’s incapacity due to physical or mental illness or Executive’s declining to perform any assigned duties to the extent such assignment or duties would constitute a violation of law) after written notice thereof and a reasonable opportunity to cure if curable; (v) a material breach by the Executive of the Bank’s or Company’s Code of Ethics; or (vi) an order of a federal or state regulatory agency or a court of competent jurisdiction requiring the termination of the Executive’s employment with the Bank or the Company.</w:t>
      </w:r>
    </w:p>
    <w:p>
      <w:pPr>
        <w:spacing w:after="0" w:line="153" w:lineRule="exact"/>
        <w:rPr>
          <w:sz w:val="20"/>
          <w:szCs w:val="20"/>
          <w:color w:val="auto"/>
        </w:rPr>
      </w:pPr>
    </w:p>
    <w:p>
      <w:pPr>
        <w:jc w:val="both"/>
        <w:ind w:left="180" w:right="199" w:firstLine="8"/>
        <w:spacing w:after="0" w:line="239" w:lineRule="auto"/>
        <w:tabs>
          <w:tab w:leader="none" w:pos="717"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not have the right to receive compensation or other benefits for any period after the date of Termination for Cause. Notwithstanding the foregoing, Termination for Cause shall not be deemed to exist unless there shall have been delivered to the Executive a copy of a resolution duly adopted by the affirmative vote of not less than a majority of the entire membership of the Board at a meeting of the Board called and held for the purpose (after reasonable notice to the Executive and an opportunity for the Executive to be heard before the Board), finding that in the good faith opinion of the Board the Executive was guilty of conduct described above and specifying the particulars thereof. Prior to holding a meeting at which the Board is to make a final determination whether Termination for Cause exists, if the Board determines in good faith at a meeting of the Board, by not less than a majority of its entire membership, that there is probable cause for it to find that the Executive was guilty of conduct constituting Termination for Cause as described above, the Board may suspend the Executive from his/her duties hereunder for a reasonable period of time not to exceed fourteen (14) days pending a further meeting at which the Executive shall be given the opportunity to be heard before the Board. For purposes of this subparagraph, no act or failure to act, on the Executive’s part shall be considered “willful” unless done, or omitted to be done, by his/her not in good faith without reasonable belief that his/her action or omission was in the best interest of the Company and the Bank.</w:t>
      </w:r>
    </w:p>
    <w:p>
      <w:pPr>
        <w:spacing w:after="0" w:line="158" w:lineRule="exact"/>
        <w:rPr>
          <w:sz w:val="20"/>
          <w:szCs w:val="20"/>
          <w:color w:val="auto"/>
        </w:rPr>
      </w:pPr>
    </w:p>
    <w:p>
      <w:pPr>
        <w:jc w:val="both"/>
        <w:ind w:left="180" w:right="199" w:firstLine="8"/>
        <w:spacing w:after="0" w:line="243" w:lineRule="auto"/>
        <w:tabs>
          <w:tab w:leader="none" w:pos="65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Resignation Without Good Reason</w:t>
      </w:r>
      <w:r>
        <w:rPr>
          <w:rFonts w:ascii="Times New Roman" w:cs="Times New Roman" w:eastAsia="Times New Roman" w:hAnsi="Times New Roman"/>
          <w:sz w:val="16"/>
          <w:szCs w:val="16"/>
          <w:color w:val="auto"/>
        </w:rPr>
        <w:t>. In the event that the Executive’s employment with the Bank and Company shall terminate during the Employment Period on account of the Executive’s voluntary resignation from employment with the Bank for any reason other than “Good Reason” as defined in Section 7(a)(i), Disability or death, then the Bank and Company shall have no further obligations under this Agreement, other than the payment to the Executive of the Accrued Obligations, and the provision of such benefits, if any, to which he is entitled as a former employee under the Bank’s or Company’s employee benefit plans and programs and compensation plans and programs, including without limitation, any incentive compensation plan.</w:t>
      </w:r>
    </w:p>
    <w:p>
      <w:pPr>
        <w:spacing w:after="0" w:line="150" w:lineRule="exact"/>
        <w:rPr>
          <w:sz w:val="20"/>
          <w:szCs w:val="20"/>
          <w:color w:val="auto"/>
        </w:rPr>
      </w:pPr>
    </w:p>
    <w:p>
      <w:pPr>
        <w:ind w:left="600" w:hanging="412"/>
        <w:spacing w:after="0"/>
        <w:tabs>
          <w:tab w:leader="none" w:pos="6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Change in Control</w:t>
      </w: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For purposes of this Agreement, the term “Change in Control” shall mean:</w:t>
      </w:r>
    </w:p>
    <w:p>
      <w:pPr>
        <w:spacing w:after="0" w:line="169" w:lineRule="exact"/>
        <w:rPr>
          <w:sz w:val="20"/>
          <w:szCs w:val="20"/>
          <w:color w:val="auto"/>
        </w:rPr>
      </w:pPr>
    </w:p>
    <w:p>
      <w:pPr>
        <w:ind w:left="680" w:right="199" w:hanging="8"/>
        <w:spacing w:after="0" w:line="283" w:lineRule="auto"/>
        <w:tabs>
          <w:tab w:leader="none" w:pos="132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(other than an event satisfying the conditions of Section 9(iii)(A)(I) and (II)) upon which any “person” (as such term is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230505</wp:posOffset>
            </wp:positionV>
            <wp:extent cx="5477510"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69" w:name="page170"/>
    <w:bookmarkEnd w:id="169"/>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0" w:lineRule="exact"/>
        <w:rPr>
          <w:sz w:val="20"/>
          <w:szCs w:val="20"/>
          <w:color w:val="auto"/>
        </w:rPr>
      </w:pPr>
    </w:p>
    <w:p>
      <w:pPr>
        <w:spacing w:after="0" w:line="223" w:lineRule="exact"/>
        <w:rPr>
          <w:sz w:val="20"/>
          <w:szCs w:val="20"/>
          <w:color w:val="auto"/>
        </w:rPr>
      </w:pPr>
    </w:p>
    <w:p>
      <w:pPr>
        <w:jc w:val="both"/>
        <w:ind w:left="680" w:right="199"/>
        <w:spacing w:after="0" w:line="255" w:lineRule="auto"/>
        <w:rPr>
          <w:sz w:val="20"/>
          <w:szCs w:val="20"/>
          <w:color w:val="auto"/>
        </w:rPr>
      </w:pPr>
      <w:r>
        <w:rPr>
          <w:rFonts w:ascii="Times New Roman" w:cs="Times New Roman" w:eastAsia="Times New Roman" w:hAnsi="Times New Roman"/>
          <w:sz w:val="16"/>
          <w:szCs w:val="16"/>
          <w:color w:val="auto"/>
        </w:rPr>
        <w:t>Sections 13(d) and 14(d) of the Securities Exchange Act of 1934, as amended, or any successor thereto (the “Exchange Act”)) becomes the “beneficial owner” (as defined in Rule 13d-3 promulgated under the Exchange Act), directly or indirectly, of securities issued by the Company representing 25% or more of the combined voting power of all of the Company's then outstanding securities, other than an acquisition by (A) a trustee or other fiduciary holding securities under an employee benefit plan maintained for the benefit of employees of the Company; (B) a corporation owned, directly or indirectly, by the stockholders of the Company in substantially the same proportions as their ownership of stock of the Company; or (C) any group constituting a person in which employees of the Company are substantial members;</w:t>
      </w:r>
    </w:p>
    <w:p>
      <w:pPr>
        <w:spacing w:after="0" w:line="133" w:lineRule="exact"/>
        <w:rPr>
          <w:sz w:val="20"/>
          <w:szCs w:val="20"/>
          <w:color w:val="auto"/>
        </w:rPr>
      </w:pPr>
    </w:p>
    <w:p>
      <w:pPr>
        <w:jc w:val="both"/>
        <w:ind w:left="680" w:right="199" w:hanging="8"/>
        <w:spacing w:after="0" w:line="255" w:lineRule="auto"/>
        <w:tabs>
          <w:tab w:leader="none" w:pos="136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upon which the individuals who, on the date of this Agreement, are members of the Board, together with individuals whose election by the Board or nomination for election by the Company’s stockholders was approved by the affirmative vote of at least two-thirds of the members of the Board then in office who were either members of the Board on the date of this Agreement or whose nomination or election was previously so approved, cease for any reason to constitute a majority of the members of the Board, but excluding, for this purpose, any such individual whose initial assumption of office is in connection with an actual or threatened election contest relating to the election of directors of the Company;</w:t>
      </w:r>
    </w:p>
    <w:p>
      <w:pPr>
        <w:spacing w:after="0" w:line="133" w:lineRule="exact"/>
        <w:rPr>
          <w:rFonts w:ascii="Times New Roman" w:cs="Times New Roman" w:eastAsia="Times New Roman" w:hAnsi="Times New Roman"/>
          <w:sz w:val="16"/>
          <w:szCs w:val="16"/>
          <w:color w:val="auto"/>
        </w:rPr>
      </w:pPr>
    </w:p>
    <w:p>
      <w:pPr>
        <w:ind w:left="680" w:right="199" w:hanging="8"/>
        <w:spacing w:after="0" w:line="283" w:lineRule="auto"/>
        <w:tabs>
          <w:tab w:leader="none" w:pos="140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consummation of a merger or consolidation of the Company with any other corporation, other than a merger or consolidation following which both of the following conditions are satisfied:</w:t>
      </w:r>
    </w:p>
    <w:p>
      <w:pPr>
        <w:spacing w:after="0" w:line="110" w:lineRule="exact"/>
        <w:rPr>
          <w:rFonts w:ascii="Times New Roman" w:cs="Times New Roman" w:eastAsia="Times New Roman" w:hAnsi="Times New Roman"/>
          <w:sz w:val="16"/>
          <w:szCs w:val="16"/>
          <w:color w:val="auto"/>
        </w:rPr>
      </w:pPr>
    </w:p>
    <w:p>
      <w:pPr>
        <w:jc w:val="both"/>
        <w:ind w:left="1160" w:right="199" w:hanging="5"/>
        <w:spacing w:after="0" w:line="256" w:lineRule="auto"/>
        <w:tabs>
          <w:tab w:leader="none" w:pos="1644"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(x) the members of the Board immediately prior to such merger or consolidation constitute at least a majority of the members of the governing body of the institution resulting from such merger or consolidation; or (y) the stockholders of the Company own securities of the institution resulting from such merger or consolidation representing 80% or more of the combined voting power of all such securities of the resulting institution then outstanding in substantially the same proportions as their ownership of voting securities of the Company immediately before such merger or consolidation; and</w:t>
      </w:r>
    </w:p>
    <w:p>
      <w:pPr>
        <w:spacing w:after="0" w:line="133" w:lineRule="exact"/>
        <w:rPr>
          <w:sz w:val="20"/>
          <w:szCs w:val="20"/>
          <w:color w:val="auto"/>
        </w:rPr>
      </w:pPr>
    </w:p>
    <w:p>
      <w:pPr>
        <w:ind w:left="1160" w:right="199" w:hanging="5"/>
        <w:spacing w:after="0" w:line="283" w:lineRule="auto"/>
        <w:tabs>
          <w:tab w:leader="none" w:pos="1644" w:val="left"/>
        </w:tabs>
        <w:numPr>
          <w:ilvl w:val="2"/>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entity which results from such merger or consolidation is not the Company, such entity expressly agrees in writing to assume and perform the Company's obligations under the Plan; or</w:t>
      </w:r>
    </w:p>
    <w:p>
      <w:pPr>
        <w:spacing w:after="0" w:line="110"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stockholders of the Company of a complete liquidation or dissolution of the Company; or</w:t>
      </w:r>
    </w:p>
    <w:p>
      <w:pPr>
        <w:spacing w:after="0" w:line="168" w:lineRule="exact"/>
        <w:rPr>
          <w:rFonts w:ascii="Times New Roman" w:cs="Times New Roman" w:eastAsia="Times New Roman" w:hAnsi="Times New Roman"/>
          <w:sz w:val="16"/>
          <w:szCs w:val="16"/>
          <w:color w:val="auto"/>
        </w:rPr>
      </w:pPr>
    </w:p>
    <w:p>
      <w:pPr>
        <w:ind w:left="680" w:right="199" w:hanging="8"/>
        <w:spacing w:after="0" w:line="283" w:lineRule="auto"/>
        <w:tabs>
          <w:tab w:leader="none" w:pos="1164" w:val="left"/>
        </w:tabs>
        <w:numPr>
          <w:ilvl w:val="1"/>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would be described in Section 9(i), (ii) or (iii) if “Bank (and any successor thereto)” were substituted for the “Company” therein.</w:t>
      </w:r>
    </w:p>
    <w:p>
      <w:pPr>
        <w:spacing w:after="0" w:line="128" w:lineRule="exact"/>
        <w:rPr>
          <w:rFonts w:ascii="Times New Roman" w:cs="Times New Roman" w:eastAsia="Times New Roman" w:hAnsi="Times New Roman"/>
          <w:sz w:val="16"/>
          <w:szCs w:val="16"/>
          <w:color w:val="auto"/>
        </w:rPr>
      </w:pPr>
    </w:p>
    <w:p>
      <w:pPr>
        <w:jc w:val="both"/>
        <w:ind w:left="180" w:right="199" w:firstLine="8"/>
        <w:spacing w:after="0" w:line="254" w:lineRule="auto"/>
        <w:tabs>
          <w:tab w:leader="none" w:pos="70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Confidentiality</w:t>
      </w:r>
      <w:r>
        <w:rPr>
          <w:rFonts w:ascii="Times New Roman" w:cs="Times New Roman" w:eastAsia="Times New Roman" w:hAnsi="Times New Roman"/>
          <w:sz w:val="16"/>
          <w:szCs w:val="16"/>
          <w:color w:val="auto"/>
        </w:rPr>
        <w:t>. Unless the Executive obtains prior written consent from the Bank or the Company, the Executive shall keep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confidential and shall refrain from using for the benefit of himself, or any person or entity other than the Bank, the Company or any entity which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245110</wp:posOffset>
            </wp:positionV>
            <wp:extent cx="5477510"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0" w:name="page171"/>
    <w:bookmarkEnd w:id="170"/>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rPr>
          <w:sz w:val="20"/>
          <w:szCs w:val="20"/>
          <w:color w:val="auto"/>
        </w:rPr>
      </w:pPr>
      <w:r>
        <w:rPr>
          <w:rFonts w:ascii="Times New Roman" w:cs="Times New Roman" w:eastAsia="Times New Roman" w:hAnsi="Times New Roman"/>
          <w:sz w:val="16"/>
          <w:szCs w:val="16"/>
          <w:color w:val="auto"/>
        </w:rPr>
        <w:t>subsidiary or affiliate of the Bank or the Company or of which the Bank or the Company is a subsidiary or affiliate, any material document or information obtained from the Bank, the Company or from any of their respective parents, subsidiaries or affiliates, in the course of his employment with any of them concerning their properties, operations or business (unless such document or information is readily ascertainable from public or published information or trade sources or has otherwise been made available to the public through no fault of his own) until the same ceases to be material (or becomes so ascertainable or available); provided, however, that this restriction shall not apply to the use or disclosure of confidential information (i) to any governmental entity to the extent required by law, (ii) which is or becomes publicly known and available through no wrongful act of Executive or (iii) in connection with the performance of Executive’s duties under this Agreement. No provision of this Agreement, including but not limited to this Section 10, shall be interpreted, construed, asserted or enforced by the Company or Bank to (i)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or (ii) require notification or prior approval by the Company or Bank of any such report; provided that, Executive is not authorized to disclose communications with counsel that were made for the purpose of receiving legal advice or that contain legal advice or that are protected by the attorney work product or similar privilege. Further, nothing contained in this Agreement, or any release and waiver delivered in accordance with this Agreement, shall be interpreted, construed, asserted or enforced by the Company or Bank to prohibit or disqualify Executive from being awarded, receiving and/or enjoying the benefit of, any award, reward, emolument or payment, or other relief of any kind whatsoever, from any agency, which is provided based upon Executive’s provision of information to any such agency as a whistleblower under applicable law or regulation. The Company and Bank hereby waive any right to assert or enforce the provisions of this Agreement in a manner which would impede any whistleblower activity in accordance with applicable law or regulation. Furthermore, Executive shall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Nothing in this Section 10 shall prevent the Executive, with or without the Bank’s or the Company’s consent, from participating in or disclosing documents or information in connection with any judicial or administrative investigation, inquiry or proceeding to the extent that such participation or disclosure is required under applicable law.</w:t>
      </w:r>
    </w:p>
    <w:p>
      <w:pPr>
        <w:spacing w:after="0" w:line="293" w:lineRule="exact"/>
        <w:rPr>
          <w:sz w:val="20"/>
          <w:szCs w:val="20"/>
          <w:color w:val="auto"/>
        </w:rPr>
      </w:pPr>
    </w:p>
    <w:p>
      <w:pPr>
        <w:ind w:left="660" w:hanging="472"/>
        <w:spacing w:after="0"/>
        <w:tabs>
          <w:tab w:leader="none" w:pos="66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Non-Solicitation; Non-Competition; Post-Termination Cooperation; Non-Disparagement</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left="180" w:right="199" w:firstLine="8"/>
        <w:spacing w:after="0" w:line="270" w:lineRule="auto"/>
        <w:tabs>
          <w:tab w:leader="none" w:pos="693"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for a period of one year following his termination of employment with the Bank and Company, he shall not, without the written consent of the Bank and Company, either directly or indirectly:</w:t>
      </w:r>
    </w:p>
    <w:p>
      <w:pPr>
        <w:spacing w:after="0" w:line="130" w:lineRule="exact"/>
        <w:rPr>
          <w:sz w:val="20"/>
          <w:szCs w:val="20"/>
          <w:color w:val="auto"/>
        </w:rPr>
      </w:pPr>
    </w:p>
    <w:p>
      <w:pPr>
        <w:ind w:left="180" w:right="199" w:firstLine="8"/>
        <w:spacing w:after="0" w:line="270" w:lineRule="auto"/>
        <w:tabs>
          <w:tab w:leader="none" w:pos="642"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offer employment to, or take any other action intended (or that a reasonable person acting in like circumstances would expect) to have the effect of causing any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236855</wp:posOffset>
            </wp:positionV>
            <wp:extent cx="547751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1" w:name="page172"/>
    <w:bookmarkEnd w:id="171"/>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jc w:val="both"/>
        <w:ind w:left="180" w:right="199"/>
        <w:spacing w:after="0" w:line="243" w:lineRule="auto"/>
        <w:rPr>
          <w:sz w:val="20"/>
          <w:szCs w:val="20"/>
          <w:color w:val="auto"/>
        </w:rPr>
      </w:pPr>
      <w:r>
        <w:rPr>
          <w:rFonts w:ascii="Times New Roman" w:cs="Times New Roman" w:eastAsia="Times New Roman" w:hAnsi="Times New Roman"/>
          <w:sz w:val="16"/>
          <w:szCs w:val="16"/>
          <w:color w:val="auto"/>
        </w:rPr>
        <w:t>of the Bank, the Company or any of their respective subsidiaries or affiliates to terminate his or her employment and accept employment or become affiliated with, or provide services for compensation in any capacity whatsoever to, any business whatsoever that competes with the business of the Bank or the Company or any of their direct or indirect subsidiaries or affiliates or has headquarters or offices within the counties in which the Bank or the Company has business operations or has filed an application for regulatory approval to establish an office; provided, however, that this subsection (i) shall not prohibit general solicitations in any medium not specifically directed at officers or employees of the Bank, the Company or their respective subsidiaries or affiliates; or</w:t>
      </w:r>
    </w:p>
    <w:p>
      <w:pPr>
        <w:spacing w:after="0" w:line="152" w:lineRule="exact"/>
        <w:rPr>
          <w:sz w:val="20"/>
          <w:szCs w:val="20"/>
          <w:color w:val="auto"/>
        </w:rPr>
      </w:pPr>
    </w:p>
    <w:p>
      <w:pPr>
        <w:jc w:val="both"/>
        <w:ind w:left="180" w:right="199" w:firstLine="8"/>
        <w:spacing w:after="0" w:line="253" w:lineRule="auto"/>
        <w:tabs>
          <w:tab w:leader="none" w:pos="753"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provide any information, advice or recommendation or take any other action intended (or that a reasonable person acting in like circumstances would expect) to have the effect of causing any customer of the Bank or the Company located in the New York or New Jersey, to terminate an existing business or commercial relationship with the Bank or the Company.</w:t>
      </w:r>
    </w:p>
    <w:p>
      <w:pPr>
        <w:spacing w:after="0" w:line="144" w:lineRule="exact"/>
        <w:rPr>
          <w:sz w:val="20"/>
          <w:szCs w:val="20"/>
          <w:color w:val="auto"/>
        </w:rPr>
      </w:pPr>
    </w:p>
    <w:p>
      <w:pPr>
        <w:jc w:val="both"/>
        <w:ind w:left="180" w:right="199" w:firstLine="8"/>
        <w:spacing w:after="0" w:line="243" w:lineRule="auto"/>
        <w:tabs>
          <w:tab w:leader="none" w:pos="70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following any termination of employment, he shall not, without the written consent of the Bank and Company, either directly or indirectly: become an officer, employee, consultant, director, independent contractor, agent, sole proprietor, joint venturer, greater than 5% equity-owner or stockholder, partner or trustee of any savings bank, savings and loan association, savings and loan holding company, credit union, bank or bank holding company, insurance company or agency, any mortgage or loan broker or any other entity that has its headquarters in the New York or New Jersey. This restriction shall apply for one year following termination.</w:t>
      </w:r>
    </w:p>
    <w:p>
      <w:pPr>
        <w:spacing w:after="0" w:line="152" w:lineRule="exact"/>
        <w:rPr>
          <w:rFonts w:ascii="Times New Roman" w:cs="Times New Roman" w:eastAsia="Times New Roman" w:hAnsi="Times New Roman"/>
          <w:sz w:val="16"/>
          <w:szCs w:val="16"/>
          <w:color w:val="auto"/>
        </w:rPr>
      </w:pPr>
    </w:p>
    <w:p>
      <w:pPr>
        <w:jc w:val="both"/>
        <w:ind w:left="180" w:right="199" w:firstLine="8"/>
        <w:spacing w:after="0"/>
        <w:tabs>
          <w:tab w:leader="none" w:pos="73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upon reasonable notice, furnish such information and assistance to the Bank and/or the Company, as may reasonably be required by the Bank and/or the Company, in connection with any litigation in which it or any of its subsidiaries or affiliates is, or may become, a party; provided, however, that Executive shall not be required to provide information or assistance with respect to any litigation between the Executive and the Bank, the Company or any of its subsidiaries or affiliates. Any assistance under this Section 11(c) shall not unreasonably interfere with Executive’s personal or business affairs. The Company or the Bank shall reimburse Executive for all reasonable out-of-pocket expenses incurred by Executive in fulfilling the obligations of this Section 11(c). To the extent Executive’s cooperation is requested at any point following the Employment Period, the Company will pay Executive a reasonable hourly or per diem fee (calculated based on Executive’s most recent Base Salary under this Agreement) for Executive’s services that exceed either two (2) hours in a calendar month or five (5) hours in a calendar year.</w:t>
      </w:r>
    </w:p>
    <w:p>
      <w:pPr>
        <w:spacing w:after="0" w:line="158" w:lineRule="exact"/>
        <w:rPr>
          <w:rFonts w:ascii="Times New Roman" w:cs="Times New Roman" w:eastAsia="Times New Roman" w:hAnsi="Times New Roman"/>
          <w:sz w:val="16"/>
          <w:szCs w:val="16"/>
          <w:color w:val="auto"/>
        </w:rPr>
      </w:pPr>
    </w:p>
    <w:p>
      <w:pPr>
        <w:jc w:val="both"/>
        <w:ind w:left="180" w:right="199" w:firstLine="8"/>
        <w:spacing w:after="0" w:line="244" w:lineRule="auto"/>
        <w:tabs>
          <w:tab w:leader="none" w:pos="715"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agrees not to disparage or defame in any manner, whether directly or indirectly, the Company, the Bank, or their affiliates, officers, directors, owners, representatives, employees, products or services, and the Company and the Bank agree not to disparage or defame in any manner, whether directly or indirectly, the Executive, in each case at any time during the Employment Period or at any time following termination of employment, except when compelled to do so in connection with a government investigation or judicial proceeding, or as otherwise may be required or protected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250825</wp:posOffset>
            </wp:positionV>
            <wp:extent cx="547751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2" w:name="page173"/>
    <w:bookmarkEnd w:id="172"/>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0" w:lineRule="exact"/>
        <w:rPr>
          <w:sz w:val="20"/>
          <w:szCs w:val="20"/>
          <w:color w:val="auto"/>
        </w:rPr>
      </w:pPr>
    </w:p>
    <w:p>
      <w:pPr>
        <w:spacing w:after="0" w:line="283" w:lineRule="exact"/>
        <w:rPr>
          <w:sz w:val="20"/>
          <w:szCs w:val="20"/>
          <w:color w:val="auto"/>
        </w:rPr>
      </w:pPr>
    </w:p>
    <w:p>
      <w:pPr>
        <w:jc w:val="both"/>
        <w:ind w:left="180" w:right="199" w:firstLine="8"/>
        <w:spacing w:after="0"/>
        <w:tabs>
          <w:tab w:leader="none" w:pos="731"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and benefits to the Executive under this Agreement shall be subject to the Executive’s compliance with this Section. The parties hereto, recognizing that irreparable injury will result to the Bank, its business and property in the event of the Executive’s breach of this Section 11, agree that, in the event of any such breach by the Executive, the Bank and/or the Company will be entitled, in addition to any other remedies and damages available, to an injunction to restrain the violation hereof by the Executive and all persons acting for or with the Executive. The Executive represents and admits that the Executive’s experience and capabilities are such that the Executive can obtain employment in a business engaged in other lines and/or of a different nature than the Bank, and that the enforcement of a remedy by way of injunction will not prevent the Executive from earning a livelihood. Nothing herein will be construed as prohibiting the Bank and the Company from pursuing any other remedies available to them for such breach or threatened breach, including the recovery of damages from the Executive.</w:t>
      </w:r>
    </w:p>
    <w:p>
      <w:pPr>
        <w:spacing w:after="0" w:line="158"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632"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if the Executive’s employment is terminated following a Change in Control, the period of time that the non-solicitation and non-competition restrictions set forth in this Section 11(a) and Section 11(b) shall apply following such termination of employment shall be governed by Section 20 of this Agreement.</w:t>
      </w:r>
    </w:p>
    <w:p>
      <w:pPr>
        <w:spacing w:after="0" w:line="142" w:lineRule="exact"/>
        <w:rPr>
          <w:sz w:val="20"/>
          <w:szCs w:val="20"/>
          <w:color w:val="auto"/>
        </w:rPr>
      </w:pPr>
    </w:p>
    <w:p>
      <w:pPr>
        <w:ind w:left="680" w:hanging="492"/>
        <w:spacing w:after="0"/>
        <w:tabs>
          <w:tab w:leader="none" w:pos="68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Regulatory Requirements</w:t>
      </w:r>
    </w:p>
    <w:p>
      <w:pPr>
        <w:spacing w:after="0" w:line="181" w:lineRule="exact"/>
        <w:rPr>
          <w:sz w:val="20"/>
          <w:szCs w:val="20"/>
          <w:color w:val="auto"/>
        </w:rPr>
      </w:pPr>
    </w:p>
    <w:p>
      <w:pPr>
        <w:jc w:val="both"/>
        <w:ind w:left="180" w:right="199" w:firstLine="8"/>
        <w:spacing w:after="0" w:line="253" w:lineRule="auto"/>
        <w:tabs>
          <w:tab w:leader="none" w:pos="758"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contained to the contrary, any payments to Executive by the Bank and/or the Company, whether pursuant to this Agreement or otherwise, are subject to and conditioned upon their compliance with Section 18(k) of the Federal Deposit Insurance Act, 12 U.S.C. Section 1828(k), and the regulations promulgated thereunder in 12 C.F.R. Part 359.</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42" w:lineRule="auto"/>
        <w:tabs>
          <w:tab w:leader="none" w:pos="85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in this Agreement, (i) the Bank or the Company may terminate or suspend this Agreement and the employment of the Executive hereunder, as if such termination were a Termination for Cause under Section 8(a) hereof, to the extent required by federal or state laws or regulations related to banking, to deposit insurance or bank holding companies or by regulations or orders issued by the Comptroller of the Currency, the Federal Deposit Insurance Corporation or the Board of Governors of the Federal Reserve System and (ii) no payment shall be required to be made to Executive under this Agreement to the extent such payment is prohibited by applicable law regulation or order issued by a banking agency or a court of competent jurisdiction; provided, that it shall be the Bank’s or the Company’s burden to prove that any such action was so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365760</wp:posOffset>
            </wp:positionV>
            <wp:extent cx="547751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3" w:name="page174"/>
    <w:bookmarkEnd w:id="173"/>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0" w:lineRule="exact"/>
        <w:rPr>
          <w:sz w:val="20"/>
          <w:szCs w:val="20"/>
          <w:color w:val="auto"/>
        </w:rPr>
      </w:pPr>
    </w:p>
    <w:p>
      <w:pPr>
        <w:ind w:left="680" w:hanging="492"/>
        <w:spacing w:after="0"/>
        <w:tabs>
          <w:tab w:leader="none" w:pos="6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Arbitration; Legal Fees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left="180" w:right="199" w:firstLine="8"/>
        <w:spacing w:after="0" w:line="238" w:lineRule="auto"/>
        <w:tabs>
          <w:tab w:leader="none" w:pos="95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Arbitration</w:t>
      </w:r>
      <w:r>
        <w:rPr>
          <w:rFonts w:ascii="Times New Roman" w:cs="Times New Roman" w:eastAsia="Times New Roman" w:hAnsi="Times New Roman"/>
          <w:sz w:val="16"/>
          <w:szCs w:val="16"/>
          <w:color w:val="auto"/>
        </w:rPr>
        <w:t>. In the event that any dispute should arise between the parties as to the meaning, effect, performance, enforcement, or other issue in connection with this Agreement, which dispute cannot be resolved by the parties, the dispute shall be decided by final and binding arbitration of a panel of three arbitrators. Proceedings in arbitration and its conduct shall be governed by the rules of the American Arbitration Association (“AAA”) applicable to commercial arbitrations (the “Rules”) except as modified by this Section. The Executive shall appoint one arbitrator, the Bank shall appoint one arbitrator, and the third shall be appointed by the two arbitrators appointed by the parties. The third arbitrator shall be impartial and shall serve as chairman of the panel. The parties shall appoint their arbitrators within thirty (30) days after the demand for arbitration is served, failing which the AAA promptly shall appoint a defaulting party’s arbitrator, and the two arbitrators shall select the third arbitrator within fifteen (15) days after their appointment, or if they cannot agree or fail to so appoint, then the AAA promptly shall appoint the third arbitrator. The arbitrators shall render their decision in writing within thirty (30) days after the close of evidence or other termination of the proceedings by the panel, and the decision of a majority of the arbitrators shall be final and binding upon the parties, nonappealable, except in accordance with the Rules and enforceable in accordance with the applicable state law. Any hearings in the arbitration shall be held in Suffolk County, New York unless the parties shall agree upon a different venue, and shall be private and not open to the public. Each party shall bear the fees and expenses of its arbitrator, counsel, and witnesses, and the fees and expenses of the third arbitrator shall be shared equally by the parties. The other costs of the arbitration, including the fees of AAA, shall be borne as directed in the decision of the panel.</w:t>
      </w:r>
    </w:p>
    <w:p>
      <w:pPr>
        <w:spacing w:after="0" w:line="164" w:lineRule="exact"/>
        <w:rPr>
          <w:rFonts w:ascii="Times New Roman" w:cs="Times New Roman" w:eastAsia="Times New Roman" w:hAnsi="Times New Roman"/>
          <w:sz w:val="16"/>
          <w:szCs w:val="16"/>
          <w:color w:val="auto"/>
        </w:rPr>
      </w:pPr>
    </w:p>
    <w:p>
      <w:pPr>
        <w:jc w:val="both"/>
        <w:ind w:left="180" w:right="199" w:firstLine="8"/>
        <w:spacing w:after="0" w:line="247" w:lineRule="auto"/>
        <w:tabs>
          <w:tab w:leader="none" w:pos="65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Fees and Other Expenses</w:t>
      </w:r>
      <w:r>
        <w:rPr>
          <w:rFonts w:ascii="Times New Roman" w:cs="Times New Roman" w:eastAsia="Times New Roman" w:hAnsi="Times New Roman"/>
          <w:sz w:val="16"/>
          <w:szCs w:val="16"/>
          <w:color w:val="auto"/>
        </w:rPr>
        <w:t>. If the Executive is successful on the merits of the dispute, as determined in the arbitration, all legal fees and such other expenses as reasonably incurred by the Executive as a result of or in connection with or arising out of the dispute, shall be paid by the Bank and/or the Company, provided that such payment or reimbursement is made by the Bank not later than two and one-half months after the end of the year in which such dispute is resolved in Executive’s favor.</w:t>
      </w:r>
    </w:p>
    <w:p>
      <w:pPr>
        <w:spacing w:after="0" w:line="148" w:lineRule="exact"/>
        <w:rPr>
          <w:sz w:val="20"/>
          <w:szCs w:val="20"/>
          <w:color w:val="auto"/>
        </w:rPr>
      </w:pPr>
    </w:p>
    <w:p>
      <w:pPr>
        <w:jc w:val="both"/>
        <w:ind w:left="180" w:right="199" w:firstLine="8"/>
        <w:spacing w:after="0"/>
        <w:tabs>
          <w:tab w:leader="none" w:pos="67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Indemnification and Insurance</w:t>
      </w:r>
      <w:r>
        <w:rPr>
          <w:rFonts w:ascii="Times New Roman" w:cs="Times New Roman" w:eastAsia="Times New Roman" w:hAnsi="Times New Roman"/>
          <w:sz w:val="16"/>
          <w:szCs w:val="16"/>
          <w:color w:val="auto"/>
        </w:rPr>
        <w:t>. The Bank and/or the Company shall provide the Executive (including his heirs, executors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administrators) with coverage under a standard directors’ and officers’ liability insurance policy at its expense, and shall indemnify Executive (and his heirs, executors and administrators) to the fullest extent permitted under applicable law against all expenses and liabilities reasonably incurred by him in connection with or arising out of any action, suit or proceeding in which he may be involved by reason of his having been an officer of the Bank and/or the Company (whether or not he continues to be an officer at the time of incurring such expenses or liabilities), such expenses and liabilities to include, but not be limited to, judgments, court costs and attorneys’ fees and the cost of reasonable settlements (such settlements must be approved by the Board); provided, however, that neither the Bank nor the Company shall be required to indemnify or reimburse Executive for legal expenses or liabilities incurred in connection with an action, suit or proceeding arising from any illegal or fraudulent act committed by Executive. Any such indemnification shall be made consistent with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254000</wp:posOffset>
            </wp:positionV>
            <wp:extent cx="547751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4" w:name="page175"/>
    <w:bookmarkEnd w:id="174"/>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18(k) of the Federal Deposit Insurance Act, 12 U.S.C. §1828(k), and the regulations issued thereunder in 12 C.F.R. Part 359.</w:t>
      </w:r>
    </w:p>
    <w:p>
      <w:pPr>
        <w:spacing w:after="0" w:line="177" w:lineRule="exact"/>
        <w:rPr>
          <w:sz w:val="20"/>
          <w:szCs w:val="20"/>
          <w:color w:val="auto"/>
        </w:rPr>
      </w:pPr>
    </w:p>
    <w:p>
      <w:pPr>
        <w:jc w:val="both"/>
        <w:ind w:left="180" w:right="199" w:firstLine="8"/>
        <w:spacing w:after="0" w:line="242" w:lineRule="auto"/>
        <w:tabs>
          <w:tab w:leader="none" w:pos="754"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Notices</w:t>
      </w:r>
      <w:r>
        <w:rPr>
          <w:rFonts w:ascii="Times New Roman" w:cs="Times New Roman" w:eastAsia="Times New Roman" w:hAnsi="Times New Roman"/>
          <w:sz w:val="16"/>
          <w:szCs w:val="16"/>
          <w:color w:val="auto"/>
        </w:rPr>
        <w:t>. The persons or addresses to which mailings or deliveries shall be made may change from time to time by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given pursuant to the provisions of this Section. Any notice or other communication given pursuant to the provisions of this Section shall be deemed to have been given (i) if sent by messenger, upon personal delivery to the party to whom the notice is directed; (ii) if sent by reputable overnight courier, one business day after delivery to such courier; (iii) if sent by facsimile, upon electronic or telephonic confirmation of receipt from the receiving facsimile machine and (iv) if sent by mail, three business days following deposit in the United States mail, properly addressed, postage prepaid, certified or registered mail with return receipt requested. All notices required or permitted to be given hereunder shall be addressed as follows:</w:t>
      </w:r>
    </w:p>
    <w:p>
      <w:pPr>
        <w:sectPr>
          <w:pgSz w:w="11900" w:h="16838" w:orient="portrait"/>
          <w:cols w:equalWidth="0" w:num="1">
            <w:col w:w="9019"/>
          </w:cols>
          <w:pgMar w:left="1440" w:top="520" w:right="1440" w:bottom="1440" w:gutter="0" w:footer="0" w:header="0"/>
        </w:sectPr>
      </w:pPr>
    </w:p>
    <w:p>
      <w:pPr>
        <w:spacing w:after="0" w:line="17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Thomas X. Geisel</w:t>
      </w:r>
    </w:p>
    <w:p>
      <w:pPr>
        <w:spacing w:after="0" w:line="57" w:lineRule="exact"/>
        <w:rPr>
          <w:sz w:val="20"/>
          <w:szCs w:val="20"/>
          <w:color w:val="auto"/>
        </w:rPr>
      </w:pPr>
    </w:p>
    <w:p>
      <w:pPr>
        <w:sectPr>
          <w:pgSz w:w="11900" w:h="16838" w:orient="portrait"/>
          <w:cols w:equalWidth="0" w:num="2">
            <w:col w:w="3800" w:space="720"/>
            <w:col w:w="4499"/>
          </w:cols>
          <w:pgMar w:left="1440" w:top="520"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5"/>
          <w:szCs w:val="15"/>
          <w:i w:val="1"/>
          <w:iCs w:val="1"/>
          <w:color w:val="auto"/>
        </w:rPr>
        <w:t>[redacted]</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If to the Company</w:t>
      </w:r>
    </w:p>
    <w:p>
      <w:pPr>
        <w:sectPr>
          <w:pgSz w:w="11900" w:h="16838" w:orient="portrait"/>
          <w:cols w:equalWidth="0" w:num="1">
            <w:col w:w="9019"/>
          </w:cols>
          <w:pgMar w:left="1440" w:top="520" w:right="1440" w:bottom="1440" w:gutter="0" w:footer="0" w:header="0"/>
          <w:type w:val="continuous"/>
        </w:sectPr>
      </w:pPr>
    </w:p>
    <w:p>
      <w:pPr>
        <w:spacing w:after="0" w:line="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and the Bank:</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Dime Community Bank</w:t>
      </w:r>
    </w:p>
    <w:p>
      <w:pPr>
        <w:spacing w:after="0" w:line="38" w:lineRule="exact"/>
        <w:rPr>
          <w:sz w:val="20"/>
          <w:szCs w:val="20"/>
          <w:color w:val="auto"/>
        </w:rPr>
      </w:pPr>
    </w:p>
    <w:p>
      <w:pPr>
        <w:sectPr>
          <w:pgSz w:w="11900" w:h="16838" w:orient="portrait"/>
          <w:cols w:equalWidth="0" w:num="2">
            <w:col w:w="3800" w:space="720"/>
            <w:col w:w="4499"/>
          </w:cols>
          <w:pgMar w:left="1440" w:top="520"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5"/>
          <w:szCs w:val="15"/>
          <w:color w:val="auto"/>
        </w:rPr>
        <w:t>898 Veterans Memorial Highway, Suite 560</w:t>
      </w:r>
    </w:p>
    <w:p>
      <w:pPr>
        <w:spacing w:after="0" w:line="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Chief Executive Officer</w:t>
      </w:r>
    </w:p>
    <w:p>
      <w:pPr>
        <w:spacing w:after="0" w:line="2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With copies to:</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Dime Community Bank</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898 Veterans Memorial Highway, Suite 560</w:t>
      </w:r>
    </w:p>
    <w:p>
      <w:pPr>
        <w:spacing w:after="0" w:line="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Luse Gorman, PC</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5335 Wisconsin Avenue, NW, Suite 780</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Washington, DC 20015</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John J. Gorman, Esq.</w:t>
      </w:r>
    </w:p>
    <w:p>
      <w:pPr>
        <w:sectPr>
          <w:pgSz w:w="11900" w:h="16838" w:orient="portrait"/>
          <w:cols w:equalWidth="0" w:num="1">
            <w:col w:w="9019"/>
          </w:cols>
          <w:pgMar w:left="1440" w:top="520" w:right="1440" w:bottom="1440" w:gutter="0" w:footer="0" w:header="0"/>
          <w:type w:val="continuous"/>
        </w:sectPr>
      </w:pPr>
    </w:p>
    <w:p>
      <w:pPr>
        <w:spacing w:after="0" w:line="197" w:lineRule="exact"/>
        <w:rPr>
          <w:sz w:val="20"/>
          <w:szCs w:val="20"/>
          <w:color w:val="auto"/>
        </w:rPr>
      </w:pPr>
    </w:p>
    <w:p>
      <w:pPr>
        <w:ind w:left="680" w:hanging="492"/>
        <w:spacing w:after="0"/>
        <w:tabs>
          <w:tab w:leader="none" w:pos="68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Amendment</w:t>
      </w:r>
      <w:r>
        <w:rPr>
          <w:rFonts w:ascii="Times New Roman" w:cs="Times New Roman" w:eastAsia="Times New Roman" w:hAnsi="Times New Roman"/>
          <w:sz w:val="16"/>
          <w:szCs w:val="16"/>
          <w:color w:val="auto"/>
        </w:rPr>
        <w:t>. No modifications of this Agreement shall be valid unless made in writing and signed by the parties hereto.</w:t>
      </w:r>
    </w:p>
    <w:p>
      <w:pPr>
        <w:spacing w:after="0" w:line="178" w:lineRule="exact"/>
        <w:rPr>
          <w:rFonts w:ascii="Times New Roman" w:cs="Times New Roman" w:eastAsia="Times New Roman" w:hAnsi="Times New Roman"/>
          <w:sz w:val="16"/>
          <w:szCs w:val="16"/>
          <w:color w:val="auto"/>
        </w:rPr>
      </w:pPr>
    </w:p>
    <w:p>
      <w:pPr>
        <w:ind w:left="680" w:hanging="492"/>
        <w:spacing w:after="0"/>
        <w:tabs>
          <w:tab w:leader="none" w:pos="68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Miscellaneous.</w:t>
      </w:r>
    </w:p>
    <w:p>
      <w:pPr>
        <w:spacing w:after="0" w:line="181" w:lineRule="exact"/>
        <w:rPr>
          <w:sz w:val="20"/>
          <w:szCs w:val="20"/>
          <w:color w:val="auto"/>
        </w:rPr>
      </w:pPr>
    </w:p>
    <w:p>
      <w:pPr>
        <w:ind w:left="180" w:right="199" w:firstLine="8"/>
        <w:spacing w:after="0" w:line="270" w:lineRule="auto"/>
        <w:tabs>
          <w:tab w:leader="none" w:pos="691"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Any termination of Executive’s employment by the Bank and/or the Company shall be communicated in writing to the Executive, and any 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236220</wp:posOffset>
            </wp:positionV>
            <wp:extent cx="547751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type w:val="continuous"/>
        </w:sectPr>
      </w:pPr>
    </w:p>
    <w:bookmarkStart w:id="175" w:name="page176"/>
    <w:bookmarkEnd w:id="175"/>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of employment by the Executive shall be communicated in writing to the Bank and/or the Company.</w:t>
      </w:r>
    </w:p>
    <w:p>
      <w:pPr>
        <w:spacing w:after="0" w:line="179" w:lineRule="exact"/>
        <w:rPr>
          <w:sz w:val="20"/>
          <w:szCs w:val="20"/>
          <w:color w:val="auto"/>
        </w:rPr>
      </w:pPr>
    </w:p>
    <w:p>
      <w:pPr>
        <w:jc w:val="both"/>
        <w:ind w:left="180" w:right="199" w:firstLine="8"/>
        <w:spacing w:after="0" w:line="243" w:lineRule="auto"/>
        <w:tabs>
          <w:tab w:leader="none" w:pos="87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Executive, his legal representatives and estate and intestate distributees, and the Company and the Bank, their successors and assigns, including any successor by merger or consolidation or a statutory receiver or any other person or firm or corporation to which all or substantially all of the assets and business of the Bank or the Company may be sold or otherwise transferred. Any such successor of the Bank or the Company shall be deemed to have assumed this Agreement and to have become obligated hereunder to the same extent as the Company and Bank, and the Executive’s obligations hereunder shall continue in favor of such successor.</w:t>
      </w:r>
    </w:p>
    <w:p>
      <w:pPr>
        <w:spacing w:after="0" w:line="152"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71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 determination that any provision of this Agreement is invalid or unenforceable shall not affect the validity or enforceability of any other provision hereof.</w:t>
      </w:r>
    </w:p>
    <w:p>
      <w:pPr>
        <w:spacing w:after="0" w:line="130" w:lineRule="exact"/>
        <w:rPr>
          <w:rFonts w:ascii="Times New Roman" w:cs="Times New Roman" w:eastAsia="Times New Roman" w:hAnsi="Times New Roman"/>
          <w:sz w:val="16"/>
          <w:szCs w:val="16"/>
          <w:color w:val="auto"/>
        </w:rPr>
      </w:pPr>
    </w:p>
    <w:p>
      <w:pPr>
        <w:jc w:val="both"/>
        <w:ind w:left="180" w:right="199" w:firstLine="8"/>
        <w:spacing w:after="0" w:line="247" w:lineRule="auto"/>
        <w:tabs>
          <w:tab w:leader="none" w:pos="68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Failure to insist upon strict compliance with any terms, covenants or conditions hereof shall not be deemed a waiver of such term, covenant or condition. A waiver of any provision of this Agreement must be made in writing, designated as a waiver, and signed by the party against whom its enforcement is sought. Any waiver or relinquishment or any right or power hereunder at any one or more times shall not be deemed a waiver or relinquishment of such right or power at any other time or times.</w:t>
      </w:r>
    </w:p>
    <w:p>
      <w:pPr>
        <w:spacing w:after="0" w:line="149"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71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and all of which shall constitute one and the same Agreement.</w:t>
      </w:r>
    </w:p>
    <w:p>
      <w:pPr>
        <w:spacing w:after="0" w:line="130"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664"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enforced in accordance with the laws of the State of New York, without reference to conflicts of law principles, except to the extent governed by federal law in which case federal law shall govern.</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73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and Construction</w:t>
      </w:r>
      <w:r>
        <w:rPr>
          <w:rFonts w:ascii="Times New Roman" w:cs="Times New Roman" w:eastAsia="Times New Roman" w:hAnsi="Times New Roman"/>
          <w:sz w:val="16"/>
          <w:szCs w:val="16"/>
          <w:color w:val="auto"/>
        </w:rPr>
        <w:t>. The headings of sections in this Agreement are for convenience of reference only and are not intended to qualify the meaning of any Section. Any reference to a Section number shall refer to a Section of this Agreement, unless otherwise specified.</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53" w:lineRule="auto"/>
        <w:tabs>
          <w:tab w:leader="none" w:pos="77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instrument contains the entire agreement of the parties relating to the subject matter hereof, and supersedes in its entirety any and all prior agreements, understandings or representations relating to the subject matter hereof, including the Prior Agreement.</w:t>
      </w:r>
    </w:p>
    <w:p>
      <w:pPr>
        <w:spacing w:after="0" w:line="143" w:lineRule="exact"/>
        <w:rPr>
          <w:rFonts w:ascii="Times New Roman" w:cs="Times New Roman" w:eastAsia="Times New Roman" w:hAnsi="Times New Roman"/>
          <w:sz w:val="16"/>
          <w:szCs w:val="16"/>
          <w:color w:val="auto"/>
        </w:rPr>
      </w:pPr>
    </w:p>
    <w:p>
      <w:pPr>
        <w:jc w:val="both"/>
        <w:ind w:left="180" w:right="199" w:firstLine="8"/>
        <w:spacing w:after="0" w:line="247" w:lineRule="auto"/>
        <w:tabs>
          <w:tab w:leader="none" w:pos="665"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Source of Payments</w:t>
      </w:r>
      <w:r>
        <w:rPr>
          <w:rFonts w:ascii="Times New Roman" w:cs="Times New Roman" w:eastAsia="Times New Roman" w:hAnsi="Times New Roman"/>
          <w:sz w:val="16"/>
          <w:szCs w:val="16"/>
          <w:color w:val="auto"/>
        </w:rPr>
        <w:t>. All payments provided in this Agreement shall be timely paid in cash or check from the general funds of the Bank. The Company, however, unconditionally guarantees payment and provision of all amounts and benefits due hereunder to Executive and, if such amounts and benefits are not timely paid or provided by the Bank, such amounts and benefits shall be paid or provided by the Company.</w:t>
      </w:r>
    </w:p>
    <w:p>
      <w:pPr>
        <w:spacing w:after="0" w:line="148" w:lineRule="exact"/>
        <w:rPr>
          <w:sz w:val="20"/>
          <w:szCs w:val="20"/>
          <w:color w:val="auto"/>
        </w:rPr>
      </w:pPr>
    </w:p>
    <w:p>
      <w:pPr>
        <w:ind w:left="680" w:hanging="492"/>
        <w:spacing w:after="0"/>
        <w:tabs>
          <w:tab w:leader="none" w:pos="68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268605</wp:posOffset>
            </wp:positionV>
            <wp:extent cx="547751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6" w:name="page177"/>
    <w:bookmarkEnd w:id="176"/>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0" w:lineRule="exact"/>
        <w:rPr>
          <w:sz w:val="20"/>
          <w:szCs w:val="20"/>
          <w:color w:val="auto"/>
        </w:rPr>
      </w:pPr>
    </w:p>
    <w:p>
      <w:pPr>
        <w:spacing w:after="0" w:line="281" w:lineRule="exact"/>
        <w:rPr>
          <w:sz w:val="20"/>
          <w:szCs w:val="20"/>
          <w:color w:val="auto"/>
        </w:rPr>
      </w:pPr>
    </w:p>
    <w:p>
      <w:pPr>
        <w:jc w:val="both"/>
        <w:ind w:left="180" w:right="199" w:firstLine="8"/>
        <w:spacing w:after="0"/>
        <w:tabs>
          <w:tab w:leader="none" w:pos="674"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Section 409A.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 is the intention of the parties that the benefits and rights to which Executive could be entitled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be exempt from or comply with Section 409A, and the provisions of this Agreement shall be construed in a manner consistent with that intent and the requirements for avoiding taxes or penalties under Section 409A. If either party believes, at any time, that any such benefit or right that is subject to Section 409A does not so comply, it shall promptly advise the other parties and all parties shall negotiate reasonably and in good faith to amend or clarify the terms of such benefits and rights such that they do not violate Section 409A (with the intent and effect of avoiding any adverse economic effect for Executive). No party,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 and, for purposes of any such provision of this Agreement, references to a “termination,” “termination of employment,” “separation from service” or like terms shall mean Separation from Service. For purposes of applying the provisions of Section 409A to this Agreement, each amount to be paid or benefit to be provided to Executive pursuant to this Agreement, and each individual installment in a series of payments,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w:t>
      </w:r>
    </w:p>
    <w:p>
      <w:pPr>
        <w:spacing w:after="0" w:line="321" w:lineRule="exact"/>
        <w:rPr>
          <w:rFonts w:ascii="Times New Roman" w:cs="Times New Roman" w:eastAsia="Times New Roman" w:hAnsi="Times New Roman"/>
          <w:sz w:val="16"/>
          <w:szCs w:val="16"/>
          <w:color w:val="auto"/>
        </w:rPr>
      </w:pPr>
    </w:p>
    <w:p>
      <w:pPr>
        <w:ind w:left="680" w:hanging="492"/>
        <w:spacing w:after="0"/>
        <w:tabs>
          <w:tab w:leader="none" w:pos="68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Tax Matters</w:t>
      </w:r>
      <w:r>
        <w:rPr>
          <w:rFonts w:ascii="Times New Roman" w:cs="Times New Roman" w:eastAsia="Times New Roman" w:hAnsi="Times New Roman"/>
          <w:sz w:val="16"/>
          <w:szCs w:val="16"/>
          <w:i w:val="1"/>
          <w:iCs w:val="1"/>
          <w:color w:val="auto"/>
        </w:rPr>
        <w:t>.</w:t>
      </w:r>
    </w:p>
    <w:p>
      <w:pPr>
        <w:spacing w:after="0" w:line="181" w:lineRule="exact"/>
        <w:rPr>
          <w:sz w:val="20"/>
          <w:szCs w:val="20"/>
          <w:color w:val="auto"/>
        </w:rPr>
      </w:pPr>
    </w:p>
    <w:p>
      <w:pPr>
        <w:jc w:val="both"/>
        <w:ind w:left="180" w:right="199" w:firstLine="8"/>
        <w:spacing w:after="0"/>
        <w:tabs>
          <w:tab w:leader="none" w:pos="879"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Executive’s employment is terminated following a Change in Control, the non-competition and non-solicitation restrictions set forth in Sections 11(a) and 11(b) of this Agreement shall apply for the period of time mutually agreed to by the parties, and in no event shall the time period be less than six months or exceed two years. The Company, the Bank and the Executive hereby recognize that: (i) the non-solicitation restriction and non-competition restriction under Sections 11(a) and 11(b) have value, and (ii) the value shall be recognized in any calculations the Company, the Bank and the Executive perform with respect to determining the affect, if any, of the parachute payment provisions of Section 280G of the Code (“Section 280G”), by allocating a portion of any payments, benefits or distributions in the nature of compensation (within the meaning of Section 280G(b)(2)), including the payments under Sections 7(c)(i)(A) and 7(c)(i)(B) of this Agreement, to the fair value of the non-solicitation and non-competition restriction under Sections 11(a) and 11(b) of this Agreement (the “Appraised Value”). The Company and the Bank, at the Bank’s expense, shall obtain an independent appraisal to determine the Appraised Value no later than forty-five (45) days after entering into an agreement, that if completed, would constitute a Change in Control as defined in Section 7(c). The Appraised Value will be considered reasonable compensation for post change in control services within the meaning of Q&amp;A-40 of the regulations under Section 280G; and accordingly, any aggregate parachute payments, as defined in Section 280G, will be reduced by the Appraised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362585</wp:posOffset>
            </wp:positionV>
            <wp:extent cx="547751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7" w:name="page178"/>
    <w:bookmarkEnd w:id="177"/>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0" w:lineRule="exact"/>
        <w:rPr>
          <w:sz w:val="20"/>
          <w:szCs w:val="20"/>
          <w:color w:val="auto"/>
        </w:rPr>
      </w:pPr>
    </w:p>
    <w:p>
      <w:pPr>
        <w:spacing w:after="0" w:line="283" w:lineRule="exact"/>
        <w:rPr>
          <w:sz w:val="20"/>
          <w:szCs w:val="20"/>
          <w:color w:val="auto"/>
        </w:rPr>
      </w:pPr>
    </w:p>
    <w:p>
      <w:pPr>
        <w:jc w:val="both"/>
        <w:ind w:left="180" w:right="199" w:firstLine="8"/>
        <w:spacing w:after="0"/>
        <w:tabs>
          <w:tab w:leader="none" w:pos="68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taking into account the Appraised Value, in the event the receipt of all payments, benefits or distributions in the nature of compensation (within the meaning of Section 280G(b)(2)), whether paid or payable pursuant to Section 7(c) of this Agreement or otherwise (the “Change in Control Benefits”) would subject the Executive to an excise tax imposed by Code Sections 280G and 4999, then the payments and/or benefits payable under this Agreement (the “Payments”) shall be reduced by the minimum amount necessary so that no portion of the Payments under this Agreement are non-deductible to the Bank pursuant to Code Section 280G and subject to the excise tax imposed under Code Section 4999 of the Code (the “Reduced Amount”). Notwithstanding the foregoing, the Payments shall not be reduced if it is determined that without such reduction, the Change in Control Benefits received by the Executive on a net after-tax basis (including without limitation, any excise taxes payable under Code Section 4999) is greater than the Change in Control Benefits that the Executive would receive, on a net after-tax benefit, if the Executive is paid the Reduced Amount under the Agreement.</w:t>
      </w:r>
    </w:p>
    <w:p>
      <w:pPr>
        <w:spacing w:after="0" w:line="155" w:lineRule="exact"/>
        <w:rPr>
          <w:rFonts w:ascii="Times New Roman" w:cs="Times New Roman" w:eastAsia="Times New Roman" w:hAnsi="Times New Roman"/>
          <w:sz w:val="16"/>
          <w:szCs w:val="16"/>
          <w:color w:val="auto"/>
        </w:rPr>
      </w:pPr>
    </w:p>
    <w:p>
      <w:pPr>
        <w:jc w:val="both"/>
        <w:ind w:left="180" w:right="199" w:firstLine="8"/>
        <w:spacing w:after="0"/>
        <w:tabs>
          <w:tab w:leader="none" w:pos="83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writing by the parties, all calculations with respect to Sections 280G and 4999 of the Code required under this Section 20 shall be determined by a nationally recognized firm with appropriate expertise mutually agreeable to the Company and Executive (the “Firm”) whose determination will be conclusive and binding on all parties. The Company shall pay all fees charged by the Firm for this purpose. The Company, the Bank and the Executive shall provide the Firm with all information or documents it reasonably requests, and the Firm shall be entitled to rely on such information and on reasonable estimates and assumptions and interpretations of the provisions of Sections 280G and 4999 of the Code. If it is determined that the Payments should be reduced as a result of the Section 280G calculations performed by the Firm, the Bank shall promptly give (or cause the Firm to give) the Executive notice to that effect and a copy of the detailed calculations thereof. All determinations made under this Section 20 shall be made as soon as reasonably practicable and in no event later than ten (10) days prior to the Date of Termination.</w:t>
      </w:r>
    </w:p>
    <w:p>
      <w:pPr>
        <w:spacing w:after="0" w:line="158" w:lineRule="exact"/>
        <w:rPr>
          <w:rFonts w:ascii="Times New Roman" w:cs="Times New Roman" w:eastAsia="Times New Roman" w:hAnsi="Times New Roman"/>
          <w:sz w:val="16"/>
          <w:szCs w:val="16"/>
          <w:color w:val="auto"/>
        </w:rPr>
      </w:pPr>
    </w:p>
    <w:p>
      <w:pPr>
        <w:jc w:val="both"/>
        <w:ind w:left="180" w:right="199" w:firstLine="8"/>
        <w:spacing w:after="0" w:line="244" w:lineRule="auto"/>
        <w:tabs>
          <w:tab w:leader="none" w:pos="808"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and the Bank do not obtain an Appraised Value of the non-competition and non-solicitation restrictions pursuant to this Section 20 of the Agreement, the Company and the Bank shall indemnify Executive to the fullest extent permitted by law against, and with respect to, any and all costs and expenses (including reasonable attorney fees), and damages resulting from any excise taxes payable under Code Section 4999 and any federal, state or local income tax resulting from this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614045</wp:posOffset>
            </wp:positionV>
            <wp:extent cx="547751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78" w:name="page179"/>
    <w:bookmarkEnd w:id="178"/>
    <w:p>
      <w:pPr>
        <w:ind w:left="180"/>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0" w:lineRule="exact"/>
        <w:rPr>
          <w:sz w:val="20"/>
          <w:szCs w:val="20"/>
          <w:color w:val="auto"/>
        </w:rPr>
      </w:pPr>
    </w:p>
    <w:p>
      <w:pPr>
        <w:spacing w:after="0" w:line="283" w:lineRule="exact"/>
        <w:rPr>
          <w:sz w:val="20"/>
          <w:szCs w:val="20"/>
          <w:color w:val="auto"/>
        </w:rPr>
      </w:pPr>
    </w:p>
    <w:p>
      <w:pPr>
        <w:ind w:left="180" w:right="199"/>
        <w:spacing w:after="0" w:line="270" w:lineRule="auto"/>
        <w:rPr>
          <w:sz w:val="20"/>
          <w:szCs w:val="20"/>
          <w:color w:val="auto"/>
        </w:rPr>
      </w:pPr>
      <w:r>
        <w:rPr>
          <w:rFonts w:ascii="Times New Roman" w:cs="Times New Roman" w:eastAsia="Times New Roman" w:hAnsi="Times New Roman"/>
          <w:sz w:val="16"/>
          <w:szCs w:val="16"/>
          <w:color w:val="auto"/>
        </w:rPr>
        <w:t>IN WITNESS WHEREOF, the Bank, Company and the Executive have duly executed this Agreement as of the day and year first written above.</w:t>
      </w:r>
    </w:p>
    <w:p>
      <w:pPr>
        <w:spacing w:after="0" w:line="1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Thomas X. Geisel</w:t>
      </w:r>
    </w:p>
    <w:p>
      <w:pPr>
        <w:spacing w:after="0" w:line="3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800" w:type="dxa"/>
            <w:vAlign w:val="bottom"/>
          </w:tcPr>
          <w:p>
            <w:pPr>
              <w:ind w:left="4320"/>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X. Geisel</w:t>
            </w:r>
          </w:p>
        </w:tc>
      </w:tr>
      <w:tr>
        <w:trPr>
          <w:trHeight w:val="417"/>
        </w:trPr>
        <w:tc>
          <w:tcPr>
            <w:tcW w:w="8620" w:type="dxa"/>
            <w:vAlign w:val="bottom"/>
            <w:gridSpan w:val="2"/>
          </w:tcPr>
          <w:p>
            <w:pPr>
              <w:ind w:left="4320"/>
              <w:spacing w:after="0"/>
              <w:rPr>
                <w:sz w:val="20"/>
                <w:szCs w:val="20"/>
                <w:color w:val="auto"/>
              </w:rPr>
            </w:pPr>
            <w:r>
              <w:rPr>
                <w:rFonts w:ascii="Times New Roman" w:cs="Times New Roman" w:eastAsia="Times New Roman" w:hAnsi="Times New Roman"/>
                <w:sz w:val="16"/>
                <w:szCs w:val="16"/>
                <w:color w:val="auto"/>
              </w:rPr>
              <w:t>Dime Community Bancshares, Inc.</w:t>
            </w:r>
          </w:p>
        </w:tc>
      </w:tr>
      <w:tr>
        <w:trPr>
          <w:trHeight w:val="228"/>
        </w:trPr>
        <w:tc>
          <w:tcPr>
            <w:tcW w:w="4800" w:type="dxa"/>
            <w:vAlign w:val="bottom"/>
          </w:tcPr>
          <w:p>
            <w:pPr>
              <w:ind w:left="4320"/>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206"/>
        </w:trPr>
        <w:tc>
          <w:tcPr>
            <w:tcW w:w="4800" w:type="dxa"/>
            <w:vAlign w:val="bottom"/>
          </w:tcPr>
          <w:p>
            <w:pPr>
              <w:spacing w:after="0"/>
              <w:rPr>
                <w:sz w:val="17"/>
                <w:szCs w:val="17"/>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Stuart H. Lubow, President &amp; CEO</w:t>
            </w:r>
          </w:p>
        </w:tc>
      </w:tr>
      <w:tr>
        <w:trPr>
          <w:trHeight w:val="221"/>
        </w:trPr>
        <w:tc>
          <w:tcPr>
            <w:tcW w:w="8620" w:type="dxa"/>
            <w:vAlign w:val="bottom"/>
            <w:gridSpan w:val="2"/>
          </w:tcPr>
          <w:p>
            <w:pPr>
              <w:ind w:left="4320"/>
              <w:spacing w:after="0"/>
              <w:rPr>
                <w:sz w:val="20"/>
                <w:szCs w:val="20"/>
                <w:color w:val="auto"/>
              </w:rPr>
            </w:pPr>
            <w:r>
              <w:rPr>
                <w:rFonts w:ascii="Times New Roman" w:cs="Times New Roman" w:eastAsia="Times New Roman" w:hAnsi="Times New Roman"/>
                <w:sz w:val="16"/>
                <w:szCs w:val="16"/>
                <w:color w:val="auto"/>
              </w:rPr>
              <w:t>Dime Community Bank</w:t>
            </w:r>
          </w:p>
        </w:tc>
      </w:tr>
      <w:tr>
        <w:trPr>
          <w:trHeight w:val="228"/>
        </w:trPr>
        <w:tc>
          <w:tcPr>
            <w:tcW w:w="4800" w:type="dxa"/>
            <w:vAlign w:val="bottom"/>
          </w:tcPr>
          <w:p>
            <w:pPr>
              <w:ind w:left="4320"/>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206"/>
        </w:trPr>
        <w:tc>
          <w:tcPr>
            <w:tcW w:w="48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Stuart H. Lubow, President &amp; CEO</w:t>
            </w:r>
          </w:p>
        </w:tc>
      </w:tr>
      <w:tr>
        <w:trPr>
          <w:trHeight w:val="607"/>
        </w:trPr>
        <w:tc>
          <w:tcPr>
            <w:tcW w:w="4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0" w:right="1440" w:bottom="1440" w:gutter="0" w:footer="0" w:header="0"/>
        </w:sectPr>
      </w:pPr>
    </w:p>
    <w:bookmarkStart w:id="179" w:name="page180"/>
    <w:bookmarkEnd w:id="179"/>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DIME COMMUNITY BANCSHARES, INC. INSIDER TRADING POLICY</w:t>
      </w:r>
    </w:p>
    <w:p>
      <w:pPr>
        <w:spacing w:after="0" w:line="206" w:lineRule="exact"/>
        <w:rPr>
          <w:sz w:val="20"/>
          <w:szCs w:val="20"/>
          <w:color w:val="auto"/>
        </w:rPr>
      </w:pPr>
    </w:p>
    <w:p>
      <w:pPr>
        <w:jc w:val="both"/>
        <w:ind w:left="180" w:right="199"/>
        <w:spacing w:after="0" w:line="260" w:lineRule="auto"/>
        <w:rPr>
          <w:sz w:val="20"/>
          <w:szCs w:val="20"/>
          <w:color w:val="auto"/>
        </w:rPr>
      </w:pPr>
      <w:r>
        <w:rPr>
          <w:rFonts w:ascii="Times New Roman" w:cs="Times New Roman" w:eastAsia="Times New Roman" w:hAnsi="Times New Roman"/>
          <w:sz w:val="16"/>
          <w:szCs w:val="16"/>
          <w:color w:val="auto"/>
        </w:rPr>
        <w:t>Dime Community Bancshares, Inc. (the “Company”) is a public company, the common stock of which is traded on the Nasdaq Stock Market and registered under the Securities Exchange Act of 1934 (the “Exchange Act”). Pursuant to the Exchange Act, the Company files periodic reports and proxy statements with the Securities and Exchange Commission (the “SEC”). Dime Community Bank (the “Bank”) is the Company’s wholly owned subsidiary.</w:t>
      </w:r>
    </w:p>
    <w:p>
      <w:pPr>
        <w:spacing w:after="0" w:line="130" w:lineRule="exact"/>
        <w:rPr>
          <w:sz w:val="20"/>
          <w:szCs w:val="20"/>
          <w:color w:val="auto"/>
        </w:rPr>
      </w:pPr>
    </w:p>
    <w:p>
      <w:pPr>
        <w:jc w:val="both"/>
        <w:ind w:left="180" w:right="199"/>
        <w:spacing w:after="0" w:line="259" w:lineRule="auto"/>
        <w:rPr>
          <w:sz w:val="20"/>
          <w:szCs w:val="20"/>
          <w:color w:val="auto"/>
        </w:rPr>
      </w:pPr>
      <w:r>
        <w:rPr>
          <w:rFonts w:ascii="Times New Roman" w:cs="Times New Roman" w:eastAsia="Times New Roman" w:hAnsi="Times New Roman"/>
          <w:sz w:val="16"/>
          <w:szCs w:val="16"/>
          <w:color w:val="auto"/>
        </w:rPr>
        <w:t>The purchase or sale of securities while aware of material nonpublic information, or the disclosure of material nonpublic information to others who then trade in the Company’s securities, is prohibited by the federal securities laws. Insider trading violations are pursued vigorously by the SEC and the U.S. Attorneys and are punished severely.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327" w:lineRule="exact"/>
        <w:rPr>
          <w:sz w:val="20"/>
          <w:szCs w:val="20"/>
          <w:color w:val="auto"/>
        </w:rPr>
      </w:pPr>
    </w:p>
    <w:p>
      <w:pPr>
        <w:jc w:val="both"/>
        <w:ind w:left="180" w:right="199"/>
        <w:spacing w:after="0" w:line="258" w:lineRule="auto"/>
        <w:rPr>
          <w:sz w:val="20"/>
          <w:szCs w:val="20"/>
          <w:color w:val="auto"/>
        </w:rPr>
      </w:pPr>
      <w:r>
        <w:rPr>
          <w:rFonts w:ascii="Times New Roman" w:cs="Times New Roman" w:eastAsia="Times New Roman" w:hAnsi="Times New Roman"/>
          <w:sz w:val="16"/>
          <w:szCs w:val="16"/>
          <w:color w:val="auto"/>
        </w:rPr>
        <w:t>The Company’s Board of Directors has adopted this Policy both to satisfy the Company’s obligation to prevent insider trading and to help Company personnel avoid the severe consequences associated with violations of insider trading laws. This Policy is also intended to prevent even the appearance of improper conduct on the part of anyone employed by or associated with the Company (not just so-called insiders). We have all worked hard over the years to establish a reputation for integrity and ethical conduct, and we do not want to have that reputation damaged.</w:t>
      </w:r>
    </w:p>
    <w:p>
      <w:pPr>
        <w:spacing w:after="0" w:line="130" w:lineRule="exact"/>
        <w:rPr>
          <w:sz w:val="20"/>
          <w:szCs w:val="20"/>
          <w:color w:val="auto"/>
        </w:rPr>
      </w:pPr>
    </w:p>
    <w:p>
      <w:pPr>
        <w:jc w:val="both"/>
        <w:ind w:left="180" w:right="199"/>
        <w:spacing w:after="0" w:line="256" w:lineRule="auto"/>
        <w:rPr>
          <w:sz w:val="20"/>
          <w:szCs w:val="20"/>
          <w:color w:val="auto"/>
        </w:rPr>
      </w:pPr>
      <w:r>
        <w:rPr>
          <w:rFonts w:ascii="Times New Roman" w:cs="Times New Roman" w:eastAsia="Times New Roman" w:hAnsi="Times New Roman"/>
          <w:sz w:val="16"/>
          <w:szCs w:val="16"/>
          <w:color w:val="auto"/>
        </w:rPr>
        <w:t>There are harsh civil and criminal penalties that may apply to any individual who trades in Company securities while in possession of material nonpublic information, or who gives that information to another person who then uses it in buying or selling securities. Anyone who trades while in possession of material nonpublic information will not only have to pay back any profit they made, but may be subject to significant additional monetary penalties, suspended from serving as an officer or director of a public company, and could face lengthy prison terms. Additionally, the Company could be held liable for any violations of insider trading laws and subjected to significant monetary penalties.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Statement of Policies</w:t>
      </w:r>
    </w:p>
    <w:p>
      <w:pPr>
        <w:spacing w:after="0" w:line="130" w:lineRule="exact"/>
        <w:rPr>
          <w:sz w:val="20"/>
          <w:szCs w:val="20"/>
          <w:color w:val="auto"/>
        </w:rPr>
      </w:pPr>
    </w:p>
    <w:p>
      <w:pPr>
        <w:jc w:val="both"/>
        <w:ind w:left="180" w:right="199"/>
        <w:spacing w:after="0" w:line="253" w:lineRule="auto"/>
        <w:rPr>
          <w:sz w:val="20"/>
          <w:szCs w:val="20"/>
          <w:color w:val="auto"/>
        </w:rPr>
      </w:pPr>
      <w:r>
        <w:rPr>
          <w:rFonts w:ascii="Times New Roman" w:cs="Times New Roman" w:eastAsia="Times New Roman" w:hAnsi="Times New Roman"/>
          <w:sz w:val="16"/>
          <w:szCs w:val="16"/>
          <w:color w:val="auto"/>
        </w:rPr>
        <w:t>It is the policy of the Company that no director, officer or other employee of the Company (references to the Company include the Bank and other subsidiaries of the Company and the Bank) who is aware of material nonpublic information relating to the Company may, directly or through family members or other persons or entities, (a) buy, sell or gift securities of the Company (other than pursuant to a pre-approved trading plan that complies with SEC Rule 10b5-1), or engage in any other action to take personal advantage of that information, or (b) pass that information on to others outside the Company, including family and friends. In addition, it is the policy of the Company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 Furthermore, the Company prohibits “shadow trading,” which involves trading another company’s stock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248285</wp:posOffset>
            </wp:positionV>
            <wp:extent cx="547751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0" w:name="page181"/>
    <w:bookmarkEnd w:id="180"/>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60" w:lineRule="auto"/>
        <w:rPr>
          <w:sz w:val="20"/>
          <w:szCs w:val="20"/>
          <w:color w:val="auto"/>
        </w:rPr>
      </w:pPr>
      <w:r>
        <w:rPr>
          <w:rFonts w:ascii="Times New Roman" w:cs="Times New Roman" w:eastAsia="Times New Roman" w:hAnsi="Times New Roman"/>
          <w:sz w:val="16"/>
          <w:szCs w:val="16"/>
          <w:color w:val="auto"/>
        </w:rPr>
        <w:t>on material nonpublic information relating to the Company. Therefore, you must not buy or sell securities of another company at any time when you have material nonpublic information obtained through the Company that is about that other company or that could affect the share price of that other company’s stock (i.e., if you work here at Company A and you learn material nonpublic information at a Company A meeting that, if made public, could affect the share price of Company B—don’t trade in A or B).</w:t>
      </w:r>
    </w:p>
    <w:p>
      <w:pPr>
        <w:spacing w:after="0" w:line="130" w:lineRule="exact"/>
        <w:rPr>
          <w:sz w:val="20"/>
          <w:szCs w:val="20"/>
          <w:color w:val="auto"/>
        </w:rPr>
      </w:pPr>
    </w:p>
    <w:p>
      <w:pPr>
        <w:jc w:val="both"/>
        <w:ind w:left="180" w:right="199"/>
        <w:spacing w:after="0" w:line="260" w:lineRule="auto"/>
        <w:rPr>
          <w:sz w:val="20"/>
          <w:szCs w:val="20"/>
          <w:color w:val="auto"/>
        </w:rPr>
      </w:pPr>
      <w:r>
        <w:rPr>
          <w:rFonts w:ascii="Times New Roman" w:cs="Times New Roman" w:eastAsia="Times New Roman" w:hAnsi="Times New Roman"/>
          <w:sz w:val="16"/>
          <w:szCs w:val="16"/>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 of conduct.</w:t>
      </w:r>
    </w:p>
    <w:p>
      <w:pPr>
        <w:spacing w:after="0" w:line="130" w:lineRule="exact"/>
        <w:rPr>
          <w:sz w:val="20"/>
          <w:szCs w:val="20"/>
          <w:color w:val="auto"/>
        </w:rPr>
      </w:pPr>
    </w:p>
    <w:p>
      <w:pPr>
        <w:jc w:val="both"/>
        <w:ind w:left="180" w:right="199"/>
        <w:spacing w:after="0" w:line="275" w:lineRule="auto"/>
        <w:rPr>
          <w:sz w:val="20"/>
          <w:szCs w:val="20"/>
          <w:color w:val="auto"/>
        </w:rPr>
      </w:pPr>
      <w:r>
        <w:rPr>
          <w:rFonts w:ascii="Times New Roman" w:cs="Times New Roman" w:eastAsia="Times New Roman" w:hAnsi="Times New Roman"/>
          <w:sz w:val="16"/>
          <w:szCs w:val="16"/>
          <w:color w:val="auto"/>
        </w:rPr>
        <w:t>If there is any uncertainty whether one is in possession of material nonpublic information, whether a transaction is subject to this Policy or whether a person is in a blackout period, one should check with the Company’s General Counsel prior to initiating any trade.</w:t>
      </w:r>
    </w:p>
    <w:p>
      <w:pPr>
        <w:spacing w:after="0" w:line="312" w:lineRule="exact"/>
        <w:rPr>
          <w:sz w:val="20"/>
          <w:szCs w:val="20"/>
          <w:color w:val="auto"/>
        </w:rPr>
      </w:pPr>
    </w:p>
    <w:p>
      <w:pPr>
        <w:jc w:val="both"/>
        <w:ind w:left="180" w:right="199"/>
        <w:spacing w:after="0" w:line="256" w:lineRule="auto"/>
        <w:rPr>
          <w:sz w:val="20"/>
          <w:szCs w:val="20"/>
          <w:color w:val="auto"/>
        </w:rPr>
      </w:pPr>
      <w:r>
        <w:rPr>
          <w:rFonts w:ascii="Times New Roman" w:cs="Times New Roman" w:eastAsia="Times New Roman" w:hAnsi="Times New Roman"/>
          <w:sz w:val="16"/>
          <w:szCs w:val="16"/>
          <w:i w:val="1"/>
          <w:iCs w:val="1"/>
          <w:u w:val="single" w:color="auto"/>
          <w:color w:val="auto"/>
        </w:rPr>
        <w:t>Policy Regarding the Confidentiality of Information Regarding the Company and the Disclosure of Information to Others</w:t>
      </w:r>
      <w:r>
        <w:rPr>
          <w:rFonts w:ascii="Times New Roman" w:cs="Times New Roman" w:eastAsia="Times New Roman" w:hAnsi="Times New Roman"/>
          <w:sz w:val="16"/>
          <w:szCs w:val="16"/>
          <w:color w:val="auto"/>
        </w:rPr>
        <w:t>. Personnel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Company should not discuss internal matters or developments with anyone outside of the Company, except as required in the performance of regular corporate duties. Personnel of the Company with knowledge of material nonpublic information should only disclose such information to other such personnel on a need-to-know basis. The Company is required under Regulation FD of the federal securities laws to avoid the selective disclosure of material nonpublic information. The Company has established procedures for releasing material information in a manner designed to achieve broad public dissemination of the information immediately upon its release. You may not, therefore, disclose information to anyone outside the Company or its business in any manner, including an internet forum or similar internet-based forum.</w:t>
      </w:r>
    </w:p>
    <w:p>
      <w:pPr>
        <w:spacing w:after="0" w:line="133" w:lineRule="exact"/>
        <w:rPr>
          <w:sz w:val="20"/>
          <w:szCs w:val="20"/>
          <w:color w:val="auto"/>
        </w:rPr>
      </w:pPr>
    </w:p>
    <w:p>
      <w:pPr>
        <w:jc w:val="both"/>
        <w:ind w:left="180" w:right="199"/>
        <w:spacing w:after="0" w:line="267" w:lineRule="auto"/>
        <w:rPr>
          <w:sz w:val="20"/>
          <w:szCs w:val="20"/>
          <w:color w:val="auto"/>
        </w:rPr>
      </w:pPr>
      <w:r>
        <w:rPr>
          <w:rFonts w:ascii="Times New Roman" w:cs="Times New Roman" w:eastAsia="Times New Roman" w:hAnsi="Times New Roman"/>
          <w:sz w:val="16"/>
          <w:szCs w:val="16"/>
          <w:i w:val="1"/>
          <w:iCs w:val="1"/>
          <w:u w:val="single" w:color="auto"/>
          <w:color w:val="auto"/>
        </w:rPr>
        <w:t>Material Information</w:t>
      </w:r>
      <w:r>
        <w:rPr>
          <w:rFonts w:ascii="Times New Roman" w:cs="Times New Roman" w:eastAsia="Times New Roman" w:hAnsi="Times New Roman"/>
          <w:sz w:val="16"/>
          <w:szCs w:val="16"/>
          <w:color w:val="auto"/>
        </w:rPr>
        <w:t>. Material information is any information that a reasonable investor would consider important in making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decision to buy, hold, or sell securities. Any information that could be expected to affect the Company’s stock price, whether it is positive or negative, should be considered material. Some examples of information that ordinarily would be regarded as material are:</w:t>
      </w:r>
    </w:p>
    <w:p>
      <w:pPr>
        <w:spacing w:after="0" w:line="124" w:lineRule="exact"/>
        <w:rPr>
          <w:sz w:val="20"/>
          <w:szCs w:val="20"/>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Projections of future earnings or losses, or other earnings guidance;</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that are inconsistent with the consensus expectations of the investment community;</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pending or proposed merger, acquisition or tender offer;</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pending or proposed acquisition or disposition of a significant asset;</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or decrease in non-performing assets;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regarding the ability of a borrower to repay a significant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267335</wp:posOffset>
            </wp:positionV>
            <wp:extent cx="547751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1" w:name="page182"/>
    <w:bookmarkEnd w:id="181"/>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dividend policy, the declaration of a stock split, or an offering of additional securities;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decision to repurchase securities;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management or the Board of Directors;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cybersecurity incident that may have a significant impact on the Company;</w:t>
      </w:r>
    </w:p>
    <w:p>
      <w:pPr>
        <w:spacing w:after="0" w:line="168" w:lineRule="exact"/>
        <w:rPr>
          <w:rFonts w:ascii="Times New Roman" w:cs="Times New Roman" w:eastAsia="Times New Roman" w:hAnsi="Times New Roman"/>
          <w:sz w:val="16"/>
          <w:szCs w:val="16"/>
          <w:color w:val="auto"/>
        </w:rPr>
      </w:pPr>
    </w:p>
    <w:p>
      <w:pPr>
        <w:ind w:left="1160" w:right="199" w:hanging="488"/>
        <w:spacing w:after="0" w:line="283" w:lineRule="auto"/>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legal proceedings or regulatory matters, whether actual, pending or threatened, or the resolution of those proceedings or matters;</w:t>
      </w:r>
    </w:p>
    <w:p>
      <w:pPr>
        <w:spacing w:after="0" w:line="110"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about significant misstatements or omissions in the Company’s disclosure documents;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a significant new product or process;</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Impending bankruptcy or the existence of severe liquidity problems of the Company;</w:t>
      </w:r>
    </w:p>
    <w:p>
      <w:pPr>
        <w:spacing w:after="0" w:line="168" w:lineRule="exact"/>
        <w:rPr>
          <w:rFonts w:ascii="Times New Roman" w:cs="Times New Roman" w:eastAsia="Times New Roman" w:hAnsi="Times New Roman"/>
          <w:sz w:val="16"/>
          <w:szCs w:val="16"/>
          <w:color w:val="auto"/>
        </w:rPr>
      </w:pPr>
    </w:p>
    <w:p>
      <w:pPr>
        <w:ind w:left="1160" w:hanging="488"/>
        <w:spacing w:after="0"/>
        <w:tabs>
          <w:tab w:leader="none" w:pos="11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or loss of a significant customer or supplier.</w:t>
      </w:r>
    </w:p>
    <w:p>
      <w:pPr>
        <w:spacing w:after="0" w:line="167" w:lineRule="exact"/>
        <w:rPr>
          <w:sz w:val="20"/>
          <w:szCs w:val="20"/>
          <w:color w:val="auto"/>
        </w:rPr>
      </w:pPr>
    </w:p>
    <w:p>
      <w:pPr>
        <w:jc w:val="both"/>
        <w:ind w:left="180" w:right="199"/>
        <w:spacing w:after="0" w:line="267" w:lineRule="auto"/>
        <w:rPr>
          <w:sz w:val="20"/>
          <w:szCs w:val="20"/>
          <w:color w:val="auto"/>
        </w:rPr>
      </w:pPr>
      <w:r>
        <w:rPr>
          <w:rFonts w:ascii="Times New Roman" w:cs="Times New Roman" w:eastAsia="Times New Roman" w:hAnsi="Times New Roman"/>
          <w:sz w:val="16"/>
          <w:szCs w:val="16"/>
          <w:i w:val="1"/>
          <w:iCs w:val="1"/>
          <w:u w:val="single" w:color="auto"/>
          <w:color w:val="auto"/>
        </w:rPr>
        <w:t>Twenty-Twenty Hindsight</w:t>
      </w:r>
      <w:r>
        <w:rPr>
          <w:rFonts w:ascii="Times New Roman" w:cs="Times New Roman" w:eastAsia="Times New Roman" w:hAnsi="Times New Roman"/>
          <w:sz w:val="16"/>
          <w:szCs w:val="16"/>
          <w:color w:val="auto"/>
        </w:rPr>
        <w:t>. Remember, anyone scrutinizing your transactions will be doing so after the fact, with the benefit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hindsight. As a practical matter, before engaging in any transaction, you should carefully consider how enforcement authorities and others might view the transaction in hindsight.</w:t>
      </w:r>
    </w:p>
    <w:p>
      <w:pPr>
        <w:spacing w:after="0" w:line="122" w:lineRule="exact"/>
        <w:rPr>
          <w:sz w:val="20"/>
          <w:szCs w:val="20"/>
          <w:color w:val="auto"/>
        </w:rPr>
      </w:pPr>
    </w:p>
    <w:p>
      <w:pPr>
        <w:jc w:val="both"/>
        <w:ind w:left="180" w:right="199"/>
        <w:spacing w:after="0" w:line="259" w:lineRule="auto"/>
        <w:rPr>
          <w:sz w:val="20"/>
          <w:szCs w:val="20"/>
          <w:color w:val="auto"/>
        </w:rPr>
      </w:pPr>
      <w:r>
        <w:rPr>
          <w:rFonts w:ascii="Times New Roman" w:cs="Times New Roman" w:eastAsia="Times New Roman" w:hAnsi="Times New Roman"/>
          <w:sz w:val="16"/>
          <w:szCs w:val="16"/>
          <w:i w:val="1"/>
          <w:iCs w:val="1"/>
          <w:u w:val="single" w:color="auto"/>
          <w:color w:val="auto"/>
        </w:rPr>
        <w:t>When Information is “Public”</w:t>
      </w:r>
      <w:r>
        <w:rPr>
          <w:rFonts w:ascii="Times New Roman" w:cs="Times New Roman" w:eastAsia="Times New Roman" w:hAnsi="Times New Roman"/>
          <w:sz w:val="16"/>
          <w:szCs w:val="16"/>
          <w:color w:val="auto"/>
        </w:rPr>
        <w:t>. If you are aware of material nonpublic information, you may not trade until the information has been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disclosed broadly to the marketplace (such as by press release or an SEC filing) and the investing public has had time to absorb the information fully. To avoid the appearance of impropriety, as a general rule, information should not be considered fully absorbed by the marketplace until the second business day after the information is released. If, for example, the Company were to make an announcement during the day on a Monday, you should not trade in the Company’s securities until Wednesday. If an announcement were made on a Friday (or before the market opens on Monday), Tuesday generally would be the first eligible trading day.</w:t>
      </w:r>
    </w:p>
    <w:p>
      <w:pPr>
        <w:spacing w:after="0" w:line="129" w:lineRule="exact"/>
        <w:rPr>
          <w:sz w:val="20"/>
          <w:szCs w:val="20"/>
          <w:color w:val="auto"/>
        </w:rPr>
      </w:pPr>
    </w:p>
    <w:p>
      <w:pPr>
        <w:jc w:val="both"/>
        <w:ind w:left="180" w:right="199"/>
        <w:spacing w:after="0" w:line="258" w:lineRule="auto"/>
        <w:rPr>
          <w:sz w:val="20"/>
          <w:szCs w:val="20"/>
          <w:color w:val="auto"/>
        </w:rPr>
      </w:pPr>
      <w:r>
        <w:rPr>
          <w:rFonts w:ascii="Times New Roman" w:cs="Times New Roman" w:eastAsia="Times New Roman" w:hAnsi="Times New Roman"/>
          <w:sz w:val="16"/>
          <w:szCs w:val="16"/>
          <w:i w:val="1"/>
          <w:iCs w:val="1"/>
          <w:u w:val="single" w:color="auto"/>
          <w:color w:val="auto"/>
        </w:rPr>
        <w:t>Transactions by Family Members</w:t>
      </w:r>
      <w:r>
        <w:rPr>
          <w:rFonts w:ascii="Times New Roman" w:cs="Times New Roman" w:eastAsia="Times New Roman" w:hAnsi="Times New Roman"/>
          <w:sz w:val="16"/>
          <w:szCs w:val="16"/>
          <w:color w:val="auto"/>
        </w:rPr>
        <w:t>. This Policy also applies to your family members who reside with you, anyone else who lives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the transactions of these and other persons and therefore should make them aware of the need to confer with you before they trade in the Company’s securities.</w:t>
      </w:r>
    </w:p>
    <w:p>
      <w:pPr>
        <w:spacing w:after="0" w:line="130" w:lineRule="exact"/>
        <w:rPr>
          <w:sz w:val="20"/>
          <w:szCs w:val="20"/>
          <w:color w:val="auto"/>
        </w:rPr>
      </w:pPr>
    </w:p>
    <w:p>
      <w:pPr>
        <w:jc w:val="both"/>
        <w:ind w:left="180" w:right="199"/>
        <w:spacing w:after="0" w:line="285" w:lineRule="auto"/>
        <w:rPr>
          <w:sz w:val="20"/>
          <w:szCs w:val="20"/>
          <w:color w:val="auto"/>
        </w:rPr>
      </w:pPr>
      <w:r>
        <w:rPr>
          <w:rFonts w:ascii="Times New Roman" w:cs="Times New Roman" w:eastAsia="Times New Roman" w:hAnsi="Times New Roman"/>
          <w:sz w:val="16"/>
          <w:szCs w:val="16"/>
          <w:i w:val="1"/>
          <w:iCs w:val="1"/>
          <w:u w:val="single" w:color="auto"/>
          <w:color w:val="auto"/>
        </w:rPr>
        <w:t>Gifting of Shares</w:t>
      </w:r>
      <w:r>
        <w:rPr>
          <w:rFonts w:ascii="Times New Roman" w:cs="Times New Roman" w:eastAsia="Times New Roman" w:hAnsi="Times New Roman"/>
          <w:sz w:val="16"/>
          <w:szCs w:val="16"/>
          <w:color w:val="auto"/>
        </w:rPr>
        <w:t>. Under the Exchange Act, directors and Section 16 Officers (as defined below) are required to report gifts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on Form 4 before the end of the second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229870</wp:posOffset>
            </wp:positionV>
            <wp:extent cx="5477510"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2" w:name="page183"/>
    <w:bookmarkEnd w:id="182"/>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6"/>
          <w:szCs w:val="16"/>
          <w:color w:val="auto"/>
        </w:rPr>
        <w:t>following the date of execution of the transaction. Prior to making a gift of Company securities, directors and Section 16 Officers must pre-clear the transaction with the Company’s General Counsel (who will also assist in the preparation of the required Form 4) pursuant to the pre-clearance procedures included in the Insider Trading Policy Addendum to this Policy (the “Addendum”).</w:t>
      </w:r>
    </w:p>
    <w:p>
      <w:pPr>
        <w:spacing w:after="0" w:line="122" w:lineRule="exact"/>
        <w:rPr>
          <w:sz w:val="20"/>
          <w:szCs w:val="20"/>
          <w:color w:val="auto"/>
        </w:rPr>
      </w:pPr>
    </w:p>
    <w:p>
      <w:pPr>
        <w:jc w:val="both"/>
        <w:ind w:left="180" w:right="199"/>
        <w:spacing w:after="0" w:line="256" w:lineRule="auto"/>
        <w:rPr>
          <w:sz w:val="20"/>
          <w:szCs w:val="20"/>
          <w:color w:val="auto"/>
        </w:rPr>
      </w:pPr>
      <w:r>
        <w:rPr>
          <w:rFonts w:ascii="Times New Roman" w:cs="Times New Roman" w:eastAsia="Times New Roman" w:hAnsi="Times New Roman"/>
          <w:sz w:val="16"/>
          <w:szCs w:val="16"/>
          <w:i w:val="1"/>
          <w:iCs w:val="1"/>
          <w:u w:val="single" w:color="auto"/>
          <w:color w:val="auto"/>
        </w:rPr>
        <w:t>Applicability of Policy to Inside Information Regarding Other Companies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Policy and the guidelines described herein also apply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material nonpublic information relating to other companies, including the Company’s customers, vendors, suppliers or acquisition candidates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employees should treat material nonpublic information about the Company’s business partners with the same care required with respect to information related directly to the Company.</w:t>
      </w:r>
    </w:p>
    <w:p>
      <w:pPr>
        <w:spacing w:after="0" w:line="133" w:lineRule="exact"/>
        <w:rPr>
          <w:sz w:val="20"/>
          <w:szCs w:val="20"/>
          <w:color w:val="auto"/>
        </w:rPr>
      </w:pPr>
    </w:p>
    <w:p>
      <w:pPr>
        <w:jc w:val="both"/>
        <w:ind w:left="180" w:right="199"/>
        <w:spacing w:after="0" w:line="272" w:lineRule="auto"/>
        <w:rPr>
          <w:sz w:val="20"/>
          <w:szCs w:val="20"/>
          <w:color w:val="auto"/>
        </w:rPr>
      </w:pPr>
      <w:r>
        <w:rPr>
          <w:rFonts w:ascii="Times New Roman" w:cs="Times New Roman" w:eastAsia="Times New Roman" w:hAnsi="Times New Roman"/>
          <w:sz w:val="16"/>
          <w:szCs w:val="16"/>
          <w:i w:val="1"/>
          <w:iCs w:val="1"/>
          <w:u w:val="single" w:color="auto"/>
          <w:color w:val="auto"/>
        </w:rPr>
        <w:t>Blackout Periods Relating to Earnings Releases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a precaution, the Company specifically prohibits directors, Senior Officers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designated employees from engaging in any transaction involving a purchase, sale or gift of the Company’s securities during any period commencing with the tenth day of the last month of the quarter and ending on the second business day after the financial results of the quarter/year end have been publicly announced (a blackout period). The blackout period applies to signing up for, modifying participation in, changing or withdrawing from participation in 10b5-1 plans and the Employee Stock Purchase Plan (“ESPP”), as well as optional cash purchases under the dividend reinvestment plan. In addition, the blackout period applies to changes to the election of a tax withholding right pursuant to which you elect to have the Company withhold shares subject to an option or restricted stock award to satisfy tax withholding requirements. An email will be sent to each director, Senior Officer and designated employee confirming the commencement of the quarterly blackout period. This Policy is set forth in the Addendum to this Policy. It should be noted that just because an individual is not specifically “blacked-out” from trading does not exclude them from this Policy. Once again, any person who possesses material nonpublic information regarding the Company is prohibited from engaging in transactions involving the Company’s stock until such information becomes available to the public.</w:t>
      </w:r>
    </w:p>
    <w:p>
      <w:pPr>
        <w:spacing w:after="0" w:line="88" w:lineRule="exact"/>
        <w:rPr>
          <w:sz w:val="20"/>
          <w:szCs w:val="20"/>
          <w:color w:val="auto"/>
        </w:rPr>
      </w:pPr>
    </w:p>
    <w:p>
      <w:pPr>
        <w:jc w:val="both"/>
        <w:ind w:left="180" w:right="199"/>
        <w:spacing w:after="0" w:line="299" w:lineRule="auto"/>
        <w:rPr>
          <w:sz w:val="20"/>
          <w:szCs w:val="20"/>
          <w:color w:val="auto"/>
        </w:rPr>
      </w:pPr>
      <w:r>
        <w:rPr>
          <w:rFonts w:ascii="Times New Roman" w:cs="Times New Roman" w:eastAsia="Times New Roman" w:hAnsi="Times New Roman"/>
          <w:sz w:val="16"/>
          <w:szCs w:val="16"/>
          <w:i w:val="1"/>
          <w:iCs w:val="1"/>
          <w:u w:val="single" w:color="auto"/>
          <w:color w:val="auto"/>
        </w:rPr>
        <w:t>Standing Orders</w:t>
      </w:r>
      <w:r>
        <w:rPr>
          <w:rFonts w:ascii="Times New Roman" w:cs="Times New Roman" w:eastAsia="Times New Roman" w:hAnsi="Times New Roman"/>
          <w:sz w:val="16"/>
          <w:szCs w:val="16"/>
          <w:color w:val="auto"/>
        </w:rPr>
        <w:t>. Standing orders (except standing orders under approved Rule 10b5-1 plans) for the purchase or sale of shares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securities should not be used (other than on a daily basis).</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Transactions Under Company Plans</w:t>
      </w:r>
    </w:p>
    <w:p>
      <w:pPr>
        <w:spacing w:after="0" w:line="128" w:lineRule="exact"/>
        <w:rPr>
          <w:sz w:val="20"/>
          <w:szCs w:val="20"/>
          <w:color w:val="auto"/>
        </w:rPr>
      </w:pPr>
    </w:p>
    <w:p>
      <w:pPr>
        <w:jc w:val="both"/>
        <w:ind w:left="180" w:right="199"/>
        <w:spacing w:after="0" w:line="258" w:lineRule="auto"/>
        <w:rPr>
          <w:sz w:val="20"/>
          <w:szCs w:val="20"/>
          <w:color w:val="auto"/>
        </w:rPr>
      </w:pPr>
      <w:r>
        <w:rPr>
          <w:rFonts w:ascii="Times New Roman" w:cs="Times New Roman" w:eastAsia="Times New Roman" w:hAnsi="Times New Roman"/>
          <w:sz w:val="16"/>
          <w:szCs w:val="16"/>
          <w:i w:val="1"/>
          <w:iCs w:val="1"/>
          <w:u w:val="single" w:color="auto"/>
          <w:color w:val="auto"/>
        </w:rPr>
        <w:t>Stock Option Exercises</w:t>
      </w:r>
      <w:r>
        <w:rPr>
          <w:rFonts w:ascii="Times New Roman" w:cs="Times New Roman" w:eastAsia="Times New Roman" w:hAnsi="Times New Roman"/>
          <w:sz w:val="16"/>
          <w:szCs w:val="16"/>
          <w:color w:val="auto"/>
        </w:rPr>
        <w:t>. This Policy does not apply to the exercise of an employee stock option, or to the exercise of a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withholding right pursuant to which you elect, in accordance with Company policy, to have the Company withhold shares subject to an option to satisfy tax withholding requirements. The Policy does apply, however, to any sale of stock following exercise or as part of a broker-assisted cashless exercise of an option, or any other market sale for the purpose of generating the cash needed to pay the exercise price of an option.</w:t>
      </w:r>
    </w:p>
    <w:p>
      <w:pPr>
        <w:spacing w:after="0" w:line="130" w:lineRule="exact"/>
        <w:rPr>
          <w:sz w:val="20"/>
          <w:szCs w:val="20"/>
          <w:color w:val="auto"/>
        </w:rPr>
      </w:pPr>
    </w:p>
    <w:p>
      <w:pPr>
        <w:jc w:val="both"/>
        <w:ind w:left="180" w:right="199"/>
        <w:spacing w:after="0" w:line="285" w:lineRule="auto"/>
        <w:rPr>
          <w:sz w:val="20"/>
          <w:szCs w:val="20"/>
          <w:color w:val="auto"/>
        </w:rPr>
      </w:pPr>
      <w:r>
        <w:rPr>
          <w:rFonts w:ascii="Times New Roman" w:cs="Times New Roman" w:eastAsia="Times New Roman" w:hAnsi="Times New Roman"/>
          <w:sz w:val="16"/>
          <w:szCs w:val="16"/>
          <w:i w:val="1"/>
          <w:iCs w:val="1"/>
          <w:u w:val="single" w:color="auto"/>
          <w:color w:val="auto"/>
        </w:rPr>
        <w:t>Restricted Stock Awards</w:t>
      </w:r>
      <w:r>
        <w:rPr>
          <w:rFonts w:ascii="Times New Roman" w:cs="Times New Roman" w:eastAsia="Times New Roman" w:hAnsi="Times New Roman"/>
          <w:sz w:val="16"/>
          <w:szCs w:val="16"/>
          <w:color w:val="auto"/>
        </w:rPr>
        <w:t>. This Policy does not apply to the vesting of restricted stock, or the exercise of a tax withholding right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which you elect, in accordance with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236220</wp:posOffset>
            </wp:positionV>
            <wp:extent cx="5477510"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3" w:name="page184"/>
    <w:bookmarkEnd w:id="183"/>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83" w:lineRule="auto"/>
        <w:rPr>
          <w:sz w:val="20"/>
          <w:szCs w:val="20"/>
          <w:color w:val="auto"/>
        </w:rPr>
      </w:pPr>
      <w:r>
        <w:rPr>
          <w:rFonts w:ascii="Times New Roman" w:cs="Times New Roman" w:eastAsia="Times New Roman" w:hAnsi="Times New Roman"/>
          <w:sz w:val="16"/>
          <w:szCs w:val="16"/>
          <w:color w:val="auto"/>
        </w:rPr>
        <w:t>policy, to have the Company withhold shares of stock to satisfy tax withholding requirements upon the vesting of any restricted stock. The Policy does apply, however, to any market sale of vested restricted stock.</w:t>
      </w:r>
    </w:p>
    <w:p>
      <w:pPr>
        <w:spacing w:after="0" w:line="108" w:lineRule="exact"/>
        <w:rPr>
          <w:sz w:val="20"/>
          <w:szCs w:val="20"/>
          <w:color w:val="auto"/>
        </w:rPr>
      </w:pPr>
    </w:p>
    <w:p>
      <w:pPr>
        <w:jc w:val="both"/>
        <w:ind w:left="180" w:right="199"/>
        <w:spacing w:after="0" w:line="258" w:lineRule="auto"/>
        <w:rPr>
          <w:sz w:val="20"/>
          <w:szCs w:val="20"/>
          <w:color w:val="auto"/>
        </w:rPr>
      </w:pPr>
      <w:r>
        <w:rPr>
          <w:rFonts w:ascii="Times New Roman" w:cs="Times New Roman" w:eastAsia="Times New Roman" w:hAnsi="Times New Roman"/>
          <w:sz w:val="16"/>
          <w:szCs w:val="16"/>
          <w:i w:val="1"/>
          <w:iCs w:val="1"/>
          <w:u w:val="single" w:color="auto"/>
          <w:color w:val="auto"/>
        </w:rPr>
        <w:t>Dividend Reinvestment and Stock Purchase Plan</w:t>
      </w:r>
      <w:r>
        <w:rPr>
          <w:rFonts w:ascii="Times New Roman" w:cs="Times New Roman" w:eastAsia="Times New Roman" w:hAnsi="Times New Roman"/>
          <w:sz w:val="16"/>
          <w:szCs w:val="16"/>
          <w:color w:val="auto"/>
        </w:rPr>
        <w:t>. This Policy does not apply to purchases of Company stock under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reinvestment plan resulting from your reinvestment of dividends paid on Company securities. The Policy does apply, however, to voluntary purchases of Company stock resulting from additional contributions you choose to make to the plan, and to your election to participate in the plan or increase or decrease your level of participation in the plan. The Policy also applies to your sale of any Company stock purchased pursuant to the plan.</w:t>
      </w:r>
    </w:p>
    <w:p>
      <w:pPr>
        <w:spacing w:after="0" w:line="130" w:lineRule="exact"/>
        <w:rPr>
          <w:sz w:val="20"/>
          <w:szCs w:val="20"/>
          <w:color w:val="auto"/>
        </w:rPr>
      </w:pPr>
    </w:p>
    <w:p>
      <w:pPr>
        <w:jc w:val="both"/>
        <w:ind w:left="180" w:right="199"/>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Employee Stock Purchase Plan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Policy and quarterly blackout periods apply to the ESPP. An officer or employee having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inside information regarding the Company, or during a quarterly blackout period, may not sign up for, modify his or her participation in, or withdraw from, the ESPP. However, ongoing payroll deductions through the ESPP pursuant to a prior election are not prohibited.</w:t>
      </w:r>
    </w:p>
    <w:p>
      <w:pPr>
        <w:spacing w:after="0" w:line="127" w:lineRule="exact"/>
        <w:rPr>
          <w:sz w:val="20"/>
          <w:szCs w:val="20"/>
          <w:color w:val="auto"/>
        </w:rPr>
      </w:pPr>
    </w:p>
    <w:p>
      <w:pPr>
        <w:jc w:val="both"/>
        <w:ind w:left="180" w:right="199"/>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Company Stock Repurchase Program. </w:t>
      </w:r>
      <w:r>
        <w:rPr>
          <w:rFonts w:ascii="Times New Roman" w:cs="Times New Roman" w:eastAsia="Times New Roman" w:hAnsi="Times New Roman"/>
          <w:sz w:val="16"/>
          <w:szCs w:val="16"/>
          <w:color w:val="auto"/>
        </w:rPr>
        <w:t>This Policy applies to purchases proposed to be made by the Company pursuant to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ongoing stock repurchase program. The Company will not repurchase shares while in possession of material nonpublic information and will not repurchase shares during quarterly blackout periods (unless a 10b5-1 trading plan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-278765</wp:posOffset>
            </wp:positionV>
            <wp:extent cx="168973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1689735" cy="6350"/>
                    </a:xfrm>
                    <a:prstGeom prst="rect">
                      <a:avLst/>
                    </a:prstGeom>
                    <a:noFill/>
                  </pic:spPr>
                </pic:pic>
              </a:graphicData>
            </a:graphic>
          </wp:anchor>
        </w:drawing>
      </w:r>
    </w:p>
    <w:p>
      <w:pPr>
        <w:spacing w:after="0" w:line="102" w:lineRule="exact"/>
        <w:rPr>
          <w:sz w:val="20"/>
          <w:szCs w:val="20"/>
          <w:color w:val="auto"/>
        </w:rPr>
      </w:pPr>
    </w:p>
    <w:p>
      <w:pPr>
        <w:jc w:val="both"/>
        <w:ind w:left="180" w:right="199"/>
        <w:spacing w:after="0" w:line="274" w:lineRule="auto"/>
        <w:rPr>
          <w:sz w:val="20"/>
          <w:szCs w:val="20"/>
          <w:color w:val="auto"/>
        </w:rPr>
      </w:pPr>
      <w:r>
        <w:rPr>
          <w:rFonts w:ascii="Times New Roman" w:cs="Times New Roman" w:eastAsia="Times New Roman" w:hAnsi="Times New Roman"/>
          <w:sz w:val="16"/>
          <w:szCs w:val="16"/>
          <w:i w:val="1"/>
          <w:iCs w:val="1"/>
          <w:u w:val="single" w:color="auto"/>
          <w:color w:val="auto"/>
        </w:rPr>
        <w:t>401(k) Plan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Policy applies to (a) an intra-plan transfer of an existing account balance into or out of Company stock, (b)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borrowing against a 401(k) plan account if the loan will result in liquidation of some or all of your Company’s stock account balance, and (c) a prepayment of a loan if the prepayment will result in allocation of funds to the Company stock.</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Transactions Pursuant to a 10b5-1 Trading Plan.</w:t>
      </w:r>
    </w:p>
    <w:p>
      <w:pPr>
        <w:spacing w:after="0" w:line="181" w:lineRule="exact"/>
        <w:rPr>
          <w:sz w:val="20"/>
          <w:szCs w:val="20"/>
          <w:color w:val="auto"/>
        </w:rPr>
      </w:pPr>
    </w:p>
    <w:p>
      <w:pPr>
        <w:jc w:val="both"/>
        <w:ind w:left="180" w:right="199"/>
        <w:spacing w:after="0" w:line="271" w:lineRule="auto"/>
        <w:rPr>
          <w:sz w:val="20"/>
          <w:szCs w:val="20"/>
          <w:color w:val="auto"/>
        </w:rPr>
      </w:pPr>
      <w:r>
        <w:rPr>
          <w:rFonts w:ascii="Times New Roman" w:cs="Times New Roman" w:eastAsia="Times New Roman" w:hAnsi="Times New Roman"/>
          <w:sz w:val="16"/>
          <w:szCs w:val="16"/>
          <w:color w:val="auto"/>
        </w:rPr>
        <w:t xml:space="preserve">As a matter of general practice, directors, officers who are required to file reports under Section 16 of the Exchange Act (“Section 16 Officers”) and any other employee of the Company who may have access to or possession of material nonpublic information regarding the Company should transact purchases, sales, or gifts of the Company’s securities only during open trading windows. Rule 10b5-1 of the Exchange Act provides an affirmative defense from insider trading liability if trades occur under a pre-arranged “trading plan” that meets certain conditions. Under Rule 10b5-1, if you enter into a binding contract, instruction or written plan with an institutional broker/dealer that specifies the amount, price and date on which securities are to be purchased or sold, or a pre-determined formula by which the amount, price and date of trades will be determined, and these arrangements are established at a time when you do not possess material non-public information, then you may claim a defense to insider trading liability if the transactions under the trading plan occur at a time when you have subsequently learned material non-public information. Directors, Senior Officers and designated employees will be authorized to engage in transactions in Company securities without following the procedures in the Addendum (other than the Pre-clearance and Notification subsections, which will continue to apply) </w:t>
      </w:r>
      <w:r>
        <w:rPr>
          <w:rFonts w:ascii="Times New Roman" w:cs="Times New Roman" w:eastAsia="Times New Roman" w:hAnsi="Times New Roman"/>
          <w:sz w:val="16"/>
          <w:szCs w:val="16"/>
          <w:u w:val="single" w:color="auto"/>
          <w:color w:val="auto"/>
        </w:rPr>
        <w:t>only</w:t>
      </w:r>
      <w:r>
        <w:rPr>
          <w:rFonts w:ascii="Times New Roman" w:cs="Times New Roman" w:eastAsia="Times New Roman" w:hAnsi="Times New Roman"/>
          <w:sz w:val="16"/>
          <w:szCs w:val="16"/>
          <w:color w:val="auto"/>
        </w:rPr>
        <w:t xml:space="preserve"> under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452120</wp:posOffset>
            </wp:positionV>
            <wp:extent cx="5477510"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4" w:name="page185"/>
    <w:bookmarkEnd w:id="184"/>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ind w:left="680" w:hanging="492"/>
        <w:spacing w:after="0"/>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occurs pursuant to a contract, instruction or plan meeting the requirements of 12 CFR 240.10b5-1;</w:t>
      </w:r>
    </w:p>
    <w:p>
      <w:pPr>
        <w:spacing w:after="0" w:line="198" w:lineRule="exact"/>
        <w:rPr>
          <w:rFonts w:ascii="Times New Roman" w:cs="Times New Roman" w:eastAsia="Times New Roman" w:hAnsi="Times New Roman"/>
          <w:sz w:val="16"/>
          <w:szCs w:val="16"/>
          <w:color w:val="auto"/>
        </w:rPr>
      </w:pPr>
    </w:p>
    <w:p>
      <w:pPr>
        <w:ind w:left="680" w:right="219" w:hanging="492"/>
        <w:spacing w:after="0" w:line="283"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is pre-cleared with and approved by the Company’s General Counsel by submitting the plan to the General Counsel at least five business days prior to executing such plan;</w:t>
      </w:r>
    </w:p>
    <w:p>
      <w:pPr>
        <w:spacing w:after="0" w:line="140" w:lineRule="exact"/>
        <w:rPr>
          <w:rFonts w:ascii="Times New Roman" w:cs="Times New Roman" w:eastAsia="Times New Roman" w:hAnsi="Times New Roman"/>
          <w:sz w:val="16"/>
          <w:szCs w:val="16"/>
          <w:color w:val="auto"/>
        </w:rPr>
      </w:pPr>
    </w:p>
    <w:p>
      <w:pPr>
        <w:jc w:val="both"/>
        <w:ind w:left="680" w:right="199" w:hanging="492"/>
        <w:spacing w:after="0" w:line="257"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must provide for a “cooling-off period.” For directors and Section 16 Officers, the cooling-off period is the greater of (i) ninety days after the adoption or modification of the contract, instruction or plan and (ii) two business days following the filing of the Form 10-Q or Form 10-K for the fiscal quarter in which the plan was adopted or modified (subject to a maximum cooling-off period of one hundred twenty days). For all other Senior Officers and designated employees, the cooling-off period is thirty days after the adoption of or modification of the contract, instruction or plan;</w:t>
      </w:r>
    </w:p>
    <w:p>
      <w:pPr>
        <w:spacing w:after="0" w:line="355" w:lineRule="exact"/>
        <w:rPr>
          <w:rFonts w:ascii="Times New Roman" w:cs="Times New Roman" w:eastAsia="Times New Roman" w:hAnsi="Times New Roman"/>
          <w:sz w:val="16"/>
          <w:szCs w:val="16"/>
          <w:color w:val="auto"/>
        </w:rPr>
      </w:pPr>
    </w:p>
    <w:p>
      <w:pPr>
        <w:ind w:left="680" w:right="199" w:hanging="492"/>
        <w:spacing w:after="0" w:line="283"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must be in writing and executed by the director, Senior Officer or designated employee during an open trading window period;</w:t>
      </w:r>
    </w:p>
    <w:p>
      <w:pPr>
        <w:spacing w:after="0" w:line="251" w:lineRule="exact"/>
        <w:rPr>
          <w:rFonts w:ascii="Times New Roman" w:cs="Times New Roman" w:eastAsia="Times New Roman" w:hAnsi="Times New Roman"/>
          <w:sz w:val="16"/>
          <w:szCs w:val="16"/>
          <w:color w:val="auto"/>
        </w:rPr>
      </w:pPr>
    </w:p>
    <w:p>
      <w:pPr>
        <w:jc w:val="both"/>
        <w:ind w:left="680" w:right="199" w:hanging="492"/>
        <w:spacing w:after="0" w:line="260"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must include a representation certifying that the director, Senior Officer or designated employee (i) is not aware of material nonpublic information about the issuer or its securities and (ii) is adopting or modifying the plan in good faith and not as part of a plan or scheme to evade the prohibition of Rule 10b5-1 on trading on the basis of material nonpublic information;</w:t>
      </w:r>
    </w:p>
    <w:p>
      <w:pPr>
        <w:spacing w:after="0" w:line="160" w:lineRule="exact"/>
        <w:rPr>
          <w:rFonts w:ascii="Times New Roman" w:cs="Times New Roman" w:eastAsia="Times New Roman" w:hAnsi="Times New Roman"/>
          <w:sz w:val="16"/>
          <w:szCs w:val="16"/>
          <w:color w:val="auto"/>
        </w:rPr>
      </w:pPr>
    </w:p>
    <w:p>
      <w:pPr>
        <w:jc w:val="both"/>
        <w:ind w:left="680" w:right="199" w:hanging="492"/>
        <w:spacing w:after="0" w:line="266"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must provide for a same-day reporting mechanism by the person authorized to engage in the transaction on behalf of the director, Senior Officer or designated employee and all transactions under the contract, instruction or plan must be reported to the Company on the day they occur;</w:t>
      </w:r>
    </w:p>
    <w:p>
      <w:pPr>
        <w:spacing w:after="0" w:line="154" w:lineRule="exact"/>
        <w:rPr>
          <w:rFonts w:ascii="Times New Roman" w:cs="Times New Roman" w:eastAsia="Times New Roman" w:hAnsi="Times New Roman"/>
          <w:sz w:val="16"/>
          <w:szCs w:val="16"/>
          <w:color w:val="auto"/>
        </w:rPr>
      </w:pPr>
    </w:p>
    <w:p>
      <w:pPr>
        <w:jc w:val="both"/>
        <w:ind w:left="680" w:right="199" w:hanging="492"/>
        <w:spacing w:after="0" w:line="266"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Senior Officer or designated employee who conducts transactions under a contract, instruction or plan approved in advance by the Company will be responsible for and will be required to acknowledge in writing their responsibility for preparing and filing all Forms 144 for sale transactions;</w:t>
      </w:r>
    </w:p>
    <w:p>
      <w:pPr>
        <w:spacing w:after="0" w:line="154" w:lineRule="exact"/>
        <w:rPr>
          <w:rFonts w:ascii="Times New Roman" w:cs="Times New Roman" w:eastAsia="Times New Roman" w:hAnsi="Times New Roman"/>
          <w:sz w:val="16"/>
          <w:szCs w:val="16"/>
          <w:color w:val="auto"/>
        </w:rPr>
      </w:pPr>
    </w:p>
    <w:p>
      <w:pPr>
        <w:jc w:val="both"/>
        <w:ind w:left="680" w:right="219" w:hanging="492"/>
        <w:spacing w:after="0" w:line="266"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party authorized under the contract, instruction or plan to engage in transactions must be an institutional broker/dealer or registered investment advisor acceptable to the Company and in which the director, Senior Officer or designated employee has no relationship other than as a customer;</w:t>
      </w:r>
    </w:p>
    <w:p>
      <w:pPr>
        <w:spacing w:after="0" w:line="154" w:lineRule="exact"/>
        <w:rPr>
          <w:rFonts w:ascii="Times New Roman" w:cs="Times New Roman" w:eastAsia="Times New Roman" w:hAnsi="Times New Roman"/>
          <w:sz w:val="16"/>
          <w:szCs w:val="16"/>
          <w:color w:val="auto"/>
        </w:rPr>
      </w:pPr>
    </w:p>
    <w:p>
      <w:pPr>
        <w:ind w:left="680" w:right="219" w:hanging="492"/>
        <w:spacing w:after="0" w:line="283"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instructions or plans may not provide for both purchases and sales. Any such contract, instruction or plan will not be approved;</w:t>
      </w:r>
    </w:p>
    <w:p>
      <w:pPr>
        <w:spacing w:after="0" w:line="140" w:lineRule="exact"/>
        <w:rPr>
          <w:rFonts w:ascii="Times New Roman" w:cs="Times New Roman" w:eastAsia="Times New Roman" w:hAnsi="Times New Roman"/>
          <w:sz w:val="16"/>
          <w:szCs w:val="16"/>
          <w:color w:val="auto"/>
        </w:rPr>
      </w:pPr>
    </w:p>
    <w:p>
      <w:pPr>
        <w:jc w:val="both"/>
        <w:ind w:left="680" w:right="199" w:hanging="492"/>
        <w:spacing w:after="0" w:line="266" w:lineRule="auto"/>
        <w:tabs>
          <w:tab w:leader="none" w:pos="6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 or Section 16 Officer has engaged in a sale or purchase transaction within six months of the submission for approval of the contract, instruction or plan and the contract, instruction or plan submitted provides for a purchase or sale, respectively, the contract, instruction or plan will not be approved, (i.e. if the director or officer has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238760</wp:posOffset>
            </wp:positionV>
            <wp:extent cx="5477510"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5" w:name="page186"/>
    <w:bookmarkEnd w:id="185"/>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shares within the last six months, a contract, instruction or plan that provides for purchases will not be approved);</w:t>
      </w:r>
    </w:p>
    <w:p>
      <w:pPr>
        <w:spacing w:after="0" w:line="199" w:lineRule="exact"/>
        <w:rPr>
          <w:sz w:val="20"/>
          <w:szCs w:val="20"/>
          <w:color w:val="auto"/>
        </w:rPr>
      </w:pPr>
    </w:p>
    <w:p>
      <w:pPr>
        <w:ind w:left="680" w:right="199" w:hanging="492"/>
        <w:spacing w:after="0" w:line="283" w:lineRule="auto"/>
        <w:tabs>
          <w:tab w:leader="none" w:pos="6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contract, instruction or plan may be terminated, revoked or amended </w:t>
      </w:r>
      <w:r>
        <w:rPr>
          <w:rFonts w:ascii="Times New Roman" w:cs="Times New Roman" w:eastAsia="Times New Roman" w:hAnsi="Times New Roman"/>
          <w:sz w:val="16"/>
          <w:szCs w:val="16"/>
          <w:u w:val="single" w:color="auto"/>
          <w:color w:val="auto"/>
        </w:rPr>
        <w:t>only</w:t>
      </w:r>
      <w:r>
        <w:rPr>
          <w:rFonts w:ascii="Times New Roman" w:cs="Times New Roman" w:eastAsia="Times New Roman" w:hAnsi="Times New Roman"/>
          <w:sz w:val="16"/>
          <w:szCs w:val="16"/>
          <w:color w:val="auto"/>
        </w:rPr>
        <w:t xml:space="preserve"> during an open trading window period, only with the prior written approval of the Company;</w:t>
      </w:r>
    </w:p>
    <w:p>
      <w:pPr>
        <w:spacing w:after="0" w:line="140" w:lineRule="exact"/>
        <w:rPr>
          <w:rFonts w:ascii="Times New Roman" w:cs="Times New Roman" w:eastAsia="Times New Roman" w:hAnsi="Times New Roman"/>
          <w:sz w:val="16"/>
          <w:szCs w:val="16"/>
          <w:color w:val="auto"/>
        </w:rPr>
      </w:pPr>
    </w:p>
    <w:p>
      <w:pPr>
        <w:ind w:left="680" w:right="199" w:hanging="492"/>
        <w:spacing w:after="0" w:line="283" w:lineRule="auto"/>
        <w:tabs>
          <w:tab w:leader="none" w:pos="6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 instruction or plan must be of finite duration, and, in any event, not longer than one year, subject to renewal only during an open trading window period with the Company’s approval; and</w:t>
      </w:r>
    </w:p>
    <w:p>
      <w:pPr>
        <w:spacing w:after="0" w:line="140" w:lineRule="exact"/>
        <w:rPr>
          <w:rFonts w:ascii="Times New Roman" w:cs="Times New Roman" w:eastAsia="Times New Roman" w:hAnsi="Times New Roman"/>
          <w:sz w:val="16"/>
          <w:szCs w:val="16"/>
          <w:color w:val="auto"/>
        </w:rPr>
      </w:pPr>
    </w:p>
    <w:p>
      <w:pPr>
        <w:ind w:left="680" w:right="219" w:hanging="492"/>
        <w:spacing w:after="0" w:line="283" w:lineRule="auto"/>
        <w:tabs>
          <w:tab w:leader="none" w:pos="6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Senior Officer or designated employee shall not have more than one contract, instruction or plan in place at any one time.</w:t>
      </w:r>
    </w:p>
    <w:p>
      <w:pPr>
        <w:spacing w:after="0" w:line="261"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6"/>
          <w:szCs w:val="16"/>
          <w:color w:val="auto"/>
        </w:rPr>
        <w:t>Proposed contracts, instructions or plans will not be prepared by the Company. Approval or disapproval of any proposed contracts, instructions or plans shall be solely for the benefit of and solely within the discretion of the Company for purposes of assuring compliance with this Policy.</w:t>
      </w:r>
    </w:p>
    <w:p>
      <w:pPr>
        <w:spacing w:after="0" w:line="68"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6"/>
          <w:szCs w:val="16"/>
          <w:color w:val="auto"/>
        </w:rPr>
        <w:t>Transactions effected in accordance with a Rule 10b5-1 trading plan are not exempt from relevant securities law requirements and prohibitions. Insiders must comply with the reporting and short-swing profit rules under Section 16 of the Exchange Act and the limitations on resales by affiliates under Rule 144.</w:t>
      </w:r>
    </w:p>
    <w:p>
      <w:pPr>
        <w:spacing w:after="0" w:line="66" w:lineRule="exact"/>
        <w:rPr>
          <w:sz w:val="20"/>
          <w:szCs w:val="20"/>
          <w:color w:val="auto"/>
        </w:rPr>
      </w:pPr>
    </w:p>
    <w:p>
      <w:pPr>
        <w:jc w:val="both"/>
        <w:ind w:left="180" w:right="199"/>
        <w:spacing w:after="0" w:line="287" w:lineRule="auto"/>
        <w:rPr>
          <w:sz w:val="20"/>
          <w:szCs w:val="20"/>
          <w:color w:val="auto"/>
        </w:rPr>
      </w:pPr>
      <w:r>
        <w:rPr>
          <w:rFonts w:ascii="Times New Roman" w:cs="Times New Roman" w:eastAsia="Times New Roman" w:hAnsi="Times New Roman"/>
          <w:sz w:val="16"/>
          <w:szCs w:val="16"/>
          <w:b w:val="1"/>
          <w:bCs w:val="1"/>
          <w:color w:val="auto"/>
        </w:rPr>
        <w:t>Review and approval of any contract, instruction or plan is not intended to assure or guarantee compliance with Rule 10b5-1, which is solely the responsibility of each individual director, officer and employee. Accordingly, you may wish to consult with your own advisors in connection with the preparation of any such contact, instruction or plan.</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Prohibited Transactions</w:t>
      </w:r>
    </w:p>
    <w:p>
      <w:pPr>
        <w:spacing w:after="0" w:line="181"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6"/>
          <w:szCs w:val="16"/>
          <w:color w:val="auto"/>
        </w:rPr>
        <w:t>The Company considers it improper and inappropriate for any director, officer or other employee of the Company to engage in short-term or speculative transactions in the Company’s securities. It therefore is the Company’s policy that directors, officers and other employees may not engage in any of the following transactions:</w:t>
      </w:r>
    </w:p>
    <w:p>
      <w:pPr>
        <w:spacing w:after="0" w:line="122" w:lineRule="exact"/>
        <w:rPr>
          <w:sz w:val="20"/>
          <w:szCs w:val="20"/>
          <w:color w:val="auto"/>
        </w:rPr>
      </w:pPr>
    </w:p>
    <w:p>
      <w:pPr>
        <w:jc w:val="both"/>
        <w:ind w:left="180" w:right="199"/>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Short-term Trading</w:t>
      </w:r>
      <w:r>
        <w:rPr>
          <w:rFonts w:ascii="Times New Roman" w:cs="Times New Roman" w:eastAsia="Times New Roman" w:hAnsi="Times New Roman"/>
          <w:sz w:val="16"/>
          <w:szCs w:val="16"/>
          <w:color w:val="auto"/>
        </w:rPr>
        <w:t>. An employee’s short-term trading of the Company’s securities may be distracting to the employee and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unduly focus the employee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w:t>
      </w:r>
    </w:p>
    <w:p>
      <w:pPr>
        <w:spacing w:after="0" w:line="127"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6"/>
          <w:szCs w:val="16"/>
          <w:i w:val="1"/>
          <w:iCs w:val="1"/>
          <w:u w:val="single" w:color="auto"/>
          <w:color w:val="auto"/>
        </w:rPr>
        <w:t>Short-Swing Profits</w:t>
      </w:r>
      <w:r>
        <w:rPr>
          <w:rFonts w:ascii="Times New Roman" w:cs="Times New Roman" w:eastAsia="Times New Roman" w:hAnsi="Times New Roman"/>
          <w:sz w:val="16"/>
          <w:szCs w:val="16"/>
          <w:color w:val="auto"/>
        </w:rPr>
        <w:t>. Section 16 of the Exchange Act subjects directors and officers of a public company to various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and liability provisions. Section 16(a) of the Exchange Act requires all executive officers, directors and beneficial owners of greater than 10% of the common stock of the Company (“Insiders”) to file Forms 3, 4 and 5 with the SEC, reporting their stock ownership and transactions in Company securities, as applicable. Section 16(b)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238760</wp:posOffset>
            </wp:positionV>
            <wp:extent cx="5477510"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6" w:name="page187"/>
    <w:bookmarkEnd w:id="186"/>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60" w:lineRule="auto"/>
        <w:rPr>
          <w:sz w:val="20"/>
          <w:szCs w:val="20"/>
          <w:color w:val="auto"/>
        </w:rPr>
      </w:pPr>
      <w:r>
        <w:rPr>
          <w:rFonts w:ascii="Times New Roman" w:cs="Times New Roman" w:eastAsia="Times New Roman" w:hAnsi="Times New Roman"/>
          <w:sz w:val="16"/>
          <w:szCs w:val="16"/>
          <w:color w:val="auto"/>
        </w:rPr>
        <w:t>Exchange Act provides that any profit realized by an Insider, based on their lowest-priced purchase and highest-priced sale of the Company’s stock in a six-month period (also called a “short-swing” profit), without regard to overall profit or loss during the six-month period, is recoverable by the Company. The Company’s program for compliance with the reporting obligations of Insiders and with the “short-swing” transactions restrictions of the federal securities laws is set forth in the Addendum attached to this Policy.</w:t>
      </w:r>
    </w:p>
    <w:p>
      <w:pPr>
        <w:spacing w:after="0" w:line="128" w:lineRule="exact"/>
        <w:rPr>
          <w:sz w:val="20"/>
          <w:szCs w:val="20"/>
          <w:color w:val="auto"/>
        </w:rPr>
      </w:pPr>
    </w:p>
    <w:p>
      <w:pPr>
        <w:jc w:val="both"/>
        <w:ind w:left="180" w:right="199"/>
        <w:spacing w:after="0" w:line="258" w:lineRule="auto"/>
        <w:rPr>
          <w:sz w:val="20"/>
          <w:szCs w:val="20"/>
          <w:color w:val="auto"/>
        </w:rPr>
      </w:pPr>
      <w:r>
        <w:rPr>
          <w:rFonts w:ascii="Times New Roman" w:cs="Times New Roman" w:eastAsia="Times New Roman" w:hAnsi="Times New Roman"/>
          <w:sz w:val="16"/>
          <w:szCs w:val="16"/>
          <w:i w:val="1"/>
          <w:iCs w:val="1"/>
          <w:u w:val="single" w:color="auto"/>
          <w:color w:val="auto"/>
        </w:rPr>
        <w:t>Short Sales</w:t>
      </w:r>
      <w:r>
        <w:rPr>
          <w:rFonts w:ascii="Times New Roman" w:cs="Times New Roman" w:eastAsia="Times New Roman" w:hAnsi="Times New Roman"/>
          <w:sz w:val="16"/>
          <w:szCs w:val="16"/>
          <w:color w:val="auto"/>
        </w:rPr>
        <w:t>. Short sales of the Company’s securities evidence an expectation on the part of the seller that the securities will decline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prohibits officers and directors from engaging in short sales.</w:t>
      </w:r>
    </w:p>
    <w:p>
      <w:pPr>
        <w:spacing w:after="0" w:line="130" w:lineRule="exact"/>
        <w:rPr>
          <w:sz w:val="20"/>
          <w:szCs w:val="20"/>
          <w:color w:val="auto"/>
        </w:rPr>
      </w:pPr>
    </w:p>
    <w:p>
      <w:pPr>
        <w:jc w:val="both"/>
        <w:ind w:left="180" w:right="199"/>
        <w:spacing w:after="0" w:line="257" w:lineRule="auto"/>
        <w:rPr>
          <w:sz w:val="20"/>
          <w:szCs w:val="20"/>
          <w:color w:val="auto"/>
        </w:rPr>
      </w:pPr>
      <w:r>
        <w:rPr>
          <w:rFonts w:ascii="Times New Roman" w:cs="Times New Roman" w:eastAsia="Times New Roman" w:hAnsi="Times New Roman"/>
          <w:sz w:val="16"/>
          <w:szCs w:val="16"/>
          <w:i w:val="1"/>
          <w:iCs w:val="1"/>
          <w:u w:val="single" w:color="auto"/>
          <w:color w:val="auto"/>
        </w:rPr>
        <w:t>Margin Accounts and Pledges</w:t>
      </w:r>
      <w:r>
        <w:rPr>
          <w:rFonts w:ascii="Times New Roman" w:cs="Times New Roman" w:eastAsia="Times New Roman" w:hAnsi="Times New Roman"/>
          <w:sz w:val="16"/>
          <w:szCs w:val="16"/>
          <w:color w:val="auto"/>
        </w:rPr>
        <w:t>. Securities held in a margin account may be sold by the broker without the customer’s consent if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directors, officers and other employees are prohibited from holding Company securities in a margin account or pledging Company securities as collateral for a loan.</w:t>
      </w:r>
    </w:p>
    <w:p>
      <w:pPr>
        <w:spacing w:after="0" w:line="325" w:lineRule="exact"/>
        <w:rPr>
          <w:sz w:val="20"/>
          <w:szCs w:val="20"/>
          <w:color w:val="auto"/>
        </w:rPr>
      </w:pPr>
    </w:p>
    <w:p>
      <w:pPr>
        <w:jc w:val="both"/>
        <w:ind w:left="180" w:right="199"/>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Hedging Transactions</w:t>
      </w:r>
      <w:r>
        <w:rPr>
          <w:rFonts w:ascii="Times New Roman" w:cs="Times New Roman" w:eastAsia="Times New Roman" w:hAnsi="Times New Roman"/>
          <w:sz w:val="16"/>
          <w:szCs w:val="16"/>
          <w:color w:val="auto"/>
        </w:rPr>
        <w:t>. The Board of Directors believes that ownership of the Company’s stock by the Company’s directors,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employees promotes the alignment of our interests with those of the Company’s shareholders. The Board recognizes that transactions that are designed to hedge or offset declines in the market value of the Company’s stock can disrupt this alignment, interfere with the Company’s compensation programs and philosophies, and undermine policies regarding stock ownership. Further, hedging is highly speculative and gives the appearance of a lack of confidence in the Company’s future prospects and therefore is inappropriate. Accordingly, any hedging, derivative or other equivalent transaction that is specifically designed to </w:t>
      </w:r>
      <w:r>
        <w:rPr>
          <w:rFonts w:ascii="Times New Roman" w:cs="Times New Roman" w:eastAsia="Times New Roman" w:hAnsi="Times New Roman"/>
          <w:sz w:val="16"/>
          <w:szCs w:val="16"/>
          <w:color w:val="1C1C1C"/>
        </w:rPr>
        <w:t>reduce or limit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C1C1C"/>
        </w:rPr>
        <w:t xml:space="preserve">extent to which declines in the trading price of the Company’s stock would affect the value of the stock owned by a director, officer or employee is prohibited. </w:t>
      </w:r>
      <w:r>
        <w:rPr>
          <w:rFonts w:ascii="Times New Roman" w:cs="Times New Roman" w:eastAsia="Times New Roman" w:hAnsi="Times New Roman"/>
          <w:sz w:val="16"/>
          <w:szCs w:val="16"/>
          <w:color w:val="000000"/>
        </w:rPr>
        <w:t>Examples of prohibited hedging transactions include (i) short sales of Company stock (the practice of</w:t>
      </w:r>
      <w:r>
        <w:rPr>
          <w:rFonts w:ascii="Times New Roman" w:cs="Times New Roman" w:eastAsia="Times New Roman" w:hAnsi="Times New Roman"/>
          <w:sz w:val="16"/>
          <w:szCs w:val="16"/>
          <w:color w:val="1C1C1C"/>
        </w:rPr>
        <w:t xml:space="preserve"> </w:t>
      </w:r>
      <w:r>
        <w:rPr>
          <w:rFonts w:ascii="Times New Roman" w:cs="Times New Roman" w:eastAsia="Times New Roman" w:hAnsi="Times New Roman"/>
          <w:sz w:val="16"/>
          <w:szCs w:val="16"/>
          <w:color w:val="000000"/>
        </w:rPr>
        <w:t>selling a security borrowed from another), (ii) buying put options or selling call options relating to Company stock, (iii) selling security futures contracts relating to Company stock, (iv) entering into prepaid variable forward sale contracts, equity swaps, or zero cost collars relating to Company stock, and (v) contributing Company stocks to an exchange fund in exchange for an interest in the fund. Cashless exercises of employee stock options are not deemed short sales for purposes of this Policy.</w:t>
      </w:r>
    </w:p>
    <w:p>
      <w:pPr>
        <w:spacing w:after="0" w:line="270" w:lineRule="exact"/>
        <w:rPr>
          <w:sz w:val="20"/>
          <w:szCs w:val="20"/>
          <w:color w:val="auto"/>
        </w:rPr>
      </w:pPr>
    </w:p>
    <w:p>
      <w:pPr>
        <w:jc w:val="both"/>
        <w:ind w:left="180" w:right="199"/>
        <w:spacing w:after="0" w:line="267" w:lineRule="auto"/>
        <w:rPr>
          <w:sz w:val="20"/>
          <w:szCs w:val="20"/>
          <w:color w:val="auto"/>
        </w:rPr>
      </w:pPr>
      <w:r>
        <w:rPr>
          <w:rFonts w:ascii="Times New Roman" w:cs="Times New Roman" w:eastAsia="Times New Roman" w:hAnsi="Times New Roman"/>
          <w:sz w:val="16"/>
          <w:szCs w:val="16"/>
          <w:i w:val="1"/>
          <w:iCs w:val="1"/>
          <w:u w:val="single" w:color="auto"/>
          <w:color w:val="auto"/>
        </w:rPr>
        <w:t>Post-Termination Transactions</w:t>
      </w:r>
      <w:r>
        <w:rPr>
          <w:rFonts w:ascii="Times New Roman" w:cs="Times New Roman" w:eastAsia="Times New Roman" w:hAnsi="Times New Roman"/>
          <w:sz w:val="16"/>
          <w:szCs w:val="16"/>
          <w:color w:val="auto"/>
        </w:rPr>
        <w:t>. This Policy continues to apply to your transactions in Company securities even after you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terminated employment. If you are in possession of material nonpublic information when your employment terminates, you may not trade in Company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238760</wp:posOffset>
            </wp:positionV>
            <wp:extent cx="547751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7" w:name="page188"/>
    <w:bookmarkEnd w:id="187"/>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Strict Compliance Required</w:t>
      </w:r>
    </w:p>
    <w:p>
      <w:pPr>
        <w:spacing w:after="0" w:line="171" w:lineRule="exact"/>
        <w:rPr>
          <w:sz w:val="20"/>
          <w:szCs w:val="20"/>
          <w:color w:val="auto"/>
        </w:rPr>
      </w:pPr>
    </w:p>
    <w:p>
      <w:pPr>
        <w:jc w:val="both"/>
        <w:ind w:left="180" w:right="199"/>
        <w:spacing w:after="0" w:line="256" w:lineRule="auto"/>
        <w:rPr>
          <w:sz w:val="20"/>
          <w:szCs w:val="20"/>
          <w:color w:val="auto"/>
        </w:rPr>
      </w:pPr>
      <w:r>
        <w:rPr>
          <w:rFonts w:ascii="Times New Roman" w:cs="Times New Roman" w:eastAsia="Times New Roman" w:hAnsi="Times New Roman"/>
          <w:sz w:val="16"/>
          <w:szCs w:val="16"/>
          <w:color w:val="auto"/>
        </w:rPr>
        <w:t>The Company requires the strictest compliance with these procedures by all personnel at every level. Failure to follow these procedures may result in severe legal difficulties for you, as well as for the Company. A failure to follow both the letter and the spirit of this memorandum shall be considered a matter of extreme seriousness and may be grounds for termination of employment or other disciplinary action, whether or not the failure to comply results in a violation of law. Needless to say, a violation of law, or even an SEC investigation that does not result in prosecution, can tarnish the Company’s and an individual’s reputation and irreparably damage a career.</w:t>
      </w:r>
    </w:p>
    <w:p>
      <w:pPr>
        <w:spacing w:after="0" w:line="131" w:lineRule="exact"/>
        <w:rPr>
          <w:sz w:val="20"/>
          <w:szCs w:val="20"/>
          <w:color w:val="auto"/>
        </w:rPr>
      </w:pPr>
    </w:p>
    <w:p>
      <w:pPr>
        <w:jc w:val="both"/>
        <w:ind w:left="180" w:right="199"/>
        <w:spacing w:after="0" w:line="267" w:lineRule="auto"/>
        <w:rPr>
          <w:sz w:val="20"/>
          <w:szCs w:val="20"/>
          <w:color w:val="auto"/>
        </w:rPr>
      </w:pPr>
      <w:r>
        <w:rPr>
          <w:rFonts w:ascii="Times New Roman" w:cs="Times New Roman" w:eastAsia="Times New Roman" w:hAnsi="Times New Roman"/>
          <w:sz w:val="16"/>
          <w:szCs w:val="16"/>
          <w:i w:val="1"/>
          <w:iCs w:val="1"/>
          <w:u w:val="single" w:color="auto"/>
          <w:color w:val="auto"/>
        </w:rPr>
        <w:t>Company Assistance</w:t>
      </w:r>
      <w:r>
        <w:rPr>
          <w:rFonts w:ascii="Times New Roman" w:cs="Times New Roman" w:eastAsia="Times New Roman" w:hAnsi="Times New Roman"/>
          <w:sz w:val="16"/>
          <w:szCs w:val="16"/>
          <w:color w:val="auto"/>
        </w:rPr>
        <w:t>. Any person who has a question about this Policy or its application to any proposed transaction may obtain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guidance from Judy Wu, General Counsel, whose telephone number is (631) 537-1000 ext. 3066. Ultimately, however, the responsibility for adhering to this Policy and avoiding unlawful transactions rests with individual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462915</wp:posOffset>
            </wp:positionV>
            <wp:extent cx="5477510"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8" w:name="page189"/>
    <w:bookmarkEnd w:id="188"/>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Insider Trading Policy Addendum</w:t>
      </w:r>
    </w:p>
    <w:p>
      <w:pPr>
        <w:spacing w:after="0" w:line="171" w:lineRule="exact"/>
        <w:rPr>
          <w:sz w:val="20"/>
          <w:szCs w:val="20"/>
          <w:color w:val="auto"/>
        </w:rPr>
      </w:pPr>
    </w:p>
    <w:p>
      <w:pPr>
        <w:jc w:val="both"/>
        <w:ind w:left="180" w:right="199"/>
        <w:spacing w:after="0" w:line="278" w:lineRule="auto"/>
        <w:rPr>
          <w:sz w:val="20"/>
          <w:szCs w:val="20"/>
          <w:color w:val="auto"/>
        </w:rPr>
      </w:pPr>
      <w:r>
        <w:rPr>
          <w:rFonts w:ascii="Times New Roman" w:cs="Times New Roman" w:eastAsia="Times New Roman" w:hAnsi="Times New Roman"/>
          <w:sz w:val="16"/>
          <w:szCs w:val="16"/>
          <w:color w:val="auto"/>
        </w:rPr>
        <w:t>Dime Community Bancshares, Inc. (the “Company”) is a public company the common stock of which is traded on the Nasdaq Global Select Market and registered under the Securities and Exchange Act of 1934 (the “Exchange Act”). Pursuant to the Exchange Act, the Company files periodic reports and proxy statements with the Securities and Exchange Commission (the “SEC”). Dime Community Bank (the “Bank”) is the Company’s wholly owned subsidiary.</w:t>
      </w:r>
    </w:p>
    <w:p>
      <w:pPr>
        <w:spacing w:after="0" w:line="85" w:lineRule="exact"/>
        <w:rPr>
          <w:sz w:val="20"/>
          <w:szCs w:val="20"/>
          <w:color w:val="auto"/>
        </w:rPr>
      </w:pPr>
    </w:p>
    <w:p>
      <w:pPr>
        <w:jc w:val="both"/>
        <w:ind w:left="180" w:right="199"/>
        <w:spacing w:after="0" w:line="272" w:lineRule="auto"/>
        <w:rPr>
          <w:sz w:val="20"/>
          <w:szCs w:val="20"/>
          <w:color w:val="auto"/>
        </w:rPr>
      </w:pPr>
      <w:r>
        <w:rPr>
          <w:rFonts w:ascii="Times New Roman" w:cs="Times New Roman" w:eastAsia="Times New Roman" w:hAnsi="Times New Roman"/>
          <w:sz w:val="16"/>
          <w:szCs w:val="16"/>
          <w:color w:val="auto"/>
        </w:rPr>
        <w:t>As a public company, the directors, officers and employees of the Company have a responsibility not to participate in the market for the Company’s stock while in possession of “material information” about the Company that has not been publicly disclosed. Under the Insider Trading and Securities Enforcement Act of 1988 (“Act”), the Company can be held liable for employee violations of the insider trading laws, unless it has adopted policies and procedures to prevent insider trading. Recent efforts by the SEC to police insider trading laws have highlighted the need for awareness of the responsibilities and potential liability in this area. Executive officers and directors of the Company are also subject to various reporting obligations regarding their ownership, and changes in their ownership, of Company securities.</w:t>
      </w:r>
    </w:p>
    <w:p>
      <w:pPr>
        <w:spacing w:after="0" w:line="92" w:lineRule="exact"/>
        <w:rPr>
          <w:sz w:val="20"/>
          <w:szCs w:val="20"/>
          <w:color w:val="auto"/>
        </w:rPr>
      </w:pPr>
    </w:p>
    <w:p>
      <w:pPr>
        <w:jc w:val="both"/>
        <w:ind w:left="180" w:right="199"/>
        <w:spacing w:after="0" w:line="279" w:lineRule="auto"/>
        <w:rPr>
          <w:sz w:val="20"/>
          <w:szCs w:val="20"/>
          <w:color w:val="auto"/>
        </w:rPr>
      </w:pPr>
      <w:r>
        <w:rPr>
          <w:rFonts w:ascii="Times New Roman" w:cs="Times New Roman" w:eastAsia="Times New Roman" w:hAnsi="Times New Roman"/>
          <w:sz w:val="16"/>
          <w:szCs w:val="16"/>
          <w:color w:val="auto"/>
        </w:rPr>
        <w:t>The Company has adopted policies and procedures regarding insider trading and the confidentiality of information that are applicable to all employees, officers and directors. This Addendum addresses additional restrictions that are applicable only to Directors, Senior Officers and designated employees of the Company.</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Additional Restrictions on Purchases and Sales During Certain “Blackout” Periods</w:t>
      </w:r>
    </w:p>
    <w:p>
      <w:pPr>
        <w:spacing w:after="0" w:line="179" w:lineRule="exact"/>
        <w:rPr>
          <w:sz w:val="20"/>
          <w:szCs w:val="20"/>
          <w:color w:val="auto"/>
        </w:rPr>
      </w:pPr>
    </w:p>
    <w:p>
      <w:pPr>
        <w:jc w:val="both"/>
        <w:ind w:left="180" w:right="199"/>
        <w:spacing w:after="0" w:line="275" w:lineRule="auto"/>
        <w:rPr>
          <w:sz w:val="20"/>
          <w:szCs w:val="20"/>
          <w:color w:val="auto"/>
        </w:rPr>
      </w:pPr>
      <w:r>
        <w:rPr>
          <w:rFonts w:ascii="Times New Roman" w:cs="Times New Roman" w:eastAsia="Times New Roman" w:hAnsi="Times New Roman"/>
          <w:sz w:val="16"/>
          <w:szCs w:val="16"/>
          <w:color w:val="auto"/>
        </w:rPr>
        <w:t xml:space="preserve">The following additional procedures with respect to the participation in the market for the Company’s stock by the directors, Senior Officers and designated employees of the Company have been adopted by the Board of Directors in order to assure compliance with the federal securities laws. It should be emphasized that these procedures are designed to: (i) avoid even the appearance of trading on insider information, (ii) as a cautionary matter, eliminate the ongoing question of when knowledge of unreported quarterly and year-end financial information may be considered “material” under the insider trading laws, and (iii) enable the Company to assure that the insider trading reporting requirements of Section 16 of the Securities Exchange Act of 1934 are being complied with. </w:t>
      </w:r>
      <w:r>
        <w:rPr>
          <w:rFonts w:ascii="Times New Roman" w:cs="Times New Roman" w:eastAsia="Times New Roman" w:hAnsi="Times New Roman"/>
          <w:sz w:val="16"/>
          <w:szCs w:val="16"/>
          <w:i w:val="1"/>
          <w:iCs w:val="1"/>
          <w:color w:val="auto"/>
        </w:rPr>
        <w:t>This is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addition to the general prohibition on participation in the market for the Company’s stock while in possession of material, nonpublic information, regardless of the time period.</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following procedures should be followed by directors, senior officers and designated employees:</w:t>
      </w:r>
    </w:p>
    <w:p>
      <w:pPr>
        <w:spacing w:after="0" w:line="126" w:lineRule="exact"/>
        <w:rPr>
          <w:sz w:val="20"/>
          <w:szCs w:val="20"/>
          <w:color w:val="auto"/>
        </w:rPr>
      </w:pPr>
    </w:p>
    <w:p>
      <w:pPr>
        <w:jc w:val="both"/>
        <w:ind w:left="180" w:right="199" w:firstLine="492"/>
        <w:spacing w:after="0" w:line="283" w:lineRule="auto"/>
        <w:tabs>
          <w:tab w:leader="none" w:pos="896"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Quarterly Blackout Periods. </w:t>
      </w:r>
      <w:r>
        <w:rPr>
          <w:rFonts w:ascii="Times New Roman" w:cs="Times New Roman" w:eastAsia="Times New Roman" w:hAnsi="Times New Roman"/>
          <w:sz w:val="16"/>
          <w:szCs w:val="16"/>
          <w:color w:val="auto"/>
        </w:rPr>
        <w:t>During the period commencing with the tenth day of the last month of the quarter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ending on the second business day after the financial results of the quarter/year end have been publicly announced (a blackout period), directors, Senior Officers and designated employees should refrain from participating, directly or indirectly, in the market for Company securities, including making gifts of Company securities. The blackout period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237490</wp:posOffset>
            </wp:positionV>
            <wp:extent cx="5477510"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9" w:name="page190"/>
    <w:bookmarkEnd w:id="189"/>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75" w:lineRule="auto"/>
        <w:rPr>
          <w:sz w:val="20"/>
          <w:szCs w:val="20"/>
          <w:color w:val="auto"/>
        </w:rPr>
      </w:pPr>
      <w:r>
        <w:rPr>
          <w:rFonts w:ascii="Times New Roman" w:cs="Times New Roman" w:eastAsia="Times New Roman" w:hAnsi="Times New Roman"/>
          <w:sz w:val="16"/>
          <w:szCs w:val="16"/>
          <w:color w:val="auto"/>
        </w:rPr>
        <w:t>to signing up for, modifying participation in, changing or withdrawing from participation in 10b5-1 plans and the Employee Stock Purchase Plan (“ESPP”), as well as optional cash purchases under the dividend reinvestment plan. In addition, the blackout period applies to changes to the election of a tax withholding right pursuant to which you elect to have the Company withhold shares subject to an option or restricted stock award to satisfy tax withholding requirements. An email will be sent to each director, Senior Officer and designated employee confirming commencement of the quarterly blackout period. The prohibition on trading during the blackout periods is in addition to the general prohibition, which could apply at any time during the year, on trading while in possession of material, nonpublic information regarding the Company.</w:t>
      </w:r>
    </w:p>
    <w:p>
      <w:pPr>
        <w:spacing w:after="0" w:line="125" w:lineRule="exact"/>
        <w:rPr>
          <w:sz w:val="20"/>
          <w:szCs w:val="20"/>
          <w:color w:val="auto"/>
        </w:rPr>
      </w:pPr>
    </w:p>
    <w:p>
      <w:pPr>
        <w:jc w:val="both"/>
        <w:ind w:left="180" w:right="199" w:firstLine="492"/>
        <w:spacing w:after="0" w:line="287" w:lineRule="auto"/>
        <w:tabs>
          <w:tab w:leader="none" w:pos="956"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Pre-Clearance of all Trades. </w:t>
      </w:r>
      <w:r>
        <w:rPr>
          <w:rFonts w:ascii="Times New Roman" w:cs="Times New Roman" w:eastAsia="Times New Roman" w:hAnsi="Times New Roman"/>
          <w:sz w:val="16"/>
          <w:szCs w:val="16"/>
          <w:color w:val="auto"/>
        </w:rPr>
        <w:t>To prevent inadvertent violations and avoid even the appearance of inappropriate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transactions (which could result, for example, where an officer engages in a trade while unaware of a pending major development), the policy of the Company is the following:</w:t>
      </w:r>
    </w:p>
    <w:p>
      <w:pPr>
        <w:spacing w:after="0" w:line="128" w:lineRule="exact"/>
        <w:rPr>
          <w:sz w:val="20"/>
          <w:szCs w:val="20"/>
          <w:color w:val="auto"/>
        </w:rPr>
      </w:pPr>
    </w:p>
    <w:p>
      <w:pPr>
        <w:jc w:val="both"/>
        <w:ind w:left="180" w:right="199"/>
        <w:spacing w:after="0" w:line="275" w:lineRule="auto"/>
        <w:rPr>
          <w:sz w:val="20"/>
          <w:szCs w:val="20"/>
          <w:color w:val="auto"/>
        </w:rPr>
      </w:pPr>
      <w:r>
        <w:rPr>
          <w:rFonts w:ascii="Times New Roman" w:cs="Times New Roman" w:eastAsia="Times New Roman" w:hAnsi="Times New Roman"/>
          <w:sz w:val="16"/>
          <w:szCs w:val="16"/>
          <w:color w:val="auto"/>
        </w:rPr>
        <w:t>Before any director, Senior Officer or designated employee buys, sells or gifts any Company securities, or enters into a 10b5-1 trading plan, that person is required to notify, in writing, and receive, in writing, the pre-clearance of the Company’s General Counsel for the proposed transaction. General Counsel will generally respond - and approve or prohibit the proposed transaction - on the same business day, but no assurance can be given as to the timing of pre-clearance. Under certain circumstances, the Company may ask that person not to proceed with the proposed transaction. Additionally, because new material information could develop at any time, a pre-approved securities transaction should be completed promptly and, in any event, on the same day approval has been given. If the transaction is not completed, the director, Senior Officer or designated employee must notify General Counsel.</w:t>
      </w:r>
    </w:p>
    <w:p>
      <w:pPr>
        <w:spacing w:after="0" w:line="125" w:lineRule="exact"/>
        <w:rPr>
          <w:sz w:val="20"/>
          <w:szCs w:val="20"/>
          <w:color w:val="auto"/>
        </w:rPr>
      </w:pPr>
    </w:p>
    <w:p>
      <w:pPr>
        <w:ind w:left="180" w:right="199" w:firstLine="492"/>
        <w:spacing w:after="0" w:line="299" w:lineRule="auto"/>
        <w:tabs>
          <w:tab w:leader="none" w:pos="86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Notification of all Trades</w:t>
      </w:r>
      <w:r>
        <w:rPr>
          <w:rFonts w:ascii="Times New Roman" w:cs="Times New Roman" w:eastAsia="Times New Roman" w:hAnsi="Times New Roman"/>
          <w:sz w:val="16"/>
          <w:szCs w:val="16"/>
          <w:color w:val="auto"/>
        </w:rPr>
        <w:t>. To keep an accurate record of transactions in Company securities by individuals most likely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in possession of material non-public information, the Company is also implementing the following procedure:</w:t>
      </w:r>
    </w:p>
    <w:p>
      <w:pPr>
        <w:spacing w:after="0" w:line="118"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6"/>
          <w:szCs w:val="16"/>
          <w:color w:val="auto"/>
        </w:rPr>
        <w:t>Immediately after any transaction, any director, Senior Officer or designated employee that buys, sells, or gifts any Company securities, including pursuant to a 10b5-1 trading plan, must notify the Company’s General Counsel and Assistant Corporate Secretary describing in writing the detail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235585</wp:posOffset>
            </wp:positionV>
            <wp:extent cx="547751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0" w:name="page191"/>
    <w:bookmarkEnd w:id="190"/>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302" w:lineRule="exact"/>
        <w:rPr>
          <w:sz w:val="20"/>
          <w:szCs w:val="20"/>
          <w:color w:val="auto"/>
        </w:rPr>
      </w:pPr>
    </w:p>
    <w:p>
      <w:pPr>
        <w:jc w:val="both"/>
        <w:ind w:left="180" w:right="199"/>
        <w:spacing w:after="0" w:line="296" w:lineRule="auto"/>
        <w:rPr>
          <w:sz w:val="20"/>
          <w:szCs w:val="20"/>
          <w:color w:val="auto"/>
        </w:rPr>
      </w:pPr>
      <w:r>
        <w:rPr>
          <w:rFonts w:ascii="Times New Roman" w:cs="Times New Roman" w:eastAsia="Times New Roman" w:hAnsi="Times New Roman"/>
          <w:sz w:val="16"/>
          <w:szCs w:val="16"/>
          <w:color w:val="auto"/>
        </w:rPr>
        <w:t>The following positions are hereby designated “Senior Officer” positions for purposes of the Policy on participating in the market for the Company’s stock during the blackout periods and for the requirements of pre-clearance and notification of all trades: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 Named Executive Officers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 Executive Vice Presidents</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Director of Internal Audit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Assistant Corporate Secretary</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Executive Assistants</w:t>
      </w:r>
    </w:p>
    <w:p>
      <w:pPr>
        <w:spacing w:after="0" w:line="229"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6"/>
          <w:szCs w:val="16"/>
          <w:color w:val="auto"/>
        </w:rPr>
        <w:t>All Employees that work in Accounting, Audit, Corporate Planning, Marketing, and Treasury are designated employees for purposes of the Policy on participating in the market for the Company’s stock during the blackout periods and for the requirements of pre-clearance and notification of all trades and gifts.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1061085</wp:posOffset>
            </wp:positionV>
            <wp:extent cx="5477510"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1" w:name="page192"/>
    <w:bookmarkEnd w:id="191"/>
    <w:p>
      <w:pPr>
        <w:ind w:left="180"/>
        <w:spacing w:after="0"/>
        <w:rPr>
          <w:sz w:val="20"/>
          <w:szCs w:val="20"/>
          <w:color w:val="auto"/>
        </w:rPr>
      </w:pPr>
      <w:r>
        <w:rPr>
          <w:rFonts w:ascii="Times New Roman" w:cs="Times New Roman" w:eastAsia="Times New Roman" w:hAnsi="Times New Roman"/>
          <w:sz w:val="16"/>
          <w:szCs w:val="16"/>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16"/>
          <w:szCs w:val="16"/>
          <w:b w:val="1"/>
          <w:bCs w:val="1"/>
          <w:color w:val="auto"/>
        </w:rPr>
        <w:t>DIME COMMUNITY BANCSHARES, INC. &amp; DIME COMMUNITY BANK INSIDER TRADING POLICY AND CONFIDENTIALITY OF INFORMATION ACKNOWLEDGMENT FORM</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 certify that:</w:t>
      </w:r>
    </w:p>
    <w:p>
      <w:pPr>
        <w:spacing w:after="0" w:line="177" w:lineRule="exact"/>
        <w:rPr>
          <w:sz w:val="20"/>
          <w:szCs w:val="20"/>
          <w:color w:val="auto"/>
        </w:rPr>
      </w:pPr>
    </w:p>
    <w:p>
      <w:pPr>
        <w:jc w:val="both"/>
        <w:ind w:left="180" w:right="199"/>
        <w:spacing w:after="0" w:line="283" w:lineRule="auto"/>
        <w:rPr>
          <w:sz w:val="20"/>
          <w:szCs w:val="20"/>
          <w:color w:val="auto"/>
        </w:rPr>
      </w:pPr>
      <w:r>
        <w:rPr>
          <w:rFonts w:ascii="Times New Roman" w:cs="Times New Roman" w:eastAsia="Times New Roman" w:hAnsi="Times New Roman"/>
          <w:sz w:val="16"/>
          <w:szCs w:val="16"/>
          <w:color w:val="auto"/>
        </w:rPr>
        <w:t xml:space="preserve">I have read and understand the </w:t>
      </w:r>
      <w:r>
        <w:rPr>
          <w:rFonts w:ascii="Times New Roman" w:cs="Times New Roman" w:eastAsia="Times New Roman" w:hAnsi="Times New Roman"/>
          <w:sz w:val="16"/>
          <w:szCs w:val="16"/>
          <w:b w:val="1"/>
          <w:bCs w:val="1"/>
          <w:color w:val="auto"/>
        </w:rPr>
        <w:t>Insider Trading Policy and Confidentiality of Information</w:t>
      </w:r>
      <w:r>
        <w:rPr>
          <w:rFonts w:ascii="Times New Roman" w:cs="Times New Roman" w:eastAsia="Times New Roman" w:hAnsi="Times New Roman"/>
          <w:sz w:val="16"/>
          <w:szCs w:val="16"/>
          <w:color w:val="auto"/>
        </w:rPr>
        <w:t xml:space="preserve"> dated July 24, 2024 and the Addendum thereto covering backout periods and the pre-clearance procedures and notification of trades (collectively, the “Insider Trading Policy”). I understand that the General Counsel and Corporate Secretary is available to answer any questions I have regarding the Insider Trading Policy.</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 will comply with this Insider Trading Policy for as long as I am subject to the policy.</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Signature: ________________________</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Date: ___________________________</w:t>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Print Name: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267335</wp:posOffset>
            </wp:positionV>
            <wp:extent cx="5477510"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78"/>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21.1</w:t>
            </w:r>
          </w:p>
        </w:tc>
        <w:tc>
          <w:tcPr>
            <w:tcW w:w="16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322"/>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2"/>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Subsidiary of Dime Community Bancshares, Inc.:</w:t>
            </w: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0"/>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Percent Owned</w:t>
            </w:r>
          </w:p>
        </w:tc>
      </w:tr>
      <w:tr>
        <w:trPr>
          <w:trHeight w:val="174"/>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Community Bank</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322"/>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Subsidiaries of Dime Community Bank:</w:t>
            </w: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0"/>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Percent Owned</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195 Havemeyer Corp.</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Boulevard Funding Corporation</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Abstract LLC</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Equipment Corp.</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Land Corp.</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Financial Services, Inc.</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59"/>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Community, Inc.</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3"/>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Insurance Agency Inc. (</w:t>
            </w:r>
            <w:r>
              <w:rPr>
                <w:rFonts w:ascii="Times New Roman" w:cs="Times New Roman" w:eastAsia="Times New Roman" w:hAnsi="Times New Roman"/>
                <w:sz w:val="13"/>
                <w:szCs w:val="13"/>
                <w:i w:val="1"/>
                <w:iCs w:val="1"/>
                <w:color w:val="auto"/>
              </w:rPr>
              <w:t>f/k/a</w:t>
            </w:r>
            <w:r>
              <w:rPr>
                <w:rFonts w:ascii="Times New Roman" w:cs="Times New Roman" w:eastAsia="Times New Roman" w:hAnsi="Times New Roman"/>
                <w:sz w:val="13"/>
                <w:szCs w:val="13"/>
                <w:color w:val="auto"/>
              </w:rPr>
              <w:t xml:space="preserve"> Havemeyer Investments,</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New York</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Inc.)</w:t>
            </w:r>
          </w:p>
        </w:tc>
        <w:tc>
          <w:tcPr>
            <w:tcW w:w="168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74"/>
        </w:trPr>
        <w:tc>
          <w:tcPr>
            <w:tcW w:w="38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Dime Reinvestment Corporation</w:t>
            </w:r>
          </w:p>
        </w:tc>
        <w:tc>
          <w:tcPr>
            <w:tcW w:w="1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Delaware</w:t>
            </w:r>
          </w:p>
        </w:tc>
        <w:tc>
          <w:tcPr>
            <w:tcW w:w="44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100%</w:t>
            </w:r>
          </w:p>
        </w:tc>
      </w:tr>
      <w:tr>
        <w:trPr>
          <w:trHeight w:val="575"/>
        </w:trPr>
        <w:tc>
          <w:tcPr>
            <w:tcW w:w="38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3" w:right="9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Statements on Form S-3 (Nos. 333-264390 and 333-199123) and on Form S-8 (Nos. 333-187262, 333-225221, 333-233406, 333-257220 and 333-253391) of Dime Community Bancshares, Inc. of our report dated February 20, 2025, relating to the consolidated financial statements of Dime Community Bancshares, Inc. and Subsidiaries and the effectiveness of internal control over financial reporting, which report appears in this Annual Report on Form 10-K of Dime Community Bancshares, Inc.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200025</wp:posOffset>
            </wp:positionV>
            <wp:extent cx="960120" cy="3778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960120"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-92710</wp:posOffset>
            </wp:positionV>
            <wp:extent cx="31610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3161030" cy="635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Livingston, New Jersey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632269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6322695" cy="1905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 OF PRINCIPAL EXECUTIVE OFFICER PURSUANT TO RULE 13A-14(A)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Stuart H. Lubow, certify that:</w:t>
      </w:r>
    </w:p>
    <w:p>
      <w:pPr>
        <w:spacing w:after="0" w:line="173" w:lineRule="exact"/>
        <w:rPr>
          <w:sz w:val="20"/>
          <w:szCs w:val="20"/>
          <w:color w:val="auto"/>
        </w:rPr>
      </w:pPr>
    </w:p>
    <w:p>
      <w:pPr>
        <w:ind w:left="500" w:hanging="496"/>
        <w:spacing w:after="0"/>
        <w:tabs>
          <w:tab w:leader="none" w:pos="50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Dime Community Bancshares, Inc.;</w:t>
      </w:r>
    </w:p>
    <w:p>
      <w:pPr>
        <w:spacing w:after="0" w:line="172" w:lineRule="exact"/>
        <w:rPr>
          <w:rFonts w:ascii="Times New Roman" w:cs="Times New Roman" w:eastAsia="Times New Roman" w:hAnsi="Times New Roman"/>
          <w:sz w:val="13"/>
          <w:szCs w:val="13"/>
          <w:color w:val="auto"/>
        </w:rPr>
      </w:pPr>
    </w:p>
    <w:p>
      <w:pPr>
        <w:ind w:left="480" w:hanging="476"/>
        <w:spacing w:after="0" w:line="297" w:lineRule="auto"/>
        <w:tabs>
          <w:tab w:leader="none" w:pos="518"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13"/>
          <w:szCs w:val="13"/>
          <w:color w:val="auto"/>
        </w:rPr>
      </w:pPr>
    </w:p>
    <w:p>
      <w:pPr>
        <w:ind w:left="480" w:hanging="476"/>
        <w:spacing w:after="0" w:line="297" w:lineRule="auto"/>
        <w:tabs>
          <w:tab w:leader="none" w:pos="488"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Times New Roman" w:cs="Times New Roman" w:eastAsia="Times New Roman" w:hAnsi="Times New Roman"/>
          <w:sz w:val="13"/>
          <w:szCs w:val="13"/>
          <w:color w:val="auto"/>
        </w:rPr>
      </w:pPr>
    </w:p>
    <w:p>
      <w:pPr>
        <w:ind w:left="480" w:hanging="476"/>
        <w:spacing w:after="0" w:line="297" w:lineRule="auto"/>
        <w:tabs>
          <w:tab w:leader="none" w:pos="518"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081"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132"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3"/>
          <w:szCs w:val="13"/>
          <w:color w:val="auto"/>
        </w:rPr>
      </w:pPr>
    </w:p>
    <w:p>
      <w:pPr>
        <w:ind w:left="980" w:hanging="492"/>
        <w:spacing w:after="0" w:line="297" w:lineRule="auto"/>
        <w:tabs>
          <w:tab w:leader="none" w:pos="1017"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125"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5" w:lineRule="exact"/>
        <w:rPr>
          <w:rFonts w:ascii="Times New Roman" w:cs="Times New Roman" w:eastAsia="Times New Roman" w:hAnsi="Times New Roman"/>
          <w:sz w:val="13"/>
          <w:szCs w:val="13"/>
          <w:color w:val="auto"/>
        </w:rPr>
      </w:pPr>
    </w:p>
    <w:p>
      <w:pPr>
        <w:ind w:left="480" w:hanging="476"/>
        <w:spacing w:after="0" w:line="297" w:lineRule="auto"/>
        <w:tabs>
          <w:tab w:leader="none" w:pos="493"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Times New Roman" w:cs="Times New Roman" w:eastAsia="Times New Roman" w:hAnsi="Times New Roman"/>
          <w:sz w:val="13"/>
          <w:szCs w:val="13"/>
          <w:color w:val="auto"/>
        </w:rPr>
      </w:pPr>
    </w:p>
    <w:p>
      <w:pPr>
        <w:ind w:left="980" w:hanging="492"/>
        <w:spacing w:after="0" w:line="297" w:lineRule="auto"/>
        <w:tabs>
          <w:tab w:leader="none" w:pos="1081"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3"/>
          <w:szCs w:val="13"/>
          <w:color w:val="auto"/>
        </w:rPr>
      </w:pPr>
    </w:p>
    <w:p>
      <w:pPr>
        <w:ind w:left="980" w:hanging="492"/>
        <w:spacing w:after="0" w:line="268" w:lineRule="auto"/>
        <w:tabs>
          <w:tab w:leader="none" w:pos="1129"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February 20,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Stuart H. Lubow</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32269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6322695"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632269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6322695" cy="1905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 OF PRINCIPAL FINANCIAL OFFICER PURSUANT TO RULE 13A-14(A)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Avinash Reddy, certify that:</w:t>
      </w:r>
    </w:p>
    <w:p>
      <w:pPr>
        <w:spacing w:after="0" w:line="173" w:lineRule="exact"/>
        <w:rPr>
          <w:sz w:val="20"/>
          <w:szCs w:val="20"/>
          <w:color w:val="auto"/>
        </w:rPr>
      </w:pPr>
    </w:p>
    <w:p>
      <w:pPr>
        <w:ind w:left="480" w:hanging="476"/>
        <w:spacing w:after="0"/>
        <w:tabs>
          <w:tab w:leader="none" w:pos="48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Dime Community Bancshares, Inc.;</w:t>
      </w:r>
    </w:p>
    <w:p>
      <w:pPr>
        <w:spacing w:after="0" w:line="172" w:lineRule="exact"/>
        <w:rPr>
          <w:rFonts w:ascii="Times New Roman" w:cs="Times New Roman" w:eastAsia="Times New Roman" w:hAnsi="Times New Roman"/>
          <w:sz w:val="13"/>
          <w:szCs w:val="13"/>
          <w:color w:val="auto"/>
        </w:rPr>
      </w:pPr>
    </w:p>
    <w:p>
      <w:pPr>
        <w:ind w:left="480" w:hanging="476"/>
        <w:spacing w:after="0" w:line="297" w:lineRule="auto"/>
        <w:tabs>
          <w:tab w:leader="none" w:pos="515"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13"/>
          <w:szCs w:val="13"/>
          <w:color w:val="auto"/>
        </w:rPr>
      </w:pPr>
    </w:p>
    <w:p>
      <w:pPr>
        <w:ind w:left="480" w:hanging="476"/>
        <w:spacing w:after="0" w:line="297" w:lineRule="auto"/>
        <w:tabs>
          <w:tab w:leader="none" w:pos="487"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Times New Roman" w:cs="Times New Roman" w:eastAsia="Times New Roman" w:hAnsi="Times New Roman"/>
          <w:sz w:val="13"/>
          <w:szCs w:val="13"/>
          <w:color w:val="auto"/>
        </w:rPr>
      </w:pPr>
    </w:p>
    <w:p>
      <w:pPr>
        <w:ind w:left="480" w:hanging="476"/>
        <w:spacing w:after="0" w:line="297" w:lineRule="auto"/>
        <w:tabs>
          <w:tab w:leader="none" w:pos="514"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07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119"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3"/>
          <w:szCs w:val="13"/>
          <w:color w:val="auto"/>
        </w:rPr>
      </w:pPr>
    </w:p>
    <w:p>
      <w:pPr>
        <w:ind w:left="980" w:hanging="492"/>
        <w:spacing w:after="0" w:line="297" w:lineRule="auto"/>
        <w:tabs>
          <w:tab w:leader="none" w:pos="101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13"/>
          <w:szCs w:val="13"/>
          <w:color w:val="auto"/>
        </w:rPr>
      </w:pPr>
    </w:p>
    <w:p>
      <w:pPr>
        <w:jc w:val="both"/>
        <w:ind w:left="980" w:hanging="492"/>
        <w:spacing w:after="0" w:line="278" w:lineRule="auto"/>
        <w:tabs>
          <w:tab w:leader="none" w:pos="111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5" w:lineRule="exact"/>
        <w:rPr>
          <w:rFonts w:ascii="Times New Roman" w:cs="Times New Roman" w:eastAsia="Times New Roman" w:hAnsi="Times New Roman"/>
          <w:sz w:val="13"/>
          <w:szCs w:val="13"/>
          <w:color w:val="auto"/>
        </w:rPr>
      </w:pPr>
    </w:p>
    <w:p>
      <w:pPr>
        <w:ind w:left="480" w:hanging="476"/>
        <w:spacing w:after="0" w:line="297" w:lineRule="auto"/>
        <w:tabs>
          <w:tab w:leader="none" w:pos="493"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Times New Roman" w:cs="Times New Roman" w:eastAsia="Times New Roman" w:hAnsi="Times New Roman"/>
          <w:sz w:val="13"/>
          <w:szCs w:val="13"/>
          <w:color w:val="auto"/>
        </w:rPr>
      </w:pPr>
    </w:p>
    <w:p>
      <w:pPr>
        <w:ind w:left="980" w:hanging="492"/>
        <w:spacing w:after="0" w:line="297" w:lineRule="auto"/>
        <w:tabs>
          <w:tab w:leader="none" w:pos="107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3"/>
          <w:szCs w:val="13"/>
          <w:color w:val="auto"/>
        </w:rPr>
      </w:pPr>
    </w:p>
    <w:p>
      <w:pPr>
        <w:ind w:left="980" w:hanging="492"/>
        <w:spacing w:after="0" w:line="268" w:lineRule="auto"/>
        <w:tabs>
          <w:tab w:leader="none" w:pos="1147"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February 20,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Avinash Reddy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32269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6322695"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Senior Executive Vice President, 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632269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6322695" cy="1905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196" w:name="page197"/>
    <w:bookmarkEnd w:id="196"/>
    <w:p>
      <w:pPr>
        <w:jc w:val="both"/>
        <w:spacing w:after="0" w:line="278" w:lineRule="auto"/>
        <w:rPr>
          <w:sz w:val="20"/>
          <w:szCs w:val="20"/>
          <w:color w:val="auto"/>
        </w:rPr>
      </w:pPr>
      <w:r>
        <w:rPr>
          <w:rFonts w:ascii="Times New Roman" w:cs="Times New Roman" w:eastAsia="Times New Roman" w:hAnsi="Times New Roman"/>
          <w:sz w:val="13"/>
          <w:szCs w:val="13"/>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CERTIFICATION PURSUANT TO RULE 13A-14(B) 18 U.S.C. SECTION 1350,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In connection with the Annual Report of Dime Community Bancshares, Inc. (the “Company”) on Form 10-K for the year ended December 31, 2024 as filed with the Securities and Exchange Commission on February 20, 2025, (the “Report”), we, Stuart H. Lubow, President and Chief Executive Officer of the Company and, Avinash Reddy, Senior Executive Vice President and Chief Financial Officer of the Company, hereby certify, pursuant to 18 U.S.C. Section 1350, as adopted pursuant to Section 906 of the Sarbanes-Oxley Act of 2002, that:</w:t>
      </w:r>
    </w:p>
    <w:p>
      <w:pPr>
        <w:spacing w:after="0" w:line="125" w:lineRule="exact"/>
        <w:rPr>
          <w:sz w:val="20"/>
          <w:szCs w:val="20"/>
          <w:color w:val="auto"/>
        </w:rPr>
      </w:pPr>
    </w:p>
    <w:p>
      <w:pPr>
        <w:ind w:left="980" w:hanging="492"/>
        <w:spacing w:after="0"/>
        <w:tabs>
          <w:tab w:leader="none" w:pos="98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72" w:lineRule="exact"/>
        <w:rPr>
          <w:rFonts w:ascii="Times New Roman" w:cs="Times New Roman" w:eastAsia="Times New Roman" w:hAnsi="Times New Roman"/>
          <w:sz w:val="13"/>
          <w:szCs w:val="13"/>
          <w:color w:val="auto"/>
        </w:rPr>
      </w:pPr>
    </w:p>
    <w:p>
      <w:pPr>
        <w:ind w:left="980" w:hanging="492"/>
        <w:spacing w:after="0"/>
        <w:tabs>
          <w:tab w:leader="none" w:pos="98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Date: February 20,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Stuart H. Lubow</w:t>
            </w:r>
          </w:p>
        </w:tc>
      </w:tr>
      <w:tr>
        <w:trPr>
          <w:trHeight w:val="139"/>
        </w:trPr>
        <w:tc>
          <w:tcPr>
            <w:tcW w:w="5000" w:type="dxa"/>
            <w:vAlign w:val="bottom"/>
          </w:tcPr>
          <w:p>
            <w:pPr>
              <w:spacing w:after="0"/>
              <w:rPr>
                <w:sz w:val="12"/>
                <w:szCs w:val="12"/>
                <w:color w:val="auto"/>
              </w:rPr>
            </w:pPr>
          </w:p>
        </w:tc>
        <w:tc>
          <w:tcPr>
            <w:tcW w:w="49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Stuart H. Lubow</w:t>
            </w:r>
          </w:p>
        </w:tc>
      </w:tr>
      <w:tr>
        <w:trPr>
          <w:trHeight w:val="174"/>
        </w:trPr>
        <w:tc>
          <w:tcPr>
            <w:tcW w:w="50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272"/>
        </w:trPr>
        <w:tc>
          <w:tcPr>
            <w:tcW w:w="5000" w:type="dxa"/>
            <w:vAlign w:val="bottom"/>
          </w:tcPr>
          <w:p>
            <w:pPr>
              <w:spacing w:after="0"/>
              <w:rPr>
                <w:sz w:val="23"/>
                <w:szCs w:val="23"/>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Avinash Reddy</w:t>
            </w:r>
          </w:p>
        </w:tc>
      </w:tr>
      <w:tr>
        <w:trPr>
          <w:trHeight w:val="139"/>
        </w:trPr>
        <w:tc>
          <w:tcPr>
            <w:tcW w:w="5000" w:type="dxa"/>
            <w:vAlign w:val="bottom"/>
          </w:tcPr>
          <w:p>
            <w:pPr>
              <w:spacing w:after="0"/>
              <w:rPr>
                <w:sz w:val="12"/>
                <w:szCs w:val="12"/>
                <w:color w:val="auto"/>
              </w:rPr>
            </w:pPr>
          </w:p>
        </w:tc>
        <w:tc>
          <w:tcPr>
            <w:tcW w:w="49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Avinash Reddy</w:t>
            </w:r>
          </w:p>
        </w:tc>
      </w:tr>
      <w:tr>
        <w:trPr>
          <w:trHeight w:val="174"/>
        </w:trPr>
        <w:tc>
          <w:tcPr>
            <w:tcW w:w="50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Senior Executive Vice President, Chief Financial Officer and Principal Accounting Officer</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signed original of this written statement required by Section 906 has been provided to Dime Community Bancshares, Inc. and will be retained by Dime Community Bancshares,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632269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632269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197" w:name="page198"/>
    <w:bookmarkEnd w:id="197"/>
    <w:p>
      <w:pPr>
        <w:ind w:left="180"/>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200" w:lineRule="exact"/>
        <w:rPr>
          <w:sz w:val="20"/>
          <w:szCs w:val="20"/>
          <w:color w:val="auto"/>
        </w:rPr>
      </w:pPr>
    </w:p>
    <w:p>
      <w:pPr>
        <w:spacing w:after="0" w:line="2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u w:val="single" w:color="auto"/>
          <w:color w:val="auto"/>
        </w:rPr>
        <w:t>DIME COMMUNITY BANCSHARES, INC. CLAWBACK POLICY</w:t>
      </w:r>
    </w:p>
    <w:p>
      <w:pPr>
        <w:spacing w:after="0" w:line="204" w:lineRule="exact"/>
        <w:rPr>
          <w:sz w:val="20"/>
          <w:szCs w:val="20"/>
          <w:color w:val="auto"/>
        </w:rPr>
      </w:pPr>
    </w:p>
    <w:p>
      <w:pPr>
        <w:jc w:val="both"/>
        <w:ind w:left="180" w:right="199" w:firstLine="484"/>
        <w:spacing w:after="0" w:line="292" w:lineRule="auto"/>
        <w:rPr>
          <w:sz w:val="20"/>
          <w:szCs w:val="20"/>
          <w:color w:val="auto"/>
        </w:rPr>
      </w:pPr>
      <w:r>
        <w:rPr>
          <w:rFonts w:ascii="Times New Roman" w:cs="Times New Roman" w:eastAsia="Times New Roman" w:hAnsi="Times New Roman"/>
          <w:sz w:val="15"/>
          <w:szCs w:val="15"/>
          <w:color w:val="auto"/>
        </w:rPr>
        <w:t>The Board of Directors (the “Board”) of Dime Community Bancshares, Inc. (the “Company”) believes that it is in the best interests of the Company and its shareholders to adopt this Clawback Policy (this “Policy”), which provides for the recovery of certain incentive compensation in the event of an accounting restatement.</w:t>
      </w:r>
    </w:p>
    <w:p>
      <w:pPr>
        <w:spacing w:after="0" w:line="136" w:lineRule="exact"/>
        <w:rPr>
          <w:sz w:val="20"/>
          <w:szCs w:val="20"/>
          <w:color w:val="auto"/>
        </w:rPr>
      </w:pPr>
    </w:p>
    <w:p>
      <w:pPr>
        <w:jc w:val="both"/>
        <w:ind w:left="180" w:right="199" w:firstLine="522"/>
        <w:spacing w:after="0" w:line="263" w:lineRule="auto"/>
        <w:rPr>
          <w:sz w:val="20"/>
          <w:szCs w:val="20"/>
          <w:color w:val="auto"/>
        </w:rPr>
      </w:pPr>
      <w:r>
        <w:rPr>
          <w:rFonts w:ascii="Times New Roman" w:cs="Times New Roman" w:eastAsia="Times New Roman" w:hAnsi="Times New Roman"/>
          <w:sz w:val="15"/>
          <w:szCs w:val="15"/>
          <w:color w:val="auto"/>
        </w:rPr>
        <w:t>The Company has adopted this Policy as a supplement to any other clawback policies or provisions in effect now or in the future at the Company. To the extent this Policy applies to compensation payable to a person covered by this Policy, it shall supersede any other conflicting provision or policy maintained by the Company and shall be the only clawback policy applicable to such compensation and no other clawback policy shall apply; provided that, if such other policy or provision provides that a greater amount of such compensation shall be subject to clawback, such other policy or provision shall apply to the amount in excess of the amount subject to clawback under this Policy.</w:t>
      </w:r>
    </w:p>
    <w:p>
      <w:pPr>
        <w:spacing w:after="0" w:line="345" w:lineRule="exact"/>
        <w:rPr>
          <w:sz w:val="20"/>
          <w:szCs w:val="20"/>
          <w:color w:val="auto"/>
        </w:rPr>
      </w:pPr>
    </w:p>
    <w:p>
      <w:pPr>
        <w:jc w:val="both"/>
        <w:ind w:left="180" w:right="199" w:firstLine="484"/>
        <w:spacing w:after="0" w:line="269" w:lineRule="auto"/>
        <w:rPr>
          <w:sz w:val="20"/>
          <w:szCs w:val="20"/>
          <w:color w:val="auto"/>
        </w:rPr>
      </w:pPr>
      <w:r>
        <w:rPr>
          <w:rFonts w:ascii="Times New Roman" w:cs="Times New Roman" w:eastAsia="Times New Roman" w:hAnsi="Times New Roman"/>
          <w:sz w:val="15"/>
          <w:szCs w:val="15"/>
          <w:color w:val="auto"/>
        </w:rPr>
        <w:t>This Policy shall be interpreted to comply with the clawback rules found in 17 C.F.R. §240.10D and the related listing rules of the national securities exchange or national securities association (the “Exchange”) on which the Company has listed securities, and, to the extent this Policy is any manner deemed inconsistent with such rules, this Policy shall be treated as retroactively amended to be compliant with such rules.</w:t>
      </w:r>
    </w:p>
    <w:p>
      <w:pPr>
        <w:spacing w:after="0" w:line="154" w:lineRule="exact"/>
        <w:rPr>
          <w:sz w:val="20"/>
          <w:szCs w:val="20"/>
          <w:color w:val="auto"/>
        </w:rPr>
      </w:pPr>
    </w:p>
    <w:p>
      <w:pPr>
        <w:ind w:left="180" w:right="199" w:firstLine="8"/>
        <w:spacing w:after="0" w:line="290" w:lineRule="auto"/>
        <w:tabs>
          <w:tab w:leader="none" w:pos="373"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The terms “Executive Officer”, “Incentive-Based Compensation”, and “Received” shall have the same meaning as defined in regulation 17 C.F.R. §240.10D-1(d).</w:t>
      </w:r>
    </w:p>
    <w:p>
      <w:pPr>
        <w:spacing w:after="0" w:line="147" w:lineRule="exact"/>
        <w:rPr>
          <w:rFonts w:ascii="Times New Roman" w:cs="Times New Roman" w:eastAsia="Times New Roman" w:hAnsi="Times New Roman"/>
          <w:sz w:val="15"/>
          <w:szCs w:val="15"/>
          <w:color w:val="auto"/>
        </w:rPr>
      </w:pPr>
    </w:p>
    <w:p>
      <w:pPr>
        <w:jc w:val="both"/>
        <w:ind w:left="180" w:right="199" w:firstLine="8"/>
        <w:spacing w:after="0" w:line="263" w:lineRule="auto"/>
        <w:tabs>
          <w:tab w:leader="none" w:pos="383"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Application of the Policy.</w:t>
      </w:r>
      <w:r>
        <w:rPr>
          <w:rFonts w:ascii="Times New Roman" w:cs="Times New Roman" w:eastAsia="Times New Roman" w:hAnsi="Times New Roman"/>
          <w:sz w:val="15"/>
          <w:szCs w:val="15"/>
          <w:color w:val="auto"/>
        </w:rPr>
        <w:t xml:space="preserve"> This Policy shall only apply in the event that the Company is required to prepare an accounting restatement due to its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352" w:lineRule="exact"/>
        <w:rPr>
          <w:rFonts w:ascii="Times New Roman" w:cs="Times New Roman" w:eastAsia="Times New Roman" w:hAnsi="Times New Roman"/>
          <w:sz w:val="15"/>
          <w:szCs w:val="15"/>
          <w:color w:val="auto"/>
        </w:rPr>
      </w:pPr>
    </w:p>
    <w:p>
      <w:pPr>
        <w:jc w:val="both"/>
        <w:ind w:left="180" w:right="199" w:firstLine="8"/>
        <w:spacing w:after="0" w:line="265" w:lineRule="auto"/>
        <w:tabs>
          <w:tab w:leader="none" w:pos="393"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Recovery Period</w:t>
      </w:r>
      <w:r>
        <w:rPr>
          <w:rFonts w:ascii="Times New Roman" w:cs="Times New Roman" w:eastAsia="Times New Roman" w:hAnsi="Times New Roman"/>
          <w:sz w:val="15"/>
          <w:szCs w:val="15"/>
          <w:color w:val="auto"/>
        </w:rPr>
        <w:t>. The Incentive-Based Compensation subject to clawback is the Incentive-Based Compensation Received during the three completed fiscal years immediately preceding the date that the Company is required to prepare an accounting restatement as described in Section 2; provided that the individual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156" w:lineRule="exact"/>
        <w:rPr>
          <w:rFonts w:ascii="Times New Roman" w:cs="Times New Roman" w:eastAsia="Times New Roman" w:hAnsi="Times New Roman"/>
          <w:sz w:val="15"/>
          <w:szCs w:val="15"/>
          <w:color w:val="auto"/>
        </w:rPr>
      </w:pPr>
    </w:p>
    <w:p>
      <w:pPr>
        <w:ind w:left="680" w:right="199" w:hanging="8"/>
        <w:spacing w:after="0" w:line="290" w:lineRule="auto"/>
        <w:tabs>
          <w:tab w:leader="none" w:pos="968"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the Policy shall only apply if the Incentive-Based Compensation is Received (1) while the Company has a class of securities listed on an Exchange and (2) on or after October 2, 2023.</w:t>
      </w:r>
    </w:p>
    <w:p>
      <w:pPr>
        <w:spacing w:after="0" w:line="137" w:lineRule="exact"/>
        <w:rPr>
          <w:rFonts w:ascii="Times New Roman" w:cs="Times New Roman" w:eastAsia="Times New Roman" w:hAnsi="Times New Roman"/>
          <w:sz w:val="15"/>
          <w:szCs w:val="15"/>
          <w:color w:val="auto"/>
        </w:rPr>
      </w:pPr>
    </w:p>
    <w:p>
      <w:pPr>
        <w:ind w:left="680" w:right="199" w:hanging="8"/>
        <w:spacing w:after="0" w:line="304" w:lineRule="auto"/>
        <w:tabs>
          <w:tab w:leader="none" w:pos="101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17 C.F.R. §240.10D-1(b)(1)(i)(D) for certain circumstances under which this Policy will apply to Incentive-Based Compensation received during a transition period arising due to a change in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453390</wp:posOffset>
            </wp:positionV>
            <wp:extent cx="547751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98" w:name="page199"/>
    <w:bookmarkEnd w:id="198"/>
    <w:p>
      <w:pPr>
        <w:ind w:left="180"/>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300" w:lineRule="exact"/>
        <w:rPr>
          <w:sz w:val="20"/>
          <w:szCs w:val="20"/>
          <w:color w:val="auto"/>
        </w:rPr>
      </w:pPr>
    </w:p>
    <w:p>
      <w:pPr>
        <w:jc w:val="both"/>
        <w:ind w:left="180" w:right="199" w:firstLine="8"/>
        <w:spacing w:after="0" w:line="269" w:lineRule="auto"/>
        <w:tabs>
          <w:tab w:leader="none" w:pos="511"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Erroneously Awarded Compensation.</w:t>
      </w:r>
      <w:r>
        <w:rPr>
          <w:rFonts w:ascii="Times New Roman" w:cs="Times New Roman" w:eastAsia="Times New Roman" w:hAnsi="Times New Roman"/>
          <w:sz w:val="15"/>
          <w:szCs w:val="15"/>
          <w:color w:val="auto"/>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in the Company’s financial statements and shall be computed without regard to any taxes paid.</w:t>
      </w:r>
    </w:p>
    <w:p>
      <w:pPr>
        <w:spacing w:after="0" w:line="153" w:lineRule="exact"/>
        <w:rPr>
          <w:rFonts w:ascii="Times New Roman" w:cs="Times New Roman" w:eastAsia="Times New Roman" w:hAnsi="Times New Roman"/>
          <w:sz w:val="15"/>
          <w:szCs w:val="15"/>
          <w:color w:val="auto"/>
        </w:rPr>
      </w:pPr>
    </w:p>
    <w:p>
      <w:pPr>
        <w:jc w:val="both"/>
        <w:ind w:left="680" w:right="199" w:hanging="8"/>
        <w:spacing w:after="0" w:line="265" w:lineRule="auto"/>
        <w:tabs>
          <w:tab w:leader="none" w:pos="932"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Incentive-Based Compensation based on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w:t>
      </w:r>
    </w:p>
    <w:p>
      <w:pPr>
        <w:spacing w:after="0" w:line="156" w:lineRule="exact"/>
        <w:rPr>
          <w:rFonts w:ascii="Times New Roman" w:cs="Times New Roman" w:eastAsia="Times New Roman" w:hAnsi="Times New Roman"/>
          <w:sz w:val="15"/>
          <w:szCs w:val="15"/>
          <w:color w:val="auto"/>
        </w:rPr>
      </w:pPr>
    </w:p>
    <w:p>
      <w:pPr>
        <w:jc w:val="both"/>
        <w:ind w:left="180" w:right="199" w:firstLine="8"/>
        <w:spacing w:after="0" w:line="262" w:lineRule="auto"/>
        <w:tabs>
          <w:tab w:leader="none" w:pos="383"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Recovery Exceptions</w:t>
      </w:r>
      <w:r>
        <w:rPr>
          <w:rFonts w:ascii="Times New Roman" w:cs="Times New Roman" w:eastAsia="Times New Roman" w:hAnsi="Times New Roman"/>
          <w:sz w:val="15"/>
          <w:szCs w:val="15"/>
          <w:color w:val="auto"/>
        </w:rPr>
        <w:t>. The Company shall recover reasonably promptly any Erroneously Awarded Compensation except to the extent that the conditions of paragraphs (a), (b), or (c) below apply. The Compensation and Human Resources Committee of the Board of Directors (the “Committee”) shall determine the repayment schedule for each amount of Erroneously Awarded Compensation in a manner that complies with this “reasonably promptly” requirement. Such determination shall be consistent with any applicable legal guidance, by the Securities and Exchange Commission, judicial opinion, or otherwise. The determination of “reasonably promptly” may vary from case to case and the Committee is authorized to adopt additional rules to further describe what repayment schedules satisfy this requirement.</w:t>
      </w:r>
    </w:p>
    <w:p>
      <w:pPr>
        <w:spacing w:after="0" w:line="170" w:lineRule="exact"/>
        <w:rPr>
          <w:rFonts w:ascii="Times New Roman" w:cs="Times New Roman" w:eastAsia="Times New Roman" w:hAnsi="Times New Roman"/>
          <w:sz w:val="15"/>
          <w:szCs w:val="15"/>
          <w:color w:val="auto"/>
        </w:rPr>
      </w:pPr>
    </w:p>
    <w:p>
      <w:pPr>
        <w:jc w:val="both"/>
        <w:ind w:left="680" w:right="199" w:hanging="8"/>
        <w:spacing w:after="0" w:line="265" w:lineRule="auto"/>
        <w:tabs>
          <w:tab w:leader="none" w:pos="898"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as required.</w:t>
      </w:r>
    </w:p>
    <w:p>
      <w:pPr>
        <w:spacing w:after="0" w:line="156" w:lineRule="exact"/>
        <w:rPr>
          <w:rFonts w:ascii="Times New Roman" w:cs="Times New Roman" w:eastAsia="Times New Roman" w:hAnsi="Times New Roman"/>
          <w:sz w:val="15"/>
          <w:szCs w:val="15"/>
          <w:color w:val="auto"/>
        </w:rPr>
      </w:pPr>
    </w:p>
    <w:p>
      <w:pPr>
        <w:jc w:val="both"/>
        <w:ind w:left="680" w:right="199" w:hanging="8"/>
        <w:spacing w:after="0" w:line="267" w:lineRule="auto"/>
        <w:tabs>
          <w:tab w:leader="none" w:pos="912"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340" w:lineRule="exact"/>
        <w:rPr>
          <w:rFonts w:ascii="Times New Roman" w:cs="Times New Roman" w:eastAsia="Times New Roman" w:hAnsi="Times New Roman"/>
          <w:sz w:val="15"/>
          <w:szCs w:val="15"/>
          <w:color w:val="auto"/>
        </w:rPr>
      </w:pPr>
    </w:p>
    <w:p>
      <w:pPr>
        <w:jc w:val="both"/>
        <w:ind w:left="680" w:right="199" w:hanging="8"/>
        <w:spacing w:after="0" w:line="271" w:lineRule="auto"/>
        <w:tabs>
          <w:tab w:leader="none" w:pos="892"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regulations thereunder.</w:t>
      </w:r>
    </w:p>
    <w:p>
      <w:pPr>
        <w:spacing w:after="0" w:line="163" w:lineRule="exact"/>
        <w:rPr>
          <w:rFonts w:ascii="Times New Roman" w:cs="Times New Roman" w:eastAsia="Times New Roman" w:hAnsi="Times New Roman"/>
          <w:sz w:val="15"/>
          <w:szCs w:val="15"/>
          <w:color w:val="auto"/>
        </w:rPr>
      </w:pPr>
    </w:p>
    <w:p>
      <w:pPr>
        <w:ind w:left="180" w:right="199" w:firstLine="8"/>
        <w:spacing w:after="0" w:line="283" w:lineRule="auto"/>
        <w:tabs>
          <w:tab w:leader="none" w:pos="423"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Committee Decisions.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Decisions of the Committee with respect to this Policy shall be final, conclusive and binding on all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Executive Officers subject to this Policy, unless determined by a court of competent jurisdiction to be an abuse of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460375</wp:posOffset>
            </wp:positionV>
            <wp:extent cx="5477510"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199" w:name="page200"/>
    <w:bookmarkEnd w:id="199"/>
    <w:p>
      <w:pPr>
        <w:ind w:left="180"/>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300" w:lineRule="exact"/>
        <w:rPr>
          <w:sz w:val="20"/>
          <w:szCs w:val="20"/>
          <w:color w:val="auto"/>
        </w:rPr>
      </w:pPr>
    </w:p>
    <w:p>
      <w:pPr>
        <w:jc w:val="both"/>
        <w:ind w:left="180" w:right="199" w:firstLine="8"/>
        <w:spacing w:after="0" w:line="271" w:lineRule="auto"/>
        <w:tabs>
          <w:tab w:leader="none" w:pos="413"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Indemnification</w:t>
      </w:r>
      <w:r>
        <w:rPr>
          <w:rFonts w:ascii="Times New Roman" w:cs="Times New Roman" w:eastAsia="Times New Roman" w:hAnsi="Times New Roman"/>
          <w:sz w:val="15"/>
          <w:szCs w:val="15"/>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61" w:lineRule="exact"/>
        <w:rPr>
          <w:rFonts w:ascii="Times New Roman" w:cs="Times New Roman" w:eastAsia="Times New Roman" w:hAnsi="Times New Roman"/>
          <w:sz w:val="15"/>
          <w:szCs w:val="15"/>
          <w:color w:val="auto"/>
        </w:rPr>
      </w:pPr>
    </w:p>
    <w:p>
      <w:pPr>
        <w:ind w:left="180" w:right="199" w:firstLine="8"/>
        <w:spacing w:after="0" w:line="290" w:lineRule="auto"/>
        <w:tabs>
          <w:tab w:leader="none" w:pos="383"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to Policy by Executive Officers</w:t>
      </w:r>
      <w:r>
        <w:rPr>
          <w:rFonts w:ascii="Times New Roman" w:cs="Times New Roman" w:eastAsia="Times New Roman" w:hAnsi="Times New Roman"/>
          <w:sz w:val="15"/>
          <w:szCs w:val="15"/>
          <w:color w:val="auto"/>
        </w:rPr>
        <w:t>. The Committee shall take reasonable steps to inform Executive Officers of this Policy and the Executive Officers shall acknowledge receipt and adherence to this Policy in writing.</w:t>
      </w:r>
    </w:p>
    <w:p>
      <w:pPr>
        <w:spacing w:after="0" w:line="137" w:lineRule="exact"/>
        <w:rPr>
          <w:rFonts w:ascii="Times New Roman" w:cs="Times New Roman" w:eastAsia="Times New Roman" w:hAnsi="Times New Roman"/>
          <w:sz w:val="15"/>
          <w:szCs w:val="15"/>
          <w:color w:val="auto"/>
        </w:rPr>
      </w:pPr>
    </w:p>
    <w:p>
      <w:pPr>
        <w:ind w:left="180" w:right="199" w:firstLine="8"/>
        <w:spacing w:after="0" w:line="290" w:lineRule="auto"/>
        <w:tabs>
          <w:tab w:leader="none" w:pos="393"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Exhibit Filing Requirement</w:t>
      </w:r>
      <w:r>
        <w:rPr>
          <w:rFonts w:ascii="Times New Roman" w:cs="Times New Roman" w:eastAsia="Times New Roman" w:hAnsi="Times New Roman"/>
          <w:sz w:val="15"/>
          <w:szCs w:val="15"/>
          <w:color w:val="auto"/>
        </w:rPr>
        <w:t>. A copy of this Policy and any amendments thereto shall be filed as an exhibit to the Company’s annual report on Form 10-K.</w:t>
      </w:r>
    </w:p>
    <w:p>
      <w:pPr>
        <w:spacing w:after="0" w:line="147" w:lineRule="exact"/>
        <w:rPr>
          <w:rFonts w:ascii="Times New Roman" w:cs="Times New Roman" w:eastAsia="Times New Roman" w:hAnsi="Times New Roman"/>
          <w:sz w:val="15"/>
          <w:szCs w:val="15"/>
          <w:color w:val="auto"/>
        </w:rPr>
      </w:pPr>
    </w:p>
    <w:p>
      <w:pPr>
        <w:ind w:left="180" w:right="199" w:firstLine="8"/>
        <w:spacing w:after="0" w:line="290" w:lineRule="auto"/>
        <w:tabs>
          <w:tab w:leader="none" w:pos="460"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The Board may amend, modify or supplement all or any portion of this Policy at any time and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895350</wp:posOffset>
            </wp:positionV>
            <wp:extent cx="547751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0" w:name="page201"/>
    <w:bookmarkEnd w:id="200"/>
    <w:p>
      <w:pPr>
        <w:ind w:left="180"/>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[TO BE SIGNED BY EACH OF THE COMPANY’S EXECUTIVE OFFICERS]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Clawback Policy Acknowledgment</w:t>
      </w:r>
    </w:p>
    <w:p>
      <w:pPr>
        <w:spacing w:after="0" w:line="214" w:lineRule="exact"/>
        <w:rPr>
          <w:sz w:val="20"/>
          <w:szCs w:val="20"/>
          <w:color w:val="auto"/>
        </w:rPr>
      </w:pPr>
    </w:p>
    <w:p>
      <w:pPr>
        <w:jc w:val="both"/>
        <w:ind w:left="180" w:right="199"/>
        <w:spacing w:after="0" w:line="261" w:lineRule="auto"/>
        <w:rPr>
          <w:sz w:val="20"/>
          <w:szCs w:val="20"/>
          <w:color w:val="auto"/>
        </w:rPr>
      </w:pPr>
      <w:r>
        <w:rPr>
          <w:rFonts w:ascii="Times New Roman" w:cs="Times New Roman" w:eastAsia="Times New Roman" w:hAnsi="Times New Roman"/>
          <w:sz w:val="15"/>
          <w:szCs w:val="15"/>
          <w:color w:val="auto"/>
        </w:rPr>
        <w:t>I, the undersigned, agree and acknowledge that I am fully bound by, and subject to, all of the terms and conditions of Dime Community Bancshares, Inc.’s Clawback Policy (as may be amended, restated, supplemented or otherwise modified from time to time, the “</w:t>
      </w:r>
      <w:r>
        <w:rPr>
          <w:rFonts w:ascii="Times New Roman" w:cs="Times New Roman" w:eastAsia="Times New Roman" w:hAnsi="Times New Roman"/>
          <w:sz w:val="15"/>
          <w:szCs w:val="15"/>
          <w:b w:val="1"/>
          <w:bCs w:val="1"/>
          <w:color w:val="auto"/>
        </w:rPr>
        <w:t>Policy</w:t>
      </w:r>
      <w:r>
        <w:rPr>
          <w:rFonts w:ascii="Times New Roman" w:cs="Times New Roman" w:eastAsia="Times New Roman" w:hAnsi="Times New Roman"/>
          <w:sz w:val="15"/>
          <w:szCs w:val="15"/>
          <w:color w:val="auto"/>
        </w:rPr>
        <w:t>”)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200" w:lineRule="exact"/>
        <w:rPr>
          <w:sz w:val="20"/>
          <w:szCs w:val="20"/>
          <w:color w:val="auto"/>
        </w:rPr>
      </w:pPr>
    </w:p>
    <w:p>
      <w:pPr>
        <w:spacing w:after="0" w:line="351" w:lineRule="exact"/>
        <w:rPr>
          <w:sz w:val="20"/>
          <w:szCs w:val="20"/>
          <w:color w:val="auto"/>
        </w:rPr>
      </w:pPr>
    </w:p>
    <w:p>
      <w:pPr>
        <w:ind w:left="260"/>
        <w:spacing w:after="0"/>
        <w:tabs>
          <w:tab w:leader="none" w:pos="4560" w:val="left"/>
        </w:tabs>
        <w:rPr>
          <w:sz w:val="20"/>
          <w:szCs w:val="20"/>
          <w:color w:val="auto"/>
        </w:rPr>
      </w:pPr>
      <w:r>
        <w:rPr>
          <w:rFonts w:ascii="Times New Roman" w:cs="Times New Roman" w:eastAsia="Times New Roman" w:hAnsi="Times New Roman"/>
          <w:sz w:val="15"/>
          <w:szCs w:val="15"/>
          <w:color w:val="auto"/>
        </w:rPr>
        <w:t>Name</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-107315</wp:posOffset>
            </wp:positionV>
            <wp:extent cx="547751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477510" cy="6350"/>
                    </a:xfrm>
                    <a:prstGeom prst="rect">
                      <a:avLst/>
                    </a:prstGeom>
                    <a:noFill/>
                  </pic:spPr>
                </pic:pic>
              </a:graphicData>
            </a:graphic>
          </wp:anchor>
        </w:drawing>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570230</wp:posOffset>
            </wp:positionV>
            <wp:extent cx="547751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5477510" cy="1905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-107315</wp:posOffset>
            </wp:positionV>
            <wp:extent cx="258508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2585085" cy="6350"/>
                    </a:xfrm>
                    <a:prstGeom prst="rect">
                      <a:avLst/>
                    </a:prstGeom>
                    <a:noFill/>
                  </pic:spPr>
                </pic:pic>
              </a:graphicData>
            </a:graphic>
          </wp:anchor>
        </w:drawing>
      </w:r>
    </w:p>
    <w:sectPr>
      <w:pgSz w:w="11900" w:h="16838" w:orient="portrait"/>
      <w:cols w:equalWidth="0" w:num="1">
        <w:col w:w="9019"/>
      </w:cols>
      <w:pgMar w:left="1440" w:top="5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1)"/>
      <w:numFmt w:val="lowerRoman"/>
      <w:start w:val="3"/>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1)"/>
      <w:numFmt w:val="decimal"/>
      <w:start w:val="1"/>
    </w:lvl>
  </w:abstractNum>
  <w:abstractNum w:abstractNumId="13">
    <w:nsid w:val="51088277"/>
    <w:multiLevelType w:val="hybridMultilevel"/>
    <w:lvl w:ilvl="0">
      <w:lvlJc w:val="left"/>
      <w:lvlText w:val="(%1)"/>
      <w:numFmt w:val="decimal"/>
      <w:start w:val="1"/>
    </w:lvl>
  </w:abstractNum>
  <w:abstractNum w:abstractNumId="14">
    <w:nsid w:val="1CA0C5FA"/>
    <w:multiLevelType w:val="hybridMultilevel"/>
    <w:lvl w:ilvl="0">
      <w:lvlJc w:val="left"/>
      <w:lvlText w:val="(%1)"/>
      <w:numFmt w:val="decimal"/>
      <w:start w:val="1"/>
    </w:lvl>
  </w:abstractNum>
  <w:abstractNum w:abstractNumId="15">
    <w:nsid w:val="53584BCB"/>
    <w:multiLevelType w:val="hybridMultilevel"/>
    <w:lvl w:ilvl="0">
      <w:lvlJc w:val="left"/>
      <w:lvlText w:val="(%1)"/>
      <w:numFmt w:val="decimal"/>
      <w:start w:val="1"/>
    </w:lvl>
  </w:abstractNum>
  <w:abstractNum w:abstractNumId="16">
    <w:nsid w:val="415E286C"/>
    <w:multiLevelType w:val="hybridMultilevel"/>
    <w:lvl w:ilvl="0">
      <w:lvlJc w:val="left"/>
      <w:lvlText w:val="(%1)"/>
      <w:numFmt w:val="decimal"/>
      <w:start w:val="1"/>
    </w:lvl>
  </w:abstractNum>
  <w:abstractNum w:abstractNumId="17">
    <w:nsid w:val="7C58FD05"/>
    <w:multiLevelType w:val="hybridMultilevel"/>
    <w:lvl w:ilvl="0">
      <w:lvlJc w:val="left"/>
      <w:lvlText w:val="(%1)"/>
      <w:numFmt w:val="decimal"/>
      <w:start w:val="1"/>
    </w:lvl>
  </w:abstractNum>
  <w:abstractNum w:abstractNumId="18">
    <w:nsid w:val="23D86AAC"/>
    <w:multiLevelType w:val="hybridMultilevel"/>
    <w:lvl w:ilvl="0">
      <w:lvlJc w:val="left"/>
      <w:lvlText w:val="(%1)"/>
      <w:numFmt w:val="decimal"/>
      <w:start w:val="1"/>
    </w:lvl>
  </w:abstractNum>
  <w:abstractNum w:abstractNumId="19">
    <w:nsid w:val="45E6D486"/>
    <w:multiLevelType w:val="hybridMultilevel"/>
    <w:lvl w:ilvl="0">
      <w:lvlJc w:val="left"/>
      <w:lvlText w:val="(%1)"/>
      <w:numFmt w:val="decimal"/>
      <w:start w:val="1"/>
    </w:lvl>
  </w:abstractNum>
  <w:abstractNum w:abstractNumId="20">
    <w:nsid w:val="5C10FE21"/>
    <w:multiLevelType w:val="hybridMultilevel"/>
    <w:lvl w:ilvl="0">
      <w:lvlJc w:val="left"/>
      <w:lvlText w:val="(%1)"/>
      <w:numFmt w:val="decimal"/>
      <w:start w:val="1"/>
    </w:lvl>
  </w:abstractNum>
  <w:abstractNum w:abstractNumId="21">
    <w:nsid w:val="E7FFA2B"/>
    <w:multiLevelType w:val="hybridMultilevel"/>
    <w:lvl w:ilvl="0">
      <w:lvlJc w:val="left"/>
      <w:lvlText w:val="(%1)"/>
      <w:numFmt w:val="decimal"/>
      <w:start w:val="1"/>
    </w:lvl>
  </w:abstractNum>
  <w:abstractNum w:abstractNumId="22">
    <w:nsid w:val="3C5991AA"/>
    <w:multiLevelType w:val="hybridMultilevel"/>
    <w:lvl w:ilvl="0">
      <w:lvlJc w:val="left"/>
      <w:lvlText w:val="(%1)"/>
      <w:numFmt w:val="lowerRoman"/>
      <w:start w:val="2"/>
    </w:lvl>
  </w:abstractNum>
  <w:abstractNum w:abstractNumId="23">
    <w:nsid w:val="4BD8591A"/>
    <w:multiLevelType w:val="hybridMultilevel"/>
    <w:lvl w:ilvl="0">
      <w:lvlJc w:val="left"/>
      <w:lvlText w:val="(%1)"/>
      <w:numFmt w:val="decimal"/>
      <w:start w:val="1"/>
    </w:lvl>
  </w:abstractNum>
  <w:abstractNum w:abstractNumId="24">
    <w:nsid w:val="78DF6A55"/>
    <w:multiLevelType w:val="hybridMultilevel"/>
    <w:lvl w:ilvl="0">
      <w:lvlJc w:val="left"/>
      <w:lvlText w:val="%1."/>
      <w:numFmt w:val="decimal"/>
      <w:start w:val="1"/>
    </w:lvl>
  </w:abstractNum>
  <w:abstractNum w:abstractNumId="25">
    <w:nsid w:val="39B7AAA2"/>
    <w:multiLevelType w:val="hybridMultilevel"/>
    <w:lvl w:ilvl="0">
      <w:lvlJc w:val="left"/>
      <w:lvlText w:val="(%1)"/>
      <w:numFmt w:val="lowerRoman"/>
      <w:start w:val="2"/>
    </w:lvl>
  </w:abstractNum>
  <w:abstractNum w:abstractNumId="26">
    <w:nsid w:val="2B0D8DBE"/>
    <w:multiLevelType w:val="hybridMultilevel"/>
    <w:lvl w:ilvl="0">
      <w:lvlJc w:val="left"/>
      <w:lvlText w:val="(%1)"/>
      <w:numFmt w:val="decimal"/>
      <w:start w:val="1"/>
    </w:lvl>
  </w:abstractNum>
  <w:abstractNum w:abstractNumId="27">
    <w:nsid w:val="6C80EC70"/>
    <w:multiLevelType w:val="hybridMultilevel"/>
    <w:lvl w:ilvl="0">
      <w:lvlJc w:val="left"/>
      <w:lvlText w:val="%1."/>
      <w:numFmt w:val="decimal"/>
      <w:start w:val="20"/>
    </w:lvl>
  </w:abstractNum>
  <w:abstractNum w:abstractNumId="28">
    <w:nsid w:val="379E21B5"/>
    <w:multiLevelType w:val="hybridMultilevel"/>
    <w:lvl w:ilvl="0">
      <w:lvlJc w:val="left"/>
      <w:lvlText w:val="(%1)"/>
      <w:numFmt w:val="decimal"/>
      <w:start w:val="1"/>
    </w:lvl>
  </w:abstractNum>
  <w:abstractNum w:abstractNumId="29">
    <w:nsid w:val="69E373"/>
    <w:multiLevelType w:val="hybridMultilevel"/>
    <w:lvl w:ilvl="0">
      <w:lvlJc w:val="left"/>
      <w:lvlText w:val="(%1)"/>
      <w:numFmt w:val="lowerLetter"/>
      <w:start w:val="1"/>
    </w:lvl>
  </w:abstractNum>
  <w:abstractNum w:abstractNumId="30">
    <w:nsid w:val="2C27173B"/>
    <w:multiLevelType w:val="hybridMultilevel"/>
    <w:lvl w:ilvl="0">
      <w:lvlJc w:val="left"/>
      <w:lvlText w:val="%1."/>
      <w:numFmt w:val="decimal"/>
      <w:start w:val="3"/>
    </w:lvl>
  </w:abstractNum>
  <w:abstractNum w:abstractNumId="31">
    <w:nsid w:val="4C9B0904"/>
    <w:multiLevelType w:val="hybridMultilevel"/>
    <w:lvl w:ilvl="0">
      <w:lvlJc w:val="left"/>
      <w:lvlText w:val="%1"/>
      <w:numFmt w:val="decimal"/>
      <w:start w:val="19"/>
    </w:lvl>
  </w:abstractNum>
  <w:abstractNum w:abstractNumId="32">
    <w:nsid w:val="6AA7B75C"/>
    <w:multiLevelType w:val="hybridMultilevel"/>
    <w:lvl w:ilvl="0">
      <w:lvlJc w:val="left"/>
      <w:lvlText w:val="%1"/>
      <w:numFmt w:val="decimal"/>
      <w:start w:val="97"/>
    </w:lvl>
  </w:abstractNum>
  <w:abstractNum w:abstractNumId="33">
    <w:nsid w:val="1DF029D3"/>
    <w:multiLevelType w:val="hybridMultilevel"/>
    <w:lvl w:ilvl="0">
      <w:lvlJc w:val="left"/>
      <w:lvlText w:val="%1"/>
      <w:numFmt w:val="decimal"/>
      <w:start w:val="104"/>
    </w:lvl>
  </w:abstractNum>
  <w:abstractNum w:abstractNumId="34">
    <w:nsid w:val="5675FF36"/>
    <w:multiLevelType w:val="hybridMultilevel"/>
    <w:lvl w:ilvl="0">
      <w:lvlJc w:val="left"/>
      <w:lvlText w:val="(%1)"/>
      <w:numFmt w:val="lowerRoman"/>
      <w:start w:val="3"/>
    </w:lvl>
  </w:abstractNum>
  <w:abstractNum w:abstractNumId="35">
    <w:nsid w:val="3DD15094"/>
    <w:multiLevelType w:val="hybridMultilevel"/>
    <w:lvl w:ilvl="0">
      <w:lvlJc w:val="left"/>
      <w:lvlText w:val="%1."/>
      <w:numFmt w:val="decimal"/>
      <w:start w:val="1"/>
    </w:lvl>
    <w:lvl w:ilvl="1">
      <w:lvlJc w:val="left"/>
      <w:lvlText w:val="(%2)"/>
      <w:numFmt w:val="lowerRoman"/>
      <w:start w:val="4"/>
    </w:lvl>
  </w:abstractNum>
  <w:abstractNum w:abstractNumId="36">
    <w:nsid w:val="3DB012B3"/>
    <w:multiLevelType w:val="hybridMultilevel"/>
    <w:lvl w:ilvl="0">
      <w:lvlJc w:val="left"/>
      <w:lvlText w:val="%1."/>
      <w:numFmt w:val="decimal"/>
      <w:start w:val="3"/>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1."/>
      <w:numFmt w:val="decimal"/>
      <w:start w:val="1"/>
    </w:lvl>
  </w:abstractNum>
  <w:abstractNum w:abstractNumId="40">
    <w:nsid w:val="4F97E3E4"/>
    <w:multiLevelType w:val="hybridMultilevel"/>
    <w:lvl w:ilvl="0">
      <w:lvlJc w:val="left"/>
      <w:lvlText w:val="(%1)"/>
      <w:numFmt w:val="lowerLetter"/>
      <w:start w:val="1"/>
    </w:lvl>
  </w:abstractNum>
  <w:abstractNum w:abstractNumId="41">
    <w:nsid w:val="53B0A9E"/>
    <w:multiLevelType w:val="hybridMultilevel"/>
    <w:lvl w:ilvl="0">
      <w:lvlJc w:val="left"/>
      <w:lvlText w:val="(%1)"/>
      <w:numFmt w:val="lowerLetter"/>
      <w:start w:val="2"/>
    </w:lvl>
  </w:abstractNum>
  <w:abstractNum w:abstractNumId="42">
    <w:nsid w:val="34FD6B4F"/>
    <w:multiLevelType w:val="hybridMultilevel"/>
    <w:lvl w:ilvl="0">
      <w:lvlJc w:val="left"/>
      <w:lvlText w:val="(%1)"/>
      <w:numFmt w:val="lowerRoman"/>
      <w:start w:val="1"/>
    </w:lvl>
  </w:abstractNum>
  <w:abstractNum w:abstractNumId="43">
    <w:nsid w:val="5915FF32"/>
    <w:multiLevelType w:val="hybridMultilevel"/>
    <w:lvl w:ilvl="0">
      <w:lvlJc w:val="left"/>
      <w:lvlText w:val="(%1)"/>
      <w:numFmt w:val="lowerRoman"/>
      <w:start w:val="2"/>
    </w:lvl>
    <w:lvl w:ilvl="1">
      <w:lvlJc w:val="left"/>
      <w:lvlText w:val="(%2)"/>
      <w:numFmt w:val="upperLetter"/>
      <w:start w:val="9"/>
    </w:lvl>
  </w:abstractNum>
  <w:abstractNum w:abstractNumId="44">
    <w:nsid w:val="56438D15"/>
    <w:multiLevelType w:val="hybridMultilevel"/>
    <w:lvl w:ilvl="0">
      <w:lvlJc w:val="left"/>
      <w:lvlText w:val="%1"/>
      <w:numFmt w:val="upperLetter"/>
      <w:start w:val="1"/>
    </w:lvl>
    <w:lvl w:ilvl="1">
      <w:lvlJc w:val="left"/>
      <w:lvlText w:val="(%2)"/>
      <w:numFmt w:val="upperLetter"/>
      <w:start w:val="35"/>
    </w:lvl>
  </w:abstractNum>
  <w:abstractNum w:abstractNumId="45">
    <w:nsid w:val="519E3149"/>
    <w:multiLevelType w:val="hybridMultilevel"/>
    <w:lvl w:ilvl="0">
      <w:lvlJc w:val="left"/>
      <w:lvlText w:val="(%1)"/>
      <w:numFmt w:val="upperLetter"/>
      <w:start w:val="2"/>
    </w:lvl>
    <w:lvl w:ilvl="1">
      <w:lvlJc w:val="left"/>
      <w:lvlText w:val="%2"/>
      <w:numFmt w:val="upperLetter"/>
      <w:start w:val="1"/>
    </w:lvl>
  </w:abstractNum>
  <w:abstractNum w:abstractNumId="46">
    <w:nsid w:val="2C6E4AFD"/>
    <w:multiLevelType w:val="hybridMultilevel"/>
    <w:lvl w:ilvl="0">
      <w:lvlJc w:val="left"/>
      <w:lvlText w:val="(%1)"/>
      <w:numFmt w:val="lowerLetter"/>
      <w:start w:val="3"/>
    </w:lvl>
  </w:abstractNum>
  <w:abstractNum w:abstractNumId="47">
    <w:nsid w:val="17A1B582"/>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48">
    <w:nsid w:val="4DF72E4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49">
    <w:nsid w:val="5046B5A9"/>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50">
    <w:nsid w:val="5D888A08"/>
    <w:multiLevelType w:val="hybridMultilevel"/>
    <w:lvl w:ilvl="0">
      <w:lvlJc w:val="left"/>
      <w:lvlText w:val="(%1)"/>
      <w:numFmt w:val="lowerLetter"/>
      <w:start w:val="2"/>
    </w:lvl>
    <w:lvl w:ilvl="1">
      <w:lvlJc w:val="left"/>
      <w:lvlText w:val="(%2)"/>
      <w:numFmt w:val="lowerRoman"/>
      <w:start w:val="2"/>
    </w:lvl>
  </w:abstractNum>
  <w:abstractNum w:abstractNumId="51">
    <w:nsid w:val="2A082C70"/>
    <w:multiLevelType w:val="hybridMultilevel"/>
    <w:lvl w:ilvl="0">
      <w:lvlJc w:val="left"/>
      <w:lvlText w:val="(%1)"/>
      <w:numFmt w:val="lowerRoman"/>
      <w:start w:val="4"/>
    </w:lvl>
  </w:abstractNum>
  <w:abstractNum w:abstractNumId="52">
    <w:nsid w:val="5EC6AFD4"/>
    <w:multiLevelType w:val="hybridMultilevel"/>
    <w:lvl w:ilvl="0">
      <w:lvlJc w:val="left"/>
      <w:lvlText w:val="%1"/>
      <w:numFmt w:val="decimal"/>
      <w:start w:val="1"/>
    </w:lvl>
    <w:lvl w:ilvl="1">
      <w:lvlJc w:val="left"/>
      <w:lvlText w:val="(%2)"/>
      <w:numFmt w:val="lowerRoman"/>
      <w:start w:val="8"/>
    </w:lvl>
  </w:abstractNum>
  <w:abstractNum w:abstractNumId="53">
    <w:nsid w:val="19E21BB2"/>
    <w:multiLevelType w:val="hybridMultilevel"/>
    <w:lvl w:ilvl="0">
      <w:lvlJc w:val="left"/>
      <w:lvlText w:val="%1."/>
      <w:numFmt w:val="decimal"/>
      <w:start w:val="4"/>
    </w:lvl>
    <w:lvl w:ilvl="1">
      <w:lvlJc w:val="left"/>
      <w:lvlText w:val="%2"/>
      <w:numFmt w:val="lowerRoman"/>
      <w:start w:val="1"/>
    </w:lvl>
  </w:abstractNum>
  <w:abstractNum w:abstractNumId="54">
    <w:nsid w:val="75E0858A"/>
    <w:multiLevelType w:val="hybridMultilevel"/>
    <w:lvl w:ilvl="0">
      <w:lvlJc w:val="left"/>
      <w:lvlText w:val="(%1)"/>
      <w:numFmt w:val="lowerLetter"/>
      <w:start w:val="2"/>
    </w:lvl>
    <w:lvl w:ilvl="1">
      <w:lvlJc w:val="left"/>
      <w:lvlText w:val="(%2)"/>
      <w:numFmt w:val="lowerRoman"/>
      <w:start w:val="1"/>
    </w:lvl>
  </w:abstractNum>
  <w:abstractNum w:abstractNumId="55">
    <w:nsid w:val="57A61A29"/>
    <w:multiLevelType w:val="hybridMultilevel"/>
    <w:lvl w:ilvl="0">
      <w:lvlJc w:val="left"/>
      <w:lvlText w:val="(%1)"/>
      <w:numFmt w:val="lowerLetter"/>
      <w:start w:val="3"/>
    </w:lvl>
    <w:lvl w:ilvl="1">
      <w:lvlJc w:val="left"/>
      <w:lvlText w:val="(%2)"/>
      <w:numFmt w:val="lowerRoman"/>
      <w:start w:val="1"/>
    </w:lvl>
  </w:abstractNum>
  <w:abstractNum w:abstractNumId="56">
    <w:nsid w:val="5399C654"/>
    <w:multiLevelType w:val="hybridMultilevel"/>
    <w:lvl w:ilvl="0">
      <w:lvlJc w:val="left"/>
      <w:lvlText w:val="(%1)"/>
      <w:numFmt w:val="lowerRoman"/>
      <w:start w:val="5"/>
    </w:lvl>
  </w:abstractNum>
  <w:abstractNum w:abstractNumId="57">
    <w:nsid w:val="20EE1348"/>
    <w:multiLevelType w:val="hybridMultilevel"/>
    <w:lvl w:ilvl="0">
      <w:lvlJc w:val="left"/>
      <w:lvlText w:val="(%1)"/>
      <w:numFmt w:val="lowerLetter"/>
      <w:start w:val="4"/>
    </w:lvl>
  </w:abstractNum>
  <w:abstractNum w:abstractNumId="58">
    <w:nsid w:val="4427069A"/>
    <w:multiLevelType w:val="hybridMultilevel"/>
    <w:lvl w:ilvl="0">
      <w:lvlJc w:val="left"/>
      <w:lvlText w:val="(%1)"/>
      <w:numFmt w:val="lowerLetter"/>
      <w:start w:val="6"/>
    </w:lvl>
  </w:abstractNum>
  <w:abstractNum w:abstractNumId="59">
    <w:nsid w:val="B37E80A"/>
    <w:multiLevelType w:val="hybridMultilevel"/>
    <w:lvl w:ilvl="0">
      <w:lvlJc w:val="left"/>
      <w:lvlText w:val="%1."/>
      <w:numFmt w:val="decimal"/>
      <w:start w:val="5"/>
    </w:lvl>
    <w:lvl w:ilvl="1">
      <w:lvlJc w:val="left"/>
      <w:lvlText w:val="(%2)"/>
      <w:numFmt w:val="lowerLetter"/>
      <w:start w:val="9"/>
    </w:lvl>
    <w:lvl w:ilvl="2">
      <w:lvlJc w:val="left"/>
      <w:lvlText w:val="(%3)"/>
      <w:numFmt w:val="upperLetter"/>
      <w:start w:val="1"/>
    </w:lvl>
  </w:abstractNum>
  <w:abstractNum w:abstractNumId="60">
    <w:nsid w:val="2157F6BC"/>
    <w:multiLevelType w:val="hybridMultilevel"/>
    <w:lvl w:ilvl="0">
      <w:lvlJc w:val="left"/>
      <w:lvlText w:val="(%1)"/>
      <w:numFmt w:val="upperLetter"/>
      <w:start w:val="2"/>
    </w:lvl>
  </w:abstractNum>
  <w:abstractNum w:abstractNumId="61">
    <w:nsid w:val="704E1D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62">
    <w:nsid w:val="57D2F10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3">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E3E47A8"/>
    <w:multiLevelType w:val="hybridMultilevel"/>
    <w:lvl w:ilvl="0">
      <w:lvlJc w:val="left"/>
      <w:lvlText w:val="(%1)"/>
      <w:numFmt w:val="lowerLetter"/>
      <w:start w:val="3"/>
    </w:lvl>
  </w:abstractNum>
  <w:abstractNum w:abstractNumId="65">
    <w:nsid w:val="2E48F044"/>
    <w:multiLevelType w:val="hybridMultilevel"/>
    <w:lvl w:ilvl="0">
      <w:lvlJc w:val="left"/>
      <w:lvlText w:val="%1."/>
      <w:numFmt w:val="decimal"/>
      <w:start w:val="6"/>
    </w:lvl>
  </w:abstractNum>
  <w:abstractNum w:abstractNumId="66">
    <w:nsid w:val="49D0FEAC"/>
    <w:multiLevelType w:val="hybridMultilevel"/>
    <w:lvl w:ilvl="0">
      <w:lvlJc w:val="left"/>
      <w:lvlText w:val="%1."/>
      <w:numFmt w:val="decimal"/>
      <w:start w:val="7"/>
    </w:lvl>
  </w:abstractNum>
  <w:abstractNum w:abstractNumId="67">
    <w:nsid w:val="4BEE5A5B"/>
    <w:multiLevelType w:val="hybridMultilevel"/>
    <w:lvl w:ilvl="0">
      <w:lvlJc w:val="left"/>
      <w:lvlText w:val="(%1)"/>
      <w:numFmt w:val="lowerLetter"/>
      <w:start w:val="2"/>
    </w:lvl>
  </w:abstractNum>
  <w:abstractNum w:abstractNumId="68">
    <w:nsid w:val="5551B9F3"/>
    <w:multiLevelType w:val="hybridMultilevel"/>
    <w:lvl w:ilvl="0">
      <w:lvlJc w:val="left"/>
      <w:lvlText w:val="%1."/>
      <w:numFmt w:val="decimal"/>
      <w:start w:val="8"/>
    </w:lvl>
  </w:abstractNum>
  <w:abstractNum w:abstractNumId="69">
    <w:nsid w:val="24F6AB8E"/>
    <w:multiLevelType w:val="hybridMultilevel"/>
    <w:lvl w:ilvl="0">
      <w:lvlJc w:val="left"/>
      <w:lvlText w:val="(%1)"/>
      <w:numFmt w:val="lowerLetter"/>
      <w:start w:val="1"/>
    </w:lvl>
  </w:abstractNum>
  <w:abstractNum w:abstractNumId="70">
    <w:nsid w:val="634C574C"/>
    <w:multiLevelType w:val="hybridMultilevel"/>
    <w:lvl w:ilvl="0">
      <w:lvlJc w:val="left"/>
      <w:lvlText w:val="%1"/>
      <w:numFmt w:val="lowerLetter"/>
      <w:start w:val="1"/>
    </w:lvl>
    <w:lvl w:ilvl="1">
      <w:lvlJc w:val="left"/>
      <w:lvlText w:val="(%2)"/>
      <w:numFmt w:val="lowerLetter"/>
      <w:start w:val="2"/>
    </w:lvl>
  </w:abstractNum>
  <w:abstractNum w:abstractNumId="71">
    <w:nsid w:val="24E99DD7"/>
    <w:multiLevelType w:val="hybridMultilevel"/>
    <w:lvl w:ilvl="0">
      <w:lvlJc w:val="left"/>
      <w:lvlText w:val="(%1)"/>
      <w:numFmt w:val="lowerLetter"/>
      <w:start w:val="35"/>
    </w:lvl>
    <w:lvl w:ilvl="1">
      <w:lvlJc w:val="left"/>
      <w:lvlText w:val="%2"/>
      <w:numFmt w:val="lowerLetter"/>
      <w:start w:val="1"/>
    </w:lvl>
  </w:abstractNum>
  <w:abstractNum w:abstractNumId="72">
    <w:nsid w:val="2A31B62D"/>
    <w:multiLevelType w:val="hybridMultilevel"/>
    <w:lvl w:ilvl="0">
      <w:lvlJc w:val="left"/>
      <w:lvlText w:val="(%1)"/>
      <w:numFmt w:val="lowerRoman"/>
      <w:start w:val="4"/>
    </w:lvl>
    <w:lvl w:ilvl="1">
      <w:lvlJc w:val="left"/>
      <w:lvlText w:val="(%2)"/>
      <w:numFmt w:val="lowerLetter"/>
      <w:start w:val="3"/>
    </w:lvl>
  </w:abstractNum>
  <w:abstractNum w:abstractNumId="73">
    <w:nsid w:val="1849C29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4">
    <w:nsid w:val="7DFF9D09"/>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75">
    <w:nsid w:val="754342"/>
    <w:multiLevelType w:val="hybridMultilevel"/>
    <w:lvl w:ilvl="0">
      <w:lvlJc w:val="left"/>
      <w:lvlText w:val="%1."/>
      <w:numFmt w:val="decimal"/>
      <w:start w:val="9"/>
    </w:lvl>
  </w:abstractNum>
  <w:abstractNum w:abstractNumId="76">
    <w:nsid w:val="69E7F3E5"/>
    <w:multiLevelType w:val="hybridMultilevel"/>
    <w:lvl w:ilvl="0">
      <w:lvlJc w:val="left"/>
      <w:lvlText w:val="%1."/>
      <w:numFmt w:val="decimal"/>
      <w:start w:val="10"/>
    </w:lvl>
  </w:abstractNum>
  <w:abstractNum w:abstractNumId="77">
    <w:nsid w:val="2A6DE806"/>
    <w:multiLevelType w:val="hybridMultilevel"/>
    <w:lvl w:ilvl="0">
      <w:lvlJc w:val="left"/>
      <w:lvlText w:val="(%1)"/>
      <w:numFmt w:val="lowerLetter"/>
      <w:start w:val="2"/>
    </w:lvl>
  </w:abstractNum>
  <w:abstractNum w:abstractNumId="78">
    <w:nsid w:val="1816F8C4"/>
    <w:multiLevelType w:val="hybridMultilevel"/>
    <w:lvl w:ilvl="0">
      <w:lvlJc w:val="left"/>
      <w:lvlText w:val="%1."/>
      <w:numFmt w:val="decimal"/>
      <w:start w:val="11"/>
    </w:lvl>
  </w:abstractNum>
  <w:abstractNum w:abstractNumId="79">
    <w:nsid w:val="37DF2233"/>
    <w:multiLevelType w:val="hybridMultilevel"/>
    <w:lvl w:ilvl="0">
      <w:lvlJc w:val="left"/>
      <w:lvlText w:val="(%1)"/>
      <w:numFmt w:val="lowerLetter"/>
      <w:start w:val="1"/>
    </w:lvl>
  </w:abstractNum>
  <w:abstractNum w:abstractNumId="80">
    <w:nsid w:val="7AB49DAF"/>
    <w:multiLevelType w:val="hybridMultilevel"/>
    <w:lvl w:ilvl="0">
      <w:lvlJc w:val="left"/>
      <w:lvlText w:val="(%1)"/>
      <w:numFmt w:val="lowerLetter"/>
      <w:start w:val="3"/>
    </w:lvl>
  </w:abstractNum>
  <w:abstractNum w:abstractNumId="81">
    <w:nsid w:val="759F82CD"/>
    <w:multiLevelType w:val="hybridMultilevel"/>
    <w:lvl w:ilvl="0">
      <w:lvlJc w:val="left"/>
      <w:lvlText w:val="(%1)"/>
      <w:numFmt w:val="lowerLetter"/>
      <w:start w:val="4"/>
    </w:lvl>
  </w:abstractNum>
  <w:abstractNum w:abstractNumId="82">
    <w:nsid w:val="61E74EA3"/>
    <w:multiLevelType w:val="hybridMultilevel"/>
    <w:lvl w:ilvl="0">
      <w:lvlJc w:val="left"/>
      <w:lvlText w:val="(%1)"/>
      <w:numFmt w:val="lowerLetter"/>
      <w:start w:val="10"/>
    </w:lvl>
    <w:lvl w:ilvl="1">
      <w:lvlJc w:val="left"/>
      <w:lvlText w:val="(%2)"/>
      <w:numFmt w:val="lowerRoman"/>
      <w:start w:val="1"/>
    </w:lvl>
  </w:abstractNum>
  <w:abstractNum w:abstractNumId="83">
    <w:nsid w:val="597B4D84"/>
    <w:multiLevelType w:val="hybridMultilevel"/>
    <w:lvl w:ilvl="0">
      <w:lvlJc w:val="left"/>
      <w:lvlText w:val="(%1)"/>
      <w:numFmt w:val="lowerLetter"/>
      <w:start w:val="12"/>
    </w:lvl>
  </w:abstractNum>
  <w:abstractNum w:abstractNumId="84">
    <w:nsid w:val="F819E7F"/>
    <w:multiLevelType w:val="hybridMultilevel"/>
    <w:lvl w:ilvl="0">
      <w:lvlJc w:val="left"/>
      <w:lvlText w:val="(%1)"/>
      <w:numFmt w:val="lowerRoman"/>
      <w:start w:val="1"/>
    </w:lvl>
  </w:abstractNum>
  <w:abstractNum w:abstractNumId="85">
    <w:nsid w:val="57C7D42D"/>
    <w:multiLevelType w:val="hybridMultilevel"/>
    <w:lvl w:ilvl="0">
      <w:lvlJc w:val="left"/>
      <w:lvlText w:val="(%1)"/>
      <w:numFmt w:val="lowerRoman"/>
      <w:start w:val="2"/>
    </w:lvl>
  </w:abstractNum>
  <w:abstractNum w:abstractNumId="86">
    <w:nsid w:val="312167AD"/>
    <w:multiLevelType w:val="hybridMultilevel"/>
    <w:lvl w:ilvl="0">
      <w:lvlJc w:val="left"/>
      <w:lvlText w:val="%1."/>
      <w:numFmt w:val="decimal"/>
      <w:start w:val="1"/>
    </w:lvl>
  </w:abstractNum>
  <w:abstractNum w:abstractNumId="87">
    <w:nsid w:val="631B64D4"/>
    <w:multiLevelType w:val="hybridMultilevel"/>
    <w:lvl w:ilvl="0">
      <w:lvlJc w:val="left"/>
      <w:lvlText w:val="(%1)"/>
      <w:numFmt w:val="lowerLetter"/>
      <w:start w:val="1"/>
    </w:lvl>
  </w:abstractNum>
  <w:abstractNum w:abstractNumId="88">
    <w:nsid w:val="78B5E776"/>
    <w:multiLevelType w:val="hybridMultilevel"/>
    <w:lvl w:ilvl="0">
      <w:lvlJc w:val="left"/>
      <w:lvlText w:val="(%1)"/>
      <w:numFmt w:val="lowerLetter"/>
      <w:start w:val="2"/>
    </w:lvl>
  </w:abstractNum>
  <w:abstractNum w:abstractNumId="89">
    <w:nsid w:val="75486E47"/>
    <w:multiLevelType w:val="hybridMultilevel"/>
    <w:lvl w:ilvl="0">
      <w:lvlJc w:val="left"/>
      <w:lvlText w:val="(%1)"/>
      <w:numFmt w:val="lowerRoman"/>
      <w:start w:val="1"/>
    </w:lvl>
  </w:abstractNum>
  <w:abstractNum w:abstractNumId="90">
    <w:nsid w:val="6E534CDE"/>
    <w:multiLevelType w:val="hybridMultilevel"/>
    <w:lvl w:ilvl="0">
      <w:lvlJc w:val="left"/>
      <w:lvlText w:val="(%1)"/>
      <w:numFmt w:val="lowerRoman"/>
      <w:start w:val="2"/>
    </w:lvl>
    <w:lvl w:ilvl="1">
      <w:lvlJc w:val="left"/>
      <w:lvlText w:val="(%2)"/>
      <w:numFmt w:val="upperLetter"/>
      <w:start w:val="9"/>
    </w:lvl>
  </w:abstractNum>
  <w:abstractNum w:abstractNumId="91">
    <w:nsid w:val="1A0DDE32"/>
    <w:multiLevelType w:val="hybridMultilevel"/>
    <w:lvl w:ilvl="0">
      <w:lvlJc w:val="left"/>
      <w:lvlText w:val="%1"/>
      <w:numFmt w:val="upperLetter"/>
      <w:start w:val="1"/>
    </w:lvl>
    <w:lvl w:ilvl="1">
      <w:lvlJc w:val="left"/>
      <w:lvlText w:val="(%2)"/>
      <w:numFmt w:val="upperLetter"/>
      <w:start w:val="35"/>
    </w:lvl>
  </w:abstractNum>
  <w:abstractNum w:abstractNumId="92">
    <w:nsid w:val="65968C1C"/>
    <w:multiLevelType w:val="hybridMultilevel"/>
    <w:lvl w:ilvl="0">
      <w:lvlJc w:val="left"/>
      <w:lvlText w:val="(%1)"/>
      <w:numFmt w:val="upperLetter"/>
      <w:start w:val="2"/>
    </w:lvl>
    <w:lvl w:ilvl="1">
      <w:lvlJc w:val="left"/>
      <w:lvlText w:val="%2"/>
      <w:numFmt w:val="upperLetter"/>
      <w:start w:val="1"/>
    </w:lvl>
  </w:abstractNum>
  <w:abstractNum w:abstractNumId="93">
    <w:nsid w:val="46263DEC"/>
    <w:multiLevelType w:val="hybridMultilevel"/>
    <w:lvl w:ilvl="0">
      <w:lvlJc w:val="left"/>
      <w:lvlText w:val="(%1)"/>
      <w:numFmt w:val="lowerLetter"/>
      <w:start w:val="3"/>
    </w:lvl>
  </w:abstractNum>
  <w:abstractNum w:abstractNumId="94">
    <w:nsid w:val="260D8C4A"/>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95">
    <w:nsid w:val="73D4D3C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96">
    <w:nsid w:val="746F2E30"/>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97">
    <w:nsid w:val="6FDE8AF6"/>
    <w:multiLevelType w:val="hybridMultilevel"/>
    <w:lvl w:ilvl="0">
      <w:lvlJc w:val="left"/>
      <w:lvlText w:val="(%1)"/>
      <w:numFmt w:val="lowerLetter"/>
      <w:start w:val="2"/>
    </w:lvl>
    <w:lvl w:ilvl="1">
      <w:lvlJc w:val="left"/>
      <w:lvlText w:val="(%2)"/>
      <w:numFmt w:val="lowerRoman"/>
      <w:start w:val="2"/>
    </w:lvl>
  </w:abstractNum>
  <w:abstractNum w:abstractNumId="98">
    <w:nsid w:val="3FC32E20"/>
    <w:multiLevelType w:val="hybridMultilevel"/>
    <w:lvl w:ilvl="0">
      <w:lvlJc w:val="left"/>
      <w:lvlText w:val="(%1)"/>
      <w:numFmt w:val="lowerRoman"/>
      <w:start w:val="4"/>
    </w:lvl>
  </w:abstractNum>
  <w:abstractNum w:abstractNumId="99">
    <w:nsid w:val="49C0E823"/>
    <w:multiLevelType w:val="hybridMultilevel"/>
    <w:lvl w:ilvl="0">
      <w:lvlJc w:val="left"/>
      <w:lvlText w:val="%1"/>
      <w:numFmt w:val="decimal"/>
      <w:start w:val="1"/>
    </w:lvl>
    <w:lvl w:ilvl="1">
      <w:lvlJc w:val="left"/>
      <w:lvlText w:val="(%2)"/>
      <w:numFmt w:val="lowerRoman"/>
      <w:start w:val="8"/>
    </w:lvl>
  </w:abstractNum>
  <w:abstractNum w:abstractNumId="100">
    <w:nsid w:val="14D53685"/>
    <w:multiLevelType w:val="hybridMultilevel"/>
    <w:lvl w:ilvl="0">
      <w:lvlJc w:val="left"/>
      <w:lvlText w:val="%1."/>
      <w:numFmt w:val="decimal"/>
      <w:start w:val="4"/>
    </w:lvl>
    <w:lvl w:ilvl="1">
      <w:lvlJc w:val="left"/>
      <w:lvlText w:val="%2"/>
      <w:numFmt w:val="lowerRoman"/>
      <w:start w:val="1"/>
    </w:lvl>
  </w:abstractNum>
  <w:abstractNum w:abstractNumId="101">
    <w:nsid w:val="230F856C"/>
    <w:multiLevelType w:val="hybridMultilevel"/>
    <w:lvl w:ilvl="0">
      <w:lvlJc w:val="left"/>
      <w:lvlText w:val="(%1)"/>
      <w:numFmt w:val="lowerLetter"/>
      <w:start w:val="2"/>
    </w:lvl>
    <w:lvl w:ilvl="1">
      <w:lvlJc w:val="left"/>
      <w:lvlText w:val="(%2)"/>
      <w:numFmt w:val="lowerRoman"/>
      <w:start w:val="1"/>
    </w:lvl>
  </w:abstractNum>
  <w:abstractNum w:abstractNumId="102">
    <w:nsid w:val="6EAA85FB"/>
    <w:multiLevelType w:val="hybridMultilevel"/>
    <w:lvl w:ilvl="0">
      <w:lvlJc w:val="left"/>
      <w:lvlText w:val="(%1)"/>
      <w:numFmt w:val="lowerLetter"/>
      <w:start w:val="3"/>
    </w:lvl>
    <w:lvl w:ilvl="1">
      <w:lvlJc w:val="left"/>
      <w:lvlText w:val="(%2)"/>
      <w:numFmt w:val="lowerRoman"/>
      <w:start w:val="1"/>
    </w:lvl>
  </w:abstractNum>
  <w:abstractNum w:abstractNumId="103">
    <w:nsid w:val="3F06ECB2"/>
    <w:multiLevelType w:val="hybridMultilevel"/>
    <w:lvl w:ilvl="0">
      <w:lvlJc w:val="left"/>
      <w:lvlText w:val="(%1)"/>
      <w:numFmt w:val="lowerRoman"/>
      <w:start w:val="5"/>
    </w:lvl>
  </w:abstractNum>
  <w:abstractNum w:abstractNumId="104">
    <w:nsid w:val="3B594807"/>
    <w:multiLevelType w:val="hybridMultilevel"/>
    <w:lvl w:ilvl="0">
      <w:lvlJc w:val="left"/>
      <w:lvlText w:val="(%1)"/>
      <w:numFmt w:val="lowerLetter"/>
      <w:start w:val="4"/>
    </w:lvl>
  </w:abstractNum>
  <w:abstractNum w:abstractNumId="105">
    <w:nsid w:val="6CAA2304"/>
    <w:multiLevelType w:val="hybridMultilevel"/>
    <w:lvl w:ilvl="0">
      <w:lvlJc w:val="left"/>
      <w:lvlText w:val="(%1)"/>
      <w:numFmt w:val="lowerLetter"/>
      <w:start w:val="6"/>
    </w:lvl>
  </w:abstractNum>
  <w:abstractNum w:abstractNumId="106">
    <w:nsid w:val="3F7C2FF4"/>
    <w:multiLevelType w:val="hybridMultilevel"/>
    <w:lvl w:ilvl="0">
      <w:lvlJc w:val="left"/>
      <w:lvlText w:val="%1."/>
      <w:numFmt w:val="decimal"/>
      <w:start w:val="5"/>
    </w:lvl>
    <w:lvl w:ilvl="1">
      <w:lvlJc w:val="left"/>
      <w:lvlText w:val="(%2)"/>
      <w:numFmt w:val="lowerLetter"/>
      <w:start w:val="9"/>
    </w:lvl>
    <w:lvl w:ilvl="2">
      <w:lvlJc w:val="left"/>
      <w:lvlText w:val="(%3)"/>
      <w:numFmt w:val="upperLetter"/>
      <w:start w:val="1"/>
    </w:lvl>
  </w:abstractNum>
  <w:abstractNum w:abstractNumId="107">
    <w:nsid w:val="25413BEC"/>
    <w:multiLevelType w:val="hybridMultilevel"/>
    <w:lvl w:ilvl="0">
      <w:lvlJc w:val="left"/>
      <w:lvlText w:val="(%1)"/>
      <w:numFmt w:val="upperLetter"/>
      <w:start w:val="2"/>
    </w:lvl>
  </w:abstractNum>
  <w:abstractNum w:abstractNumId="108">
    <w:nsid w:val="17180B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09">
    <w:nsid w:val="579328B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0">
    <w:nsid w:val="5D205E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1">
    <w:nsid w:val="11CCA8BA"/>
    <w:multiLevelType w:val="hybridMultilevel"/>
    <w:lvl w:ilvl="0">
      <w:lvlJc w:val="left"/>
      <w:lvlText w:val="(%1)"/>
      <w:numFmt w:val="lowerLetter"/>
      <w:start w:val="3"/>
    </w:lvl>
  </w:abstractNum>
  <w:abstractNum w:abstractNumId="112">
    <w:nsid w:val="4D32AB86"/>
    <w:multiLevelType w:val="hybridMultilevel"/>
    <w:lvl w:ilvl="0">
      <w:lvlJc w:val="left"/>
      <w:lvlText w:val="%1."/>
      <w:numFmt w:val="decimal"/>
      <w:start w:val="6"/>
    </w:lvl>
  </w:abstractNum>
  <w:abstractNum w:abstractNumId="113">
    <w:nsid w:val="3F07ACC3"/>
    <w:multiLevelType w:val="hybridMultilevel"/>
    <w:lvl w:ilvl="0">
      <w:lvlJc w:val="left"/>
      <w:lvlText w:val="%1."/>
      <w:numFmt w:val="decimal"/>
      <w:start w:val="7"/>
    </w:lvl>
  </w:abstractNum>
  <w:abstractNum w:abstractNumId="114">
    <w:nsid w:val="6B47F63E"/>
    <w:multiLevelType w:val="hybridMultilevel"/>
    <w:lvl w:ilvl="0">
      <w:lvlJc w:val="left"/>
      <w:lvlText w:val="(%1)"/>
      <w:numFmt w:val="lowerLetter"/>
      <w:start w:val="2"/>
    </w:lvl>
  </w:abstractNum>
  <w:abstractNum w:abstractNumId="115">
    <w:nsid w:val="5CB44A05"/>
    <w:multiLevelType w:val="hybridMultilevel"/>
    <w:lvl w:ilvl="0">
      <w:lvlJc w:val="left"/>
      <w:lvlText w:val="%1."/>
      <w:numFmt w:val="decimal"/>
      <w:start w:val="8"/>
    </w:lvl>
  </w:abstractNum>
  <w:abstractNum w:abstractNumId="116">
    <w:nsid w:val="16CF80F1"/>
    <w:multiLevelType w:val="hybridMultilevel"/>
    <w:lvl w:ilvl="0">
      <w:lvlJc w:val="left"/>
      <w:lvlText w:val="(%1)"/>
      <w:numFmt w:val="lowerLetter"/>
      <w:start w:val="1"/>
    </w:lvl>
  </w:abstractNum>
  <w:abstractNum w:abstractNumId="117">
    <w:nsid w:val="1C695DEC"/>
    <w:multiLevelType w:val="hybridMultilevel"/>
    <w:lvl w:ilvl="0">
      <w:lvlJc w:val="left"/>
      <w:lvlText w:val="%1"/>
      <w:numFmt w:val="lowerLetter"/>
      <w:start w:val="1"/>
    </w:lvl>
    <w:lvl w:ilvl="1">
      <w:lvlJc w:val="left"/>
      <w:lvlText w:val="(%2)"/>
      <w:numFmt w:val="lowerLetter"/>
      <w:start w:val="2"/>
    </w:lvl>
  </w:abstractNum>
  <w:abstractNum w:abstractNumId="118">
    <w:nsid w:val="3FCFAED9"/>
    <w:multiLevelType w:val="hybridMultilevel"/>
    <w:lvl w:ilvl="0">
      <w:lvlJc w:val="left"/>
      <w:lvlText w:val="(%1)"/>
      <w:numFmt w:val="lowerLetter"/>
      <w:start w:val="35"/>
    </w:lvl>
    <w:lvl w:ilvl="1">
      <w:lvlJc w:val="left"/>
      <w:lvlText w:val="%2"/>
      <w:numFmt w:val="lowerLetter"/>
      <w:start w:val="1"/>
    </w:lvl>
  </w:abstractNum>
  <w:abstractNum w:abstractNumId="119">
    <w:nsid w:val="F856867"/>
    <w:multiLevelType w:val="hybridMultilevel"/>
    <w:lvl w:ilvl="0">
      <w:lvlJc w:val="left"/>
      <w:lvlText w:val="(%1)"/>
      <w:numFmt w:val="lowerRoman"/>
      <w:start w:val="4"/>
    </w:lvl>
    <w:lvl w:ilvl="1">
      <w:lvlJc w:val="left"/>
      <w:lvlText w:val="(%2)"/>
      <w:numFmt w:val="lowerLetter"/>
      <w:start w:val="3"/>
    </w:lvl>
  </w:abstractNum>
  <w:abstractNum w:abstractNumId="120">
    <w:nsid w:val="11B1CC3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1">
    <w:nsid w:val="2E22FBB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22">
    <w:nsid w:val="29934699"/>
    <w:multiLevelType w:val="hybridMultilevel"/>
    <w:lvl w:ilvl="0">
      <w:lvlJc w:val="left"/>
      <w:lvlText w:val="%1."/>
      <w:numFmt w:val="decimal"/>
      <w:start w:val="9"/>
    </w:lvl>
  </w:abstractNum>
  <w:abstractNum w:abstractNumId="123">
    <w:nsid w:val="77485850"/>
    <w:multiLevelType w:val="hybridMultilevel"/>
    <w:lvl w:ilvl="0">
      <w:lvlJc w:val="left"/>
      <w:lvlText w:val="%1."/>
      <w:numFmt w:val="decimal"/>
      <w:start w:val="10"/>
    </w:lvl>
  </w:abstractNum>
  <w:abstractNum w:abstractNumId="124">
    <w:nsid w:val="744939A3"/>
    <w:multiLevelType w:val="hybridMultilevel"/>
    <w:lvl w:ilvl="0">
      <w:lvlJc w:val="left"/>
      <w:lvlText w:val="(%1)"/>
      <w:numFmt w:val="lowerLetter"/>
      <w:start w:val="2"/>
    </w:lvl>
  </w:abstractNum>
  <w:abstractNum w:abstractNumId="125">
    <w:nsid w:val="4FA0D2E3"/>
    <w:multiLevelType w:val="hybridMultilevel"/>
    <w:lvl w:ilvl="0">
      <w:lvlJc w:val="left"/>
      <w:lvlText w:val="%1."/>
      <w:numFmt w:val="decimal"/>
      <w:start w:val="11"/>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lowerLetter"/>
      <w:start w:val="3"/>
    </w:lvl>
  </w:abstractNum>
  <w:abstractNum w:abstractNumId="128">
    <w:nsid w:val="3F7F5DD9"/>
    <w:multiLevelType w:val="hybridMultilevel"/>
    <w:lvl w:ilvl="0">
      <w:lvlJc w:val="left"/>
      <w:lvlText w:val="(%1)"/>
      <w:numFmt w:val="lowerLetter"/>
      <w:start w:val="4"/>
    </w:lvl>
  </w:abstractNum>
  <w:abstractNum w:abstractNumId="129">
    <w:nsid w:val="2AE05A34"/>
    <w:multiLevelType w:val="hybridMultilevel"/>
    <w:lvl w:ilvl="0">
      <w:lvlJc w:val="left"/>
      <w:lvlText w:val="(%1)"/>
      <w:numFmt w:val="lowerLetter"/>
      <w:start w:val="10"/>
    </w:lvl>
    <w:lvl w:ilvl="1">
      <w:lvlJc w:val="left"/>
      <w:lvlText w:val="(%2)"/>
      <w:numFmt w:val="lowerRoman"/>
      <w:start w:val="1"/>
    </w:lvl>
  </w:abstractNum>
  <w:abstractNum w:abstractNumId="130">
    <w:nsid w:val="32794FF7"/>
    <w:multiLevelType w:val="hybridMultilevel"/>
    <w:lvl w:ilvl="0">
      <w:lvlJc w:val="left"/>
      <w:lvlText w:val="(%1)"/>
      <w:numFmt w:val="lowerLetter"/>
      <w:start w:val="12"/>
    </w:lvl>
  </w:abstractNum>
  <w:abstractNum w:abstractNumId="131">
    <w:nsid w:val="5454945E"/>
    <w:multiLevelType w:val="hybridMultilevel"/>
    <w:lvl w:ilvl="0">
      <w:lvlJc w:val="left"/>
      <w:lvlText w:val="(%1)"/>
      <w:numFmt w:val="lowerRoman"/>
      <w:start w:val="1"/>
    </w:lvl>
  </w:abstractNum>
  <w:abstractNum w:abstractNumId="132">
    <w:nsid w:val="4DEFDFA0"/>
    <w:multiLevelType w:val="hybridMultilevel"/>
    <w:lvl w:ilvl="0">
      <w:lvlJc w:val="left"/>
      <w:lvlText w:val="(%1)"/>
      <w:numFmt w:val="lowerRoman"/>
      <w:start w:val="2"/>
    </w:lvl>
  </w:abstractNum>
  <w:abstractNum w:abstractNumId="133">
    <w:nsid w:val="2123D5F2"/>
    <w:multiLevelType w:val="hybridMultilevel"/>
    <w:lvl w:ilvl="0">
      <w:lvlJc w:val="left"/>
      <w:lvlText w:val="%1."/>
      <w:numFmt w:val="decimal"/>
      <w:start w:val="1"/>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decimal"/>
      <w:start w:val="2"/>
    </w:lvl>
  </w:abstractNum>
  <w:abstractNum w:abstractNumId="136">
    <w:nsid w:val="DCDF8F6"/>
    <w:multiLevelType w:val="hybridMultilevel"/>
    <w:lvl w:ilvl="0">
      <w:lvlJc w:val="left"/>
      <w:lvlText w:val="(%1)"/>
      <w:numFmt w:val="lowerLetter"/>
      <w:start w:val="1"/>
    </w:lvl>
  </w:abstractNum>
  <w:abstractNum w:abstractNumId="137">
    <w:nsid w:val="52D7B105"/>
    <w:multiLevelType w:val="hybridMultilevel"/>
    <w:lvl w:ilvl="0">
      <w:lvlJc w:val="left"/>
      <w:lvlText w:val="(%1)"/>
      <w:numFmt w:val="lowerLetter"/>
      <w:start w:val="2"/>
    </w:lvl>
  </w:abstractNum>
  <w:abstractNum w:abstractNumId="138">
    <w:nsid w:val="2E8A6394"/>
    <w:multiLevelType w:val="hybridMultilevel"/>
    <w:lvl w:ilvl="0">
      <w:lvlJc w:val="left"/>
      <w:lvlText w:val="%1"/>
      <w:numFmt w:val="lowerLetter"/>
      <w:start w:val="1"/>
    </w:lvl>
    <w:lvl w:ilvl="1">
      <w:lvlJc w:val="left"/>
      <w:lvlText w:val="%2."/>
      <w:numFmt w:val="decimal"/>
      <w:start w:val="3"/>
    </w:lvl>
  </w:abstractNum>
  <w:abstractNum w:abstractNumId="139">
    <w:nsid w:val="24E60401"/>
    <w:multiLevelType w:val="hybridMultilevel"/>
    <w:lvl w:ilvl="0">
      <w:lvlJc w:val="left"/>
      <w:lvlText w:val="(%1)"/>
      <w:numFmt w:val="lowerLetter"/>
      <w:start w:val="1"/>
    </w:lvl>
    <w:lvl w:ilvl="1">
      <w:lvlJc w:val="left"/>
      <w:lvlText w:val="%2"/>
      <w:numFmt w:val="decimal"/>
      <w:start w:val="1"/>
    </w:lvl>
  </w:abstractNum>
  <w:abstractNum w:abstractNumId="140">
    <w:nsid w:val="2A6AD9BE"/>
    <w:multiLevelType w:val="hybridMultilevel"/>
    <w:lvl w:ilvl="0">
      <w:lvlJc w:val="left"/>
      <w:lvlText w:val="(%1)"/>
      <w:numFmt w:val="lowerLetter"/>
      <w:start w:val="5"/>
    </w:lvl>
  </w:abstractNum>
  <w:abstractNum w:abstractNumId="141">
    <w:nsid w:val="BAAC1B4"/>
    <w:multiLevelType w:val="hybridMultilevel"/>
    <w:lvl w:ilvl="0">
      <w:lvlJc w:val="left"/>
      <w:lvlText w:val="%1"/>
      <w:numFmt w:val="lowerLetter"/>
      <w:start w:val="1"/>
    </w:lvl>
    <w:lvl w:ilvl="1">
      <w:lvlJc w:val="left"/>
      <w:lvlText w:val="%2."/>
      <w:numFmt w:val="decimal"/>
      <w:start w:val="4"/>
    </w:lvl>
  </w:abstractNum>
  <w:abstractNum w:abstractNumId="142">
    <w:nsid w:val="36B2ACBC"/>
    <w:multiLevelType w:val="hybridMultilevel"/>
    <w:lvl w:ilvl="0">
      <w:lvlJc w:val="left"/>
      <w:lvlText w:val="(%1)"/>
      <w:numFmt w:val="lowerLetter"/>
      <w:start w:val="1"/>
    </w:lvl>
    <w:lvl w:ilvl="1">
      <w:lvlJc w:val="left"/>
      <w:lvlText w:val="%2."/>
      <w:numFmt w:val="decimal"/>
      <w:start w:val="5"/>
    </w:lvl>
  </w:abstractNum>
  <w:abstractNum w:abstractNumId="143">
    <w:nsid w:val="779D8544"/>
    <w:multiLevelType w:val="hybridMultilevel"/>
    <w:lvl w:ilvl="0">
      <w:lvlJc w:val="left"/>
      <w:lvlText w:val="%1"/>
      <w:numFmt w:val="lowerLetter"/>
      <w:start w:val="1"/>
    </w:lvl>
    <w:lvl w:ilvl="1">
      <w:lvlJc w:val="left"/>
      <w:lvlText w:val="%2."/>
      <w:numFmt w:val="decimal"/>
      <w:start w:val="6"/>
    </w:lvl>
  </w:abstractNum>
  <w:abstractNum w:abstractNumId="144">
    <w:nsid w:val="4AB26E78"/>
    <w:multiLevelType w:val="hybridMultilevel"/>
    <w:lvl w:ilvl="0">
      <w:lvlJc w:val="left"/>
      <w:lvlText w:val="(%1)"/>
      <w:numFmt w:val="lowerLetter"/>
      <w:start w:val="1"/>
    </w:lvl>
    <w:lvl w:ilvl="1">
      <w:lvlJc w:val="left"/>
      <w:lvlText w:val="%2."/>
      <w:numFmt w:val="decimal"/>
      <w:start w:val="7"/>
    </w:lvl>
  </w:abstractNum>
  <w:abstractNum w:abstractNumId="145">
    <w:nsid w:val="21FAA2FA"/>
    <w:multiLevelType w:val="hybridMultilevel"/>
    <w:lvl w:ilvl="0">
      <w:lvlJc w:val="left"/>
      <w:lvlText w:val="(%1)"/>
      <w:numFmt w:val="lowerLetter"/>
      <w:start w:val="1"/>
    </w:lvl>
  </w:abstractNum>
  <w:abstractNum w:abstractNumId="146">
    <w:nsid w:val="5451CF49"/>
    <w:multiLevelType w:val="hybridMultilevel"/>
    <w:lvl w:ilvl="0">
      <w:lvlJc w:val="left"/>
      <w:lvlText w:val="(%1)"/>
      <w:numFmt w:val="lowerRoman"/>
      <w:start w:val="1"/>
    </w:lvl>
  </w:abstractNum>
  <w:abstractNum w:abstractNumId="147">
    <w:nsid w:val="6181EF69"/>
    <w:multiLevelType w:val="hybridMultilevel"/>
    <w:lvl w:ilvl="0">
      <w:lvlJc w:val="left"/>
      <w:lvlText w:val="(%1)"/>
      <w:numFmt w:val="upperLetter"/>
      <w:start w:val="1"/>
    </w:lvl>
  </w:abstractNum>
  <w:abstractNum w:abstractNumId="148">
    <w:nsid w:val="3E6400E6"/>
    <w:multiLevelType w:val="hybridMultilevel"/>
    <w:lvl w:ilvl="0">
      <w:lvlJc w:val="left"/>
      <w:lvlText w:val="(%1)"/>
      <w:numFmt w:val="upperLetter"/>
      <w:start w:val="3"/>
    </w:lvl>
  </w:abstractNum>
  <w:abstractNum w:abstractNumId="149">
    <w:nsid w:val="14217E23"/>
    <w:multiLevelType w:val="hybridMultilevel"/>
    <w:lvl w:ilvl="0">
      <w:lvlJc w:val="left"/>
      <w:lvlText w:val="(%1)"/>
      <w:numFmt w:val="lowerRoman"/>
      <w:start w:val="2"/>
    </w:lvl>
  </w:abstractNum>
  <w:abstractNum w:abstractNumId="150">
    <w:nsid w:val="710757D0"/>
    <w:multiLevelType w:val="hybridMultilevel"/>
    <w:lvl w:ilvl="0">
      <w:lvlJc w:val="left"/>
      <w:lvlText w:val="(%1)"/>
      <w:numFmt w:val="lowerLetter"/>
      <w:start w:val="2"/>
    </w:lvl>
  </w:abstractNum>
  <w:abstractNum w:abstractNumId="151">
    <w:nsid w:val="5015CD1A"/>
    <w:multiLevelType w:val="hybridMultilevel"/>
    <w:lvl w:ilvl="0">
      <w:lvlJc w:val="left"/>
      <w:lvlText w:val="(%1)"/>
      <w:numFmt w:val="lowerRoman"/>
      <w:start w:val="1"/>
    </w:lvl>
  </w:abstractNum>
  <w:abstractNum w:abstractNumId="152">
    <w:nsid w:val="424479DA"/>
    <w:multiLevelType w:val="hybridMultilevel"/>
    <w:lvl w:ilvl="0">
      <w:lvlJc w:val="left"/>
      <w:lvlText w:val="(%1)"/>
      <w:numFmt w:val="upperLetter"/>
      <w:start w:val="1"/>
    </w:lvl>
  </w:abstractNum>
  <w:abstractNum w:abstractNumId="153">
    <w:nsid w:val="1A9A9E69"/>
    <w:multiLevelType w:val="hybridMultilevel"/>
    <w:lvl w:ilvl="0">
      <w:lvlJc w:val="left"/>
      <w:lvlText w:val="(%1)"/>
      <w:numFmt w:val="upperLetter"/>
      <w:start w:val="3"/>
    </w:lvl>
  </w:abstractNum>
  <w:abstractNum w:abstractNumId="154">
    <w:nsid w:val="475E256A"/>
    <w:multiLevelType w:val="hybridMultilevel"/>
    <w:lvl w:ilvl="0">
      <w:lvlJc w:val="left"/>
      <w:lvlText w:val="(%1)"/>
      <w:numFmt w:val="lowerRoman"/>
      <w:start w:val="2"/>
    </w:lvl>
  </w:abstractNum>
  <w:abstractNum w:abstractNumId="155">
    <w:nsid w:val="368DB37E"/>
    <w:multiLevelType w:val="hybridMultilevel"/>
    <w:lvl w:ilvl="0">
      <w:lvlJc w:val="left"/>
      <w:lvlText w:val="(%1)"/>
      <w:numFmt w:val="lowerLetter"/>
      <w:start w:val="3"/>
    </w:lvl>
  </w:abstractNum>
  <w:abstractNum w:abstractNumId="156">
    <w:nsid w:val="6A3B714C"/>
    <w:multiLevelType w:val="hybridMultilevel"/>
    <w:lvl w:ilvl="0">
      <w:lvlJc w:val="left"/>
      <w:lvlText w:val="(%1)"/>
      <w:numFmt w:val="lowerRoman"/>
      <w:start w:val="1"/>
    </w:lvl>
  </w:abstractNum>
  <w:abstractNum w:abstractNumId="157">
    <w:nsid w:val="327B517E"/>
    <w:multiLevelType w:val="hybridMultilevel"/>
    <w:lvl w:ilvl="0">
      <w:lvlJc w:val="left"/>
      <w:lvlText w:val="(%1)"/>
      <w:numFmt w:val="upperLetter"/>
      <w:start w:val="1"/>
    </w:lvl>
  </w:abstractNum>
  <w:abstractNum w:abstractNumId="158">
    <w:nsid w:val="1F461B51"/>
    <w:multiLevelType w:val="hybridMultilevel"/>
    <w:lvl w:ilvl="0">
      <w:lvlJc w:val="left"/>
      <w:lvlText w:val="(%1)"/>
      <w:numFmt w:val="upperLetter"/>
      <w:start w:val="3"/>
    </w:lvl>
  </w:abstractNum>
  <w:abstractNum w:abstractNumId="159">
    <w:nsid w:val="29BACF25"/>
    <w:multiLevelType w:val="hybridMultilevel"/>
    <w:lvl w:ilvl="0">
      <w:lvlJc w:val="left"/>
      <w:lvlText w:val="(%1)"/>
      <w:numFmt w:val="lowerRoman"/>
      <w:start w:val="2"/>
    </w:lvl>
  </w:abstractNum>
  <w:abstractNum w:abstractNumId="160">
    <w:nsid w:val="5D5BABB3"/>
    <w:multiLevelType w:val="hybridMultilevel"/>
    <w:lvl w:ilvl="0">
      <w:lvlJc w:val="left"/>
      <w:lvlText w:val="(%1)"/>
      <w:numFmt w:val="upperLetter"/>
      <w:start w:val="4"/>
    </w:lvl>
  </w:abstractNum>
  <w:abstractNum w:abstractNumId="161">
    <w:nsid w:val="51BF6B48"/>
    <w:multiLevelType w:val="hybridMultilevel"/>
    <w:lvl w:ilvl="0">
      <w:lvlJc w:val="left"/>
      <w:lvlText w:val="(%1)"/>
      <w:numFmt w:val="lowerLetter"/>
      <w:start w:val="4"/>
    </w:lvl>
  </w:abstractNum>
  <w:abstractNum w:abstractNumId="162">
    <w:nsid w:val="7E0F6384"/>
    <w:multiLevelType w:val="hybridMultilevel"/>
    <w:lvl w:ilvl="0">
      <w:lvlJc w:val="left"/>
      <w:lvlText w:val="(%1)"/>
      <w:numFmt w:val="lowerLetter"/>
      <w:start w:val="5"/>
    </w:lvl>
  </w:abstractNum>
  <w:abstractNum w:abstractNumId="163">
    <w:nsid w:val="2B4B8B53"/>
    <w:multiLevelType w:val="hybridMultilevel"/>
    <w:lvl w:ilvl="0">
      <w:lvlJc w:val="left"/>
      <w:lvlText w:val="%1."/>
      <w:numFmt w:val="decimal"/>
      <w:start w:val="8"/>
    </w:lvl>
  </w:abstractNum>
  <w:abstractNum w:abstractNumId="164">
    <w:nsid w:val="72E3413A"/>
    <w:multiLevelType w:val="hybridMultilevel"/>
    <w:lvl w:ilvl="0">
      <w:lvlJc w:val="left"/>
      <w:lvlText w:val="(%1)"/>
      <w:numFmt w:val="lowerLetter"/>
      <w:start w:val="1"/>
    </w:lvl>
  </w:abstractNum>
  <w:abstractNum w:abstractNumId="165">
    <w:nsid w:val="116AE494"/>
    <w:multiLevelType w:val="hybridMultilevel"/>
    <w:lvl w:ilvl="0">
      <w:lvlJc w:val="left"/>
      <w:lvlText w:val="(%1)"/>
      <w:numFmt w:val="lowerRoman"/>
      <w:start w:val="1"/>
    </w:lvl>
  </w:abstractNum>
  <w:abstractNum w:abstractNumId="166">
    <w:nsid w:val="3494B2FB"/>
    <w:multiLevelType w:val="hybridMultilevel"/>
    <w:lvl w:ilvl="0">
      <w:lvlJc w:val="left"/>
      <w:lvlText w:val="(%1)"/>
      <w:numFmt w:val="lowerRoman"/>
      <w:start w:val="2"/>
    </w:lvl>
  </w:abstractNum>
  <w:abstractNum w:abstractNumId="167">
    <w:nsid w:val="B13A31"/>
    <w:multiLevelType w:val="hybridMultilevel"/>
    <w:lvl w:ilvl="0">
      <w:lvlJc w:val="left"/>
      <w:lvlText w:val="(%1)"/>
      <w:numFmt w:val="lowerLetter"/>
      <w:start w:val="2"/>
    </w:lvl>
  </w:abstractNum>
  <w:abstractNum w:abstractNumId="168">
    <w:nsid w:val="64429599"/>
    <w:multiLevelType w:val="hybridMultilevel"/>
    <w:lvl w:ilvl="0">
      <w:lvlJc w:val="left"/>
      <w:lvlText w:val="%1."/>
      <w:numFmt w:val="decimal"/>
      <w:start w:val="9"/>
    </w:lvl>
  </w:abstractNum>
  <w:abstractNum w:abstractNumId="169">
    <w:nsid w:val="631F1690"/>
    <w:multiLevelType w:val="hybridMultilevel"/>
    <w:lvl w:ilvl="0">
      <w:lvlJc w:val="left"/>
      <w:lvlText w:val="(%1)"/>
      <w:numFmt w:val="lowerRoman"/>
      <w:start w:val="1"/>
    </w:lvl>
  </w:abstractNum>
  <w:abstractNum w:abstractNumId="170">
    <w:nsid w:val="25973E32"/>
    <w:multiLevelType w:val="hybridMultilevel"/>
    <w:lvl w:ilvl="0">
      <w:lvlJc w:val="left"/>
      <w:lvlText w:val="(%1)"/>
      <w:numFmt w:val="lowerRoman"/>
      <w:start w:val="2"/>
    </w:lvl>
    <w:lvl w:ilvl="1">
      <w:lvlJc w:val="left"/>
      <w:lvlText w:val="(%2)"/>
      <w:numFmt w:val="upperLetter"/>
      <w:start w:val="9"/>
    </w:lvl>
  </w:abstractNum>
  <w:abstractNum w:abstractNumId="171">
    <w:nsid w:val="EAD6F5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5"/>
    </w:lvl>
  </w:abstractNum>
  <w:abstractNum w:abstractNumId="172">
    <w:nsid w:val="6EC9D844"/>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173">
    <w:nsid w:val="5C49EAEE"/>
    <w:multiLevelType w:val="hybridMultilevel"/>
    <w:lvl w:ilvl="0">
      <w:lvlJc w:val="left"/>
      <w:lvlText w:val="%1."/>
      <w:numFmt w:val="decimal"/>
      <w:start w:val="10"/>
    </w:lvl>
    <w:lvl w:ilvl="1">
      <w:lvlJc w:val="left"/>
      <w:lvlText w:val="%2"/>
      <w:numFmt w:val="upperLetter"/>
      <w:start w:val="1"/>
    </w:lvl>
    <w:lvl w:ilvl="2">
      <w:lvlJc w:val="left"/>
      <w:lvlText w:val="%3"/>
      <w:numFmt w:val="upperLetter"/>
      <w:start w:val="1"/>
    </w:lvl>
  </w:abstractNum>
  <w:abstractNum w:abstractNumId="174">
    <w:nsid w:val="64AF49B"/>
    <w:multiLevelType w:val="hybridMultilevel"/>
    <w:lvl w:ilvl="0">
      <w:lvlJc w:val="left"/>
      <w:lvlText w:val="%1."/>
      <w:numFmt w:val="decimal"/>
      <w:start w:val="11"/>
    </w:lvl>
  </w:abstractNum>
  <w:abstractNum w:abstractNumId="175">
    <w:nsid w:val="397C46BC"/>
    <w:multiLevelType w:val="hybridMultilevel"/>
    <w:lvl w:ilvl="0">
      <w:lvlJc w:val="left"/>
      <w:lvlText w:val="(%1)"/>
      <w:numFmt w:val="lowerLetter"/>
      <w:start w:val="1"/>
    </w:lvl>
  </w:abstractNum>
  <w:abstractNum w:abstractNumId="176">
    <w:nsid w:val="7E448DE9"/>
    <w:multiLevelType w:val="hybridMultilevel"/>
    <w:lvl w:ilvl="0">
      <w:lvlJc w:val="left"/>
      <w:lvlText w:val="(%1)"/>
      <w:numFmt w:val="lowerRoman"/>
      <w:start w:val="1"/>
    </w:lvl>
  </w:abstractNum>
  <w:abstractNum w:abstractNumId="177">
    <w:nsid w:val="5A9CC3E5"/>
    <w:multiLevelType w:val="hybridMultilevel"/>
    <w:lvl w:ilvl="0">
      <w:lvlJc w:val="left"/>
      <w:lvlText w:val="(%1)"/>
      <w:numFmt w:val="lowerRoman"/>
      <w:start w:val="2"/>
    </w:lvl>
  </w:abstractNum>
  <w:abstractNum w:abstractNumId="178">
    <w:nsid w:val="1AFE3625"/>
    <w:multiLevelType w:val="hybridMultilevel"/>
    <w:lvl w:ilvl="0">
      <w:lvlJc w:val="left"/>
      <w:lvlText w:val="(%1)"/>
      <w:numFmt w:val="lowerLetter"/>
      <w:start w:val="2"/>
    </w:lvl>
  </w:abstractNum>
  <w:abstractNum w:abstractNumId="179">
    <w:nsid w:val="3CA88ECF"/>
    <w:multiLevelType w:val="hybridMultilevel"/>
    <w:lvl w:ilvl="0">
      <w:lvlJc w:val="left"/>
      <w:lvlText w:val="(%1)"/>
      <w:numFmt w:val="lowerLetter"/>
      <w:start w:val="5"/>
    </w:lvl>
  </w:abstractNum>
  <w:abstractNum w:abstractNumId="180">
    <w:nsid w:val="6EBE4208"/>
    <w:multiLevelType w:val="hybridMultilevel"/>
    <w:lvl w:ilvl="0">
      <w:lvlJc w:val="left"/>
      <w:lvlText w:val="%1."/>
      <w:numFmt w:val="decimal"/>
      <w:start w:val="12"/>
    </w:lvl>
  </w:abstractNum>
  <w:abstractNum w:abstractNumId="181">
    <w:nsid w:val="C058DF5"/>
    <w:multiLevelType w:val="hybridMultilevel"/>
    <w:lvl w:ilvl="0">
      <w:lvlJc w:val="left"/>
      <w:lvlText w:val="(%1)"/>
      <w:numFmt w:val="lowerLetter"/>
      <w:start w:val="1"/>
    </w:lvl>
  </w:abstractNum>
  <w:abstractNum w:abstractNumId="182">
    <w:nsid w:val="CBE5BE9"/>
    <w:multiLevelType w:val="hybridMultilevel"/>
    <w:lvl w:ilvl="0">
      <w:lvlJc w:val="left"/>
      <w:lvlText w:val="%1."/>
      <w:numFmt w:val="decimal"/>
      <w:start w:val="13"/>
    </w:lvl>
  </w:abstractNum>
  <w:abstractNum w:abstractNumId="183">
    <w:nsid w:val="3102BBE2"/>
    <w:multiLevelType w:val="hybridMultilevel"/>
    <w:lvl w:ilvl="0">
      <w:lvlJc w:val="left"/>
      <w:lvlText w:val="(%1)"/>
      <w:numFmt w:val="lowerLetter"/>
      <w:start w:val="1"/>
    </w:lvl>
  </w:abstractNum>
  <w:abstractNum w:abstractNumId="184">
    <w:nsid w:val="26A02C5E"/>
    <w:multiLevelType w:val="hybridMultilevel"/>
    <w:lvl w:ilvl="0">
      <w:lvlJc w:val="left"/>
      <w:lvlText w:val="%1."/>
      <w:numFmt w:val="decimal"/>
      <w:start w:val="14"/>
    </w:lvl>
  </w:abstractNum>
  <w:abstractNum w:abstractNumId="185">
    <w:nsid w:val="541C8153"/>
    <w:multiLevelType w:val="hybridMultilevel"/>
    <w:lvl w:ilvl="0">
      <w:lvlJc w:val="left"/>
      <w:lvlText w:val="%1."/>
      <w:numFmt w:val="decimal"/>
      <w:start w:val="15"/>
    </w:lvl>
  </w:abstractNum>
  <w:abstractNum w:abstractNumId="186">
    <w:nsid w:val="67906F60"/>
    <w:multiLevelType w:val="hybridMultilevel"/>
    <w:lvl w:ilvl="0">
      <w:lvlJc w:val="left"/>
      <w:lvlText w:val="%1."/>
      <w:numFmt w:val="decimal"/>
      <w:start w:val="16"/>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2"/>
    </w:lvl>
  </w:abstractNum>
  <w:abstractNum w:abstractNumId="189">
    <w:nsid w:val="6D68AB2"/>
    <w:multiLevelType w:val="hybridMultilevel"/>
    <w:lvl w:ilvl="0">
      <w:lvlJc w:val="left"/>
      <w:lvlText w:val="%1."/>
      <w:numFmt w:val="decimal"/>
      <w:start w:val="18"/>
    </w:lvl>
  </w:abstractNum>
  <w:abstractNum w:abstractNumId="190">
    <w:nsid w:val="3A966CD0"/>
    <w:multiLevelType w:val="hybridMultilevel"/>
    <w:lvl w:ilvl="0">
      <w:lvlJc w:val="left"/>
      <w:lvlText w:val="%1."/>
      <w:numFmt w:val="decimal"/>
      <w:start w:val="19"/>
    </w:lvl>
  </w:abstractNum>
  <w:abstractNum w:abstractNumId="191">
    <w:nsid w:val="63F37E85"/>
    <w:multiLevelType w:val="hybridMultilevel"/>
    <w:lvl w:ilvl="0">
      <w:lvlJc w:val="left"/>
      <w:lvlText w:val="(%1)"/>
      <w:numFmt w:val="lowerLetter"/>
      <w:start w:val="1"/>
    </w:lvl>
  </w:abstractNum>
  <w:abstractNum w:abstractNumId="192">
    <w:nsid w:val="5895F5FA"/>
    <w:multiLevelType w:val="hybridMultilevel"/>
    <w:lvl w:ilvl="0">
      <w:lvlJc w:val="left"/>
      <w:lvlText w:val="(%1)"/>
      <w:numFmt w:val="lowerLetter"/>
      <w:start w:val="2"/>
    </w:lvl>
  </w:abstractNum>
  <w:abstractNum w:abstractNumId="193">
    <w:nsid w:val="38A5D054"/>
    <w:multiLevelType w:val="hybridMultilevel"/>
    <w:lvl w:ilvl="0">
      <w:lvlJc w:val="left"/>
      <w:lvlText w:val="●"/>
      <w:numFmt w:val="bullet"/>
      <w:start w:val="1"/>
    </w:lvl>
  </w:abstractNum>
  <w:abstractNum w:abstractNumId="194">
    <w:nsid w:val="F3F09D8"/>
    <w:multiLevelType w:val="hybridMultilevel"/>
    <w:lvl w:ilvl="0">
      <w:lvlJc w:val="left"/>
      <w:lvlText w:val="●"/>
      <w:numFmt w:val="bullet"/>
      <w:start w:val="1"/>
    </w:lvl>
  </w:abstractNum>
  <w:abstractNum w:abstractNumId="195">
    <w:nsid w:val="4B793735"/>
    <w:multiLevelType w:val="hybridMultilevel"/>
    <w:lvl w:ilvl="0">
      <w:lvlJc w:val="left"/>
      <w:lvlText w:val="%1."/>
      <w:numFmt w:val="decimal"/>
      <w:start w:val="1"/>
    </w:lvl>
  </w:abstractNum>
  <w:abstractNum w:abstractNumId="196">
    <w:nsid w:val="4A10B4E8"/>
    <w:multiLevelType w:val="hybridMultilevel"/>
    <w:lvl w:ilvl="0">
      <w:lvlJc w:val="left"/>
      <w:lvlText w:val="%1."/>
      <w:numFmt w:val="decimal"/>
      <w:start w:val="11"/>
    </w:lvl>
  </w:abstractNum>
  <w:abstractNum w:abstractNumId="197">
    <w:nsid w:val="43D3BCD4"/>
    <w:multiLevelType w:val="hybridMultilevel"/>
    <w:lvl w:ilvl="0">
      <w:lvlJc w:val="left"/>
      <w:lvlText w:val="%1."/>
      <w:numFmt w:val="decimal"/>
      <w:start w:val="1"/>
    </w:lvl>
  </w:abstractNum>
  <w:abstractNum w:abstractNumId="198">
    <w:nsid w:val="4C2A7166"/>
    <w:multiLevelType w:val="hybridMultilevel"/>
    <w:lvl w:ilvl="0">
      <w:lvlJc w:val="left"/>
      <w:lvlText w:val="%1."/>
      <w:numFmt w:val="decimal"/>
      <w:start w:val="2"/>
    </w:lvl>
  </w:abstractNum>
  <w:abstractNum w:abstractNumId="199">
    <w:nsid w:val="2E534A82"/>
    <w:multiLevelType w:val="hybridMultilevel"/>
    <w:lvl w:ilvl="0">
      <w:lvlJc w:val="left"/>
      <w:lvlText w:val="%1."/>
      <w:numFmt w:val="decimal"/>
      <w:start w:val="3"/>
    </w:lvl>
  </w:abstractNum>
  <w:abstractNum w:abstractNumId="200">
    <w:nsid w:val="26F2D364"/>
    <w:multiLevelType w:val="hybridMultilevel"/>
    <w:lvl w:ilvl="0">
      <w:lvlJc w:val="left"/>
      <w:lvlText w:val="%1)"/>
      <w:numFmt w:val="decimal"/>
      <w:start w:val="1"/>
    </w:lvl>
    <w:lvl w:ilvl="1">
      <w:lvlJc w:val="left"/>
      <w:lvlText w:val="%2)"/>
      <w:numFmt w:val="lowerLetter"/>
      <w:start w:val="1"/>
    </w:lvl>
  </w:abstractNum>
  <w:abstractNum w:abstractNumId="201">
    <w:nsid w:val="71C1AF98"/>
    <w:multiLevelType w:val="hybridMultilevel"/>
    <w:lvl w:ilvl="0">
      <w:lvlJc w:val="left"/>
      <w:lvlText w:val="%1)"/>
      <w:numFmt w:val="decimal"/>
      <w:start w:val="1"/>
    </w:lvl>
    <w:lvl w:ilvl="1">
      <w:lvlJc w:val="left"/>
      <w:lvlText w:val="%2)"/>
      <w:numFmt w:val="lowerLetter"/>
      <w:start w:val="1"/>
    </w:lvl>
  </w:abstractNum>
  <w:abstractNum w:abstractNumId="202">
    <w:nsid w:val="3D00B9D9"/>
    <w:multiLevelType w:val="hybridMultilevel"/>
    <w:lvl w:ilvl="0">
      <w:lvlJc w:val="left"/>
      <w:lvlText w:val="(%1)"/>
      <w:numFmt w:val="decimal"/>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4"/>
    </w:lvl>
    <w:lvl w:ilvl="1">
      <w:lvlJc w:val="left"/>
      <w:lvlText w:val="(%2)"/>
      <w:numFmt w:val="lowerLetter"/>
      <w:start w:val="1"/>
    </w:lvl>
  </w:abstractNum>
  <w:abstractNum w:abstractNumId="205">
    <w:nsid w:val="434BAE7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jpe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jpe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jpe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120" Type="http://schemas.openxmlformats.org/officeDocument/2006/relationships/hyperlink" Target="https://www.sec.gov/Archives/edgar/data/846617/000110465921010989/tm214955d1_ex3-1.htm" TargetMode="External"/><Relationship Id="rId121" Type="http://schemas.openxmlformats.org/officeDocument/2006/relationships/hyperlink" Target="https://www.sec.gov/Archives/edgar/data/846617/000094337424000436/ex3-2_8k102424.htm" TargetMode="External"/><Relationship Id="rId122" Type="http://schemas.openxmlformats.org/officeDocument/2006/relationships/hyperlink" Target="https://www.sec.gov/Archives/edgar/data/846617/000157104915007787/t1502187_ex4-1.htm" TargetMode="External"/><Relationship Id="rId123" Type="http://schemas.openxmlformats.org/officeDocument/2006/relationships/hyperlink" Target="https://www.sec.gov/Archives/edgar/data/846617/000157104915007787/t1502187_ex4-2.htm" TargetMode="External"/><Relationship Id="rId124" Type="http://schemas.openxmlformats.org/officeDocument/2006/relationships/hyperlink" Target="https://www.sec.gov/Archives/edgar/data/846617/000157104915007787/t1502187_ex4-3.htm" TargetMode="External"/><Relationship Id="rId125" Type="http://schemas.openxmlformats.org/officeDocument/2006/relationships/hyperlink" Target="https://www.sec.gov/Archives/edgar/data/1005409/000156761917001276/s001743x2_ex4-1.htm" TargetMode="External"/><Relationship Id="rId126" Type="http://schemas.openxmlformats.org/officeDocument/2006/relationships/hyperlink" Target="https://www.sec.gov/Archives/edgar/data/1005409/000156761917001276/s001743x2_ex4-2.htm" TargetMode="External"/><Relationship Id="rId127" Type="http://schemas.openxmlformats.org/officeDocument/2006/relationships/hyperlink" Target="https://www.sec.gov/Archives/edgar/data/846617/000110465921009751/tm214412d1_ex4-3.htm" TargetMode="External"/><Relationship Id="rId128" Type="http://schemas.openxmlformats.org/officeDocument/2006/relationships/hyperlink" Target="https://www.sec.gov/Archives/edgar/data/846617/000110465922056846/tm2214585d1_ex4-1.htm" TargetMode="External"/><Relationship Id="rId129" Type="http://schemas.openxmlformats.org/officeDocument/2006/relationships/hyperlink" Target="https://www.sec.gov/Archives/edgar/data/846617/000110465922056846/tm2214585d1_ex4-2.htm" TargetMode="External"/><Relationship Id="rId130" Type="http://schemas.openxmlformats.org/officeDocument/2006/relationships/hyperlink" Target="https://www.sec.gov/Archives/edgar/data/846617/000110465924076292/tm2417725d4_ex4-2.htm" TargetMode="External"/><Relationship Id="rId131" Type="http://schemas.openxmlformats.org/officeDocument/2006/relationships/hyperlink" Target="https://www.sec.gov/Archives/edgar/data/846617/000110465920115028/tm2028785d4_ex10-4.htm" TargetMode="External"/><Relationship Id="rId132" Type="http://schemas.openxmlformats.org/officeDocument/2006/relationships/hyperlink" Target="https://www.sec.gov/Archives/edgar/data/846617/000094337421000290/ex10-1_8k062821.htm" TargetMode="External"/><Relationship Id="rId133" Type="http://schemas.openxmlformats.org/officeDocument/2006/relationships/hyperlink" Target="https://www.sec.gov/Archives/edgar/data/846617/000094337421000546/ex10-1_8k1222321.htm" TargetMode="External"/><Relationship Id="rId134" Type="http://schemas.openxmlformats.org/officeDocument/2006/relationships/hyperlink" Target="https://www.sec.gov/Archives/edgar/data/846617/000110465920115028/tm2028785d4_ex10-5.htm" TargetMode="External"/><Relationship Id="rId135" Type="http://schemas.openxmlformats.org/officeDocument/2006/relationships/hyperlink" Target="https://www.sec.gov/Archives/edgar/data/846617/000110465920115028/tm2028785d4_ex10-6.htm" TargetMode="External"/><Relationship Id="rId136" Type="http://schemas.openxmlformats.org/officeDocument/2006/relationships/hyperlink" Target="https://www.sec.gov/Archives/edgar/data/846617/000110465920115028/tm2028785d4_ex10-7.htm" TargetMode="External"/><Relationship Id="rId137" Type="http://schemas.openxmlformats.org/officeDocument/2006/relationships/hyperlink" Target="https://www.sec.gov/Archives/edgar/data/846617/000094337421000474/ex10-1_8k102821.htm" TargetMode="External"/><Relationship Id="rId138" Type="http://schemas.openxmlformats.org/officeDocument/2006/relationships/hyperlink" Target="https://www.sec.gov/Archives/edgar/data/846617/000084661723000018/dcom-20221231xex10d10.htm" TargetMode="External"/><Relationship Id="rId139" Type="http://schemas.openxmlformats.org/officeDocument/2006/relationships/hyperlink" Target="https://www.sec.gov/Archives/edgar/data/846617/000084661721000020/dcom-20210527xdef14a.htm" TargetMode="External"/><Relationship Id="rId140" Type="http://schemas.openxmlformats.org/officeDocument/2006/relationships/hyperlink" Target="https://www.sec.gov/Archives/edgar/data/846617/000084661719000021/bdge-20190503xdef14a.htm" TargetMode="External"/><Relationship Id="rId141" Type="http://schemas.openxmlformats.org/officeDocument/2006/relationships/hyperlink" Target="https://www.sec.gov/Archives/edgar/data/846617/000114420418018613/tv489944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2025-02-20T16:40:23Z</dcterms:created>
  <dcterms:modified xsi:type="dcterms:W3CDTF">2025-02-20T16:40:23Z</dcterms:modified>
</cp:coreProperties>
</file>