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ind w:left="1740" w:hanging="169"/>
        <w:spacing w:after="0"/>
        <w:tabs>
          <w:tab w:leader="none" w:pos="17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93" w:lineRule="exact"/>
        <w:rPr>
          <w:sz w:val="24"/>
          <w:szCs w:val="24"/>
          <w:color w:val="auto"/>
        </w:rPr>
      </w:pPr>
    </w:p>
    <w:p>
      <w:pPr>
        <w:ind w:left="1760" w:hanging="215"/>
        <w:spacing w:after="0"/>
        <w:tabs>
          <w:tab w:leader="none" w:pos="17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9" w:lineRule="exact"/>
        <w:rPr>
          <w:sz w:val="24"/>
          <w:szCs w:val="24"/>
          <w:color w:val="auto"/>
        </w:rPr>
      </w:pPr>
    </w:p>
    <w:p>
      <w:pPr>
        <w:ind w:left="4000"/>
        <w:spacing w:after="0"/>
        <w:tabs>
          <w:tab w:leader="none" w:pos="612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 001-34096</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DIME COMMUNITY BANCSHARES, INC.</w:t>
      </w:r>
    </w:p>
    <w:p>
      <w:pPr>
        <w:spacing w:after="0" w:line="5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jc w:val="center"/>
              <w:ind w:left="1664"/>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20" w:type="dxa"/>
            <w:vAlign w:val="bottom"/>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11-2934195</w:t>
            </w:r>
          </w:p>
        </w:tc>
        <w:tc>
          <w:tcPr>
            <w:tcW w:w="0" w:type="dxa"/>
            <w:vAlign w:val="bottom"/>
          </w:tcPr>
          <w:p>
            <w:pPr>
              <w:spacing w:after="0"/>
              <w:rPr>
                <w:sz w:val="1"/>
                <w:szCs w:val="1"/>
                <w:color w:val="auto"/>
              </w:rPr>
            </w:pPr>
          </w:p>
        </w:tc>
      </w:tr>
      <w:tr>
        <w:trPr>
          <w:trHeight w:val="212"/>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22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393"/>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898 Veterans Memorial Highway, Suite 560, Hauppauge, NY</w:t>
            </w:r>
          </w:p>
        </w:tc>
        <w:tc>
          <w:tcPr>
            <w:tcW w:w="422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11788</w:t>
            </w:r>
          </w:p>
        </w:tc>
        <w:tc>
          <w:tcPr>
            <w:tcW w:w="0" w:type="dxa"/>
            <w:vAlign w:val="bottom"/>
          </w:tcPr>
          <w:p>
            <w:pPr>
              <w:spacing w:after="0"/>
              <w:rPr>
                <w:sz w:val="1"/>
                <w:szCs w:val="1"/>
                <w:color w:val="auto"/>
              </w:rPr>
            </w:pPr>
          </w:p>
        </w:tc>
      </w:tr>
      <w:tr>
        <w:trPr>
          <w:trHeight w:val="214"/>
        </w:trPr>
        <w:tc>
          <w:tcPr>
            <w:tcW w:w="60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Address of principal executive offices)</w:t>
            </w:r>
          </w:p>
        </w:tc>
        <w:tc>
          <w:tcPr>
            <w:tcW w:w="4220" w:type="dxa"/>
            <w:vAlign w:val="bottom"/>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(631) 537-1000</w:t>
            </w: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6920" w:type="dxa"/>
            <w:vAlign w:val="bottom"/>
            <w:gridSpan w:val="6"/>
          </w:tcPr>
          <w:p>
            <w:pPr>
              <w:jc w:val="center"/>
              <w:ind w:right="318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51"/>
        </w:trPr>
        <w:tc>
          <w:tcPr>
            <w:tcW w:w="3300" w:type="dxa"/>
            <w:vAlign w:val="bottom"/>
            <w:vMerge w:val="restart"/>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20" w:type="dxa"/>
            <w:vAlign w:val="bottom"/>
            <w:vMerge w:val="restart"/>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00" w:type="dxa"/>
            <w:vAlign w:val="bottom"/>
            <w:tcBorders>
              <w:top w:val="single" w:sz="8" w:color="auto"/>
            </w:tcBorders>
          </w:tcPr>
          <w:p>
            <w:pPr>
              <w:jc w:val="center"/>
              <w:ind w:left="544"/>
              <w:spacing w:after="0" w:line="119" w:lineRule="exact"/>
              <w:rPr>
                <w:sz w:val="20"/>
                <w:szCs w:val="20"/>
                <w:color w:val="auto"/>
              </w:rPr>
            </w:pPr>
            <w:r>
              <w:rPr>
                <w:rFonts w:ascii="Times New Roman" w:cs="Times New Roman" w:eastAsia="Times New Roman" w:hAnsi="Times New Roman"/>
                <w:sz w:val="13"/>
                <w:szCs w:val="13"/>
                <w:color w:val="auto"/>
              </w:rPr>
              <w:t>Common Stock, $0.01 Par Value</w:t>
            </w: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DCOM</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20" w:type="dxa"/>
            <w:vAlign w:val="bottom"/>
            <w:tcBorders>
              <w:top w:val="single" w:sz="8" w:color="auto"/>
            </w:tcBorders>
          </w:tcPr>
          <w:p>
            <w:pPr>
              <w:jc w:val="center"/>
              <w:ind w:right="304"/>
              <w:spacing w:after="0" w:line="119" w:lineRule="exact"/>
              <w:rPr>
                <w:sz w:val="20"/>
                <w:szCs w:val="20"/>
                <w:color w:val="auto"/>
              </w:rPr>
            </w:pPr>
            <w:r>
              <w:rPr>
                <w:rFonts w:ascii="Times New Roman" w:cs="Times New Roman" w:eastAsia="Times New Roman" w:hAnsi="Times New Roman"/>
                <w:sz w:val="13"/>
                <w:szCs w:val="13"/>
                <w:color w:val="auto"/>
              </w:rPr>
              <w:t>The NASDAQ Stock Market</w:t>
            </w:r>
          </w:p>
        </w:tc>
        <w:tc>
          <w:tcPr>
            <w:tcW w:w="0" w:type="dxa"/>
            <w:vAlign w:val="bottom"/>
          </w:tcPr>
          <w:p>
            <w:pPr>
              <w:spacing w:after="0"/>
              <w:rPr>
                <w:sz w:val="1"/>
                <w:szCs w:val="1"/>
                <w:color w:val="auto"/>
              </w:rPr>
            </w:pPr>
          </w:p>
        </w:tc>
      </w:tr>
      <w:tr>
        <w:trPr>
          <w:trHeight w:val="148"/>
        </w:trPr>
        <w:tc>
          <w:tcPr>
            <w:tcW w:w="3300" w:type="dxa"/>
            <w:vAlign w:val="bottom"/>
          </w:tcPr>
          <w:p>
            <w:pPr>
              <w:jc w:val="center"/>
              <w:ind w:left="524"/>
              <w:spacing w:after="0" w:line="149" w:lineRule="exact"/>
              <w:rPr>
                <w:sz w:val="20"/>
                <w:szCs w:val="20"/>
                <w:color w:val="auto"/>
              </w:rPr>
            </w:pPr>
            <w:r>
              <w:rPr>
                <w:rFonts w:ascii="Times New Roman" w:cs="Times New Roman" w:eastAsia="Times New Roman" w:hAnsi="Times New Roman"/>
                <w:sz w:val="14"/>
                <w:szCs w:val="14"/>
                <w:color w:val="auto"/>
              </w:rPr>
              <w:t>Preferred Stock, Series A, $0.01 Par Value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DCOMP</w:t>
            </w:r>
          </w:p>
        </w:tc>
        <w:tc>
          <w:tcPr>
            <w:tcW w:w="422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44"/>
              <w:spacing w:after="0"/>
              <w:rPr>
                <w:sz w:val="20"/>
                <w:szCs w:val="20"/>
                <w:color w:val="auto"/>
              </w:rPr>
            </w:pPr>
            <w:r>
              <w:rPr>
                <w:rFonts w:ascii="Times New Roman" w:cs="Times New Roman" w:eastAsia="Times New Roman" w:hAnsi="Times New Roman"/>
                <w:sz w:val="14"/>
                <w:szCs w:val="14"/>
                <w:color w:val="auto"/>
              </w:rPr>
              <w:t>9.000% Subordinated Notes, $25.00 Par Value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DCOMG</w:t>
            </w:r>
          </w:p>
        </w:tc>
        <w:tc>
          <w:tcPr>
            <w:tcW w:w="4220" w:type="dxa"/>
            <w:vAlign w:val="bottom"/>
          </w:tcPr>
          <w:p>
            <w:pPr>
              <w:jc w:val="center"/>
              <w:ind w:right="304"/>
              <w:spacing w:after="0"/>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47"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400" w:space="720"/>
            <w:col w:w="1860" w:space="60"/>
            <w:col w:w="3200"/>
          </w:cols>
          <w:pgMar w:left="820" w:top="661" w:right="839" w:bottom="1440" w:gutter="0" w:footer="0" w:header="0"/>
          <w:type w:val="continuous"/>
        </w:sectPr>
      </w:pPr>
    </w:p>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20" w:right="18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3080" w:type="dxa"/>
            <w:vAlign w:val="bottom"/>
            <w:gridSpan w:val="2"/>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Classes of Common Stock</w:t>
            </w:r>
          </w:p>
        </w:tc>
        <w:tc>
          <w:tcPr>
            <w:tcW w:w="554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Number of shares outstanding at October 30, 2024</w:t>
            </w:r>
          </w:p>
        </w:tc>
      </w:tr>
      <w:tr>
        <w:trPr>
          <w:trHeight w:val="217"/>
        </w:trPr>
        <w:tc>
          <w:tcPr>
            <w:tcW w:w="16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$0.01 Par Value</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8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color w:val="auto"/>
              </w:rPr>
              <w:t>39,150,364</w:t>
            </w:r>
          </w:p>
        </w:tc>
        <w:tc>
          <w:tcPr>
            <w:tcW w:w="780" w:type="dxa"/>
            <w:vAlign w:val="bottom"/>
          </w:tcPr>
          <w:p>
            <w:pPr>
              <w:spacing w:after="0"/>
              <w:rPr>
                <w:sz w:val="18"/>
                <w:szCs w:val="18"/>
                <w:color w:val="auto"/>
              </w:rPr>
            </w:pPr>
          </w:p>
        </w:tc>
      </w:tr>
      <w:tr>
        <w:trPr>
          <w:trHeight w:val="101"/>
        </w:trPr>
        <w:tc>
          <w:tcPr>
            <w:tcW w:w="16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6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42"/>
        </w:trPr>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Item 1.</w:t>
            </w:r>
          </w:p>
        </w:tc>
        <w:tc>
          <w:tcPr>
            <w:tcW w:w="7640" w:type="dxa"/>
            <w:vAlign w:val="bottom"/>
            <w:gridSpan w:val="12"/>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Financial Statements</w:t>
            </w:r>
          </w:p>
        </w:tc>
        <w:tc>
          <w:tcPr>
            <w:tcW w:w="380" w:type="dxa"/>
            <w:vAlign w:val="bottom"/>
          </w:tcPr>
          <w:p>
            <w:pPr>
              <w:spacing w:after="0"/>
              <w:rPr>
                <w:sz w:val="12"/>
                <w:szCs w:val="12"/>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Consolidated Statements of Financial Condition at September 30, 2024 and December 31, 2023</w:t>
            </w:r>
          </w:p>
        </w:tc>
        <w:tc>
          <w:tcPr>
            <w:tcW w:w="1440" w:type="dxa"/>
            <w:vAlign w:val="bottom"/>
            <w:gridSpan w:val="4"/>
          </w:tcPr>
          <w:p>
            <w:pPr>
              <w:spacing w:after="0"/>
              <w:rPr>
                <w:sz w:val="17"/>
                <w:szCs w:val="17"/>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20" w:type="dxa"/>
            <w:vAlign w:val="bottom"/>
            <w:tcBorders>
              <w:bottom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Three and Nine Months Ended September 30, 2024 and 2023</w:t>
            </w:r>
          </w:p>
        </w:tc>
        <w:tc>
          <w:tcPr>
            <w:tcW w:w="620" w:type="dxa"/>
            <w:vAlign w:val="bottom"/>
            <w:gridSpan w:val="2"/>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and Nine Months Ended September 30, 2024 and</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3"/>
              </w:rPr>
              <w:t>2023</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Changes in Stockholders’ Equity for the Three and Nine Months Ended September 30,</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8"/>
              </w:rPr>
              <w:t>2024 and 2023</w:t>
            </w:r>
          </w:p>
        </w:tc>
        <w:tc>
          <w:tcPr>
            <w:tcW w:w="66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38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Nine Months Ended September 30, 2024 and 2023</w:t>
            </w:r>
          </w:p>
        </w:tc>
        <w:tc>
          <w:tcPr>
            <w:tcW w:w="1260" w:type="dxa"/>
            <w:vAlign w:val="bottom"/>
            <w:gridSpan w:val="3"/>
          </w:tcPr>
          <w:p>
            <w:pPr>
              <w:spacing w:after="0"/>
              <w:rPr>
                <w:sz w:val="15"/>
                <w:szCs w:val="15"/>
                <w:color w:val="auto"/>
              </w:rPr>
            </w:pP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40</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54</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64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3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56</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1A.</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Risk Factors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300" w:type="dxa"/>
            <w:vAlign w:val="bottom"/>
          </w:tcPr>
          <w:p>
            <w:pPr>
              <w:spacing w:after="0"/>
              <w:rPr>
                <w:sz w:val="15"/>
                <w:szCs w:val="15"/>
                <w:color w:val="auto"/>
              </w:rPr>
            </w:pP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Unregistered Sales of Equity Securities, Use of Proceeds and Issuer Purchases of Equity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Other Information</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7"/>
              </w:rPr>
              <w:t>Signatures</w:t>
            </w:r>
          </w:p>
        </w:tc>
        <w:tc>
          <w:tcPr>
            <w:tcW w:w="6400" w:type="dxa"/>
            <w:vAlign w:val="bottom"/>
            <w:gridSpan w:val="6"/>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p>
      <w:pPr>
        <w:spacing w:after="0" w:line="18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competitive pressure among financial institutions or from non-financial institutions;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 in market interest rates, which may affect demand for our products, interest margins and the fair value of financial instruments;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or composition, loan demand or real estate values;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and composition of our loan or investment portfolios or unanticipated or significant increases in loan losses;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and/or individual income tax laws or policies;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the Company’s information technology security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or the integration of any acquired entities;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unanticipated expenses incurred in the consummation of new business initiatives or the integration of any acquired entities;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matters before regulatory agencies; and</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referred to in the section entitled "Risk Factors" in our Annual Report on Form 10-K for the year ended December 31, 2023, as updated by our subsequent Quarterly Reports on Form 10-Q and Current Reports on Form 8-K.</w:t>
      </w:r>
    </w:p>
    <w:p>
      <w:pPr>
        <w:spacing w:after="0" w:line="18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The Company has no obligation to update any forward-looking statements to reflect events or circumstances after the date of this document.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left="1520" w:right="1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FINANCIAL CONDITION (UNAUDITED) </w:t>
      </w:r>
      <w:r>
        <w:rPr>
          <w:rFonts w:ascii="Times New Roman" w:cs="Times New Roman" w:eastAsia="Times New Roman" w:hAnsi="Times New Roman"/>
          <w:sz w:val="18"/>
          <w:szCs w:val="18"/>
          <w:color w:val="auto"/>
        </w:rPr>
        <w:t>(Dollars in thousands except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626,056</w:t>
            </w:r>
          </w:p>
        </w:tc>
        <w:tc>
          <w:tcPr>
            <w:tcW w:w="1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available-for-sale, at fair value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774,608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886,240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held-to-maturity</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592,414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594,639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13,098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investment, net of fees and costs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10,892,044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10,773,428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(85,221)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(71,743)</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loans held for investment, net</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10,806,823</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10,701,685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Premises and fixed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35,066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Premises held for sale</w:t>
            </w:r>
          </w:p>
        </w:tc>
        <w:tc>
          <w:tcPr>
            <w:tcW w:w="1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64,235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Owned Life Insurance ("BOLI")</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372,367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155,797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4,181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48,537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105,636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54,578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93,133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13,746,529</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13,636,005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8,098,312</w:t>
            </w:r>
          </w:p>
        </w:tc>
        <w:tc>
          <w:tcPr>
            <w:tcW w:w="1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7,585,020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3,231,160</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2,884,378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Deposits (excluding mortgage escrow deposits)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11,329,472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10,469,398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Non-interest-bearing mortgage escrow deposits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87,841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mortgage escrow deposits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Mortgage escrow deposits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87,846</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Federal Home Loan Bank of New York ("FHLBNY") advances</w:t>
            </w: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272,300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68,960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51,362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98,108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66,552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12,482,600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12,409,780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Series A ($0.01 par, $25.00 liquidation value, 10,000,000 shares authorized and 5,299,200 shares</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116,569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at September 30, 2024 and December 31, 2023)</w:t>
            </w: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7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80,000,000 shares authorized, 41,644,395 shares and 41,637,256 shares issued at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September 30, 2024 and December 31, 2023 respectively, and 39,151,650 shares and 38,822,654 shares</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 and December 31, 2023, respectively)</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488,607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827,690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deferred taxes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(72,970)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(91,579)</w:t>
            </w: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Unearned equity awards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(10,111)</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(8,622)</w:t>
            </w: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Treasury stock, at cost (2,492,745 shares and 2,814,602 shares at September 30, 2024 and December 31, 2023,</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(86,272)</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(98,020)</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1,263,929</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1,226,225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13,746,529</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13,636,005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OPERATIONS (UNAUDITED) </w:t>
      </w:r>
      <w:r>
        <w:rPr>
          <w:rFonts w:ascii="Times New Roman" w:cs="Times New Roman" w:eastAsia="Times New Roman" w:hAnsi="Times New Roman"/>
          <w:sz w:val="18"/>
          <w:szCs w:val="18"/>
          <w:color w:val="auto"/>
        </w:rPr>
        <w:t>(Dollars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78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78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9"/>
        </w:trPr>
        <w:tc>
          <w:tcPr>
            <w:tcW w:w="5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151,828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142,995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442,492</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23,553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short-term investments</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4,645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18,621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164,239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157,841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484,666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escrow</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219,972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cash collateral</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5,244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84,315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81,362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257,710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208,154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79,924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226,956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(recovery) for credit losses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(recovery) for credit losses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68,321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204,558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other fees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fees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SBA Loans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residential loans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change in equity securities and loans held for sale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(1,219)</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on sale of securities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of other assets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7,631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29,906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processing costs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deposit insurance premiums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extinguishment of debt for FHLBNY advances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57,729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59,523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165,934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159,184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19,033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5,465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44,032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74,321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COMPREHENSIVE INCOME (UNAUDITED) </w:t>
      </w:r>
      <w:r>
        <w:rPr>
          <w:rFonts w:ascii="Times New Roman" w:cs="Times New Roman" w:eastAsia="Times New Roman" w:hAnsi="Times New Roman"/>
          <w:sz w:val="18"/>
          <w:szCs w:val="18"/>
          <w:color w:val="auto"/>
        </w:rPr>
        <w:t>(Dollars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68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13,327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49,497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79,786</w:t>
            </w: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securities: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gain (loss) during the period</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25,135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(4,374)</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32,254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(17,967)</w:t>
            </w:r>
          </w:p>
        </w:tc>
        <w:tc>
          <w:tcPr>
            <w:tcW w:w="0" w:type="dxa"/>
            <w:vAlign w:val="bottom"/>
          </w:tcPr>
          <w:p>
            <w:pPr>
              <w:spacing w:after="0"/>
              <w:rPr>
                <w:sz w:val="1"/>
                <w:szCs w:val="1"/>
                <w:color w:val="auto"/>
              </w:rPr>
            </w:pPr>
          </w:p>
        </w:tc>
      </w:tr>
      <w:tr>
        <w:trPr>
          <w:trHeight w:val="126"/>
        </w:trPr>
        <w:tc>
          <w:tcPr>
            <w:tcW w:w="52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Reclassification adjustment for net losses included in net loss on sale of securities</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other assets</w:t>
            </w: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net unrealized loss on securities transferred to held-to-maturity</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pension and other postretirement obligations: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 included in other expense</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(317)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(952)</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the net actuarial gain</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1,560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derivatives: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loss during the period</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(14,500)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(15,483)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48"/>
        </w:trPr>
        <w:tc>
          <w:tcPr>
            <w:tcW w:w="52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 included in interest expense</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2,752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7,707</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Other comprehensive income (loss) before income taxes</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14,355</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(3,391)</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27,387</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(14,228)</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Deferred tax expense</w:t>
            </w: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8,778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comprehensive income (loss), net of tax</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9,810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(2,528)</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18,609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142"/>
        </w:trPr>
        <w:tc>
          <w:tcPr>
            <w:tcW w:w="52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23,137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12,457</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68,106</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67,252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2024</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38,822,654</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$ 494,454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$813,007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(91,579)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(8,622)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$(98,020)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1,226,225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17,691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17,691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155,782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(3,299)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5,128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(46,603)</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(1,029)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(9,747)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(9,747)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2024</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38,931,833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492,834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819,130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(85,466)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(10,191)</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(93,921)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1,239,371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223,202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(3,128)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(7,185)</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(9,707)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(9,707)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2024</w:t>
            </w:r>
          </w:p>
        </w:tc>
        <w:tc>
          <w:tcPr>
            <w:tcW w:w="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39,147,850</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488,760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826,080</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(82,780)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(12,023)</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(86,426)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1,250,596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13,327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11,669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(7,869)</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(249)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(249)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(9,895)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(9,895)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September 30, 2024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39,151,650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$ 488,607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827,690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(72,970)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(86,272)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1,263,929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240" w:right="1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(CONTINUED) </w:t>
      </w: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Unearned</w:t>
            </w:r>
          </w:p>
        </w:tc>
        <w:tc>
          <w:tcPr>
            <w:tcW w:w="14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gridSpan w:val="3"/>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Taxes</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2023</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38,573,000</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$ 495,410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$762,762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(94,379)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(8,078)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(103,117)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1,169,583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37,303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293,106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(36,932)</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(9,234)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2023</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38,804,361</w:t>
            </w: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493,801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789,010</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(98,638)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(13,468)</w:t>
            </w:r>
          </w:p>
        </w:tc>
        <w:tc>
          <w:tcPr>
            <w:tcW w:w="1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(96,437)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1,191,253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27,498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13,262</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 net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(10,154)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42"/>
        </w:trPr>
        <w:tc>
          <w:tcPr>
            <w:tcW w:w="22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2023</w:t>
            </w:r>
          </w:p>
        </w:tc>
        <w:tc>
          <w:tcPr>
            <w:tcW w:w="10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38,803,119</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493,955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804,532</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(104,385)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(11,746)</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(96,838)</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1,202,503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12,598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(5,171)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Ending balance as of</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38,810,546</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116,569</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416</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$ 494,470</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808,235</w:t>
            </w:r>
          </w:p>
        </w:tc>
        <w:tc>
          <w:tcPr>
            <w:tcW w:w="300" w:type="dxa"/>
            <w:vAlign w:val="bottom"/>
            <w:gridSpan w:val="2"/>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(106,913)</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(10,170)</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(98,263)</w:t>
            </w:r>
          </w:p>
        </w:tc>
        <w:tc>
          <w:tcPr>
            <w:tcW w:w="26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1,204,344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September 30, 2023</w:t>
            </w:r>
          </w:p>
        </w:tc>
        <w:tc>
          <w:tcPr>
            <w:tcW w:w="980" w:type="dxa"/>
            <w:vAlign w:val="bottom"/>
            <w:gridSpan w:val="2"/>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170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CASH FLOWS (UNAUDITED) </w:t>
      </w:r>
      <w:r>
        <w:rPr>
          <w:rFonts w:ascii="Times New Roman" w:cs="Times New Roman" w:eastAsia="Times New Roman" w:hAnsi="Times New Roman"/>
          <w:sz w:val="18"/>
          <w:szCs w:val="18"/>
          <w:color w:val="auto"/>
        </w:rPr>
        <w:t>(Dollars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49,497</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79,786</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on sale of securities available-for-sale</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loss on sale of other assets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(6,665)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change in equity securities and loans held for sale</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gain on sale of loans held for sale</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(527)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depreciation, amortization and accretion</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4,445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fair value hedge basis point adjustments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1,862</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other intangible assets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878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454</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4,982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22,398</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(7,451)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 of loans originated for sale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13,346</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22,171</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cash surrender value of BOLI</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(7,551)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(6,687)</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from death benefits from BOLI</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assets</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6,234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other liabilities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(73,080)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29,785</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10,041</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130,916</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77,804</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available-for-sale</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(4,000)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(80,625)</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held-to-maturity</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(16,973)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(28,328)</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available-for-sale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146,026</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60,167</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held-to-maturity</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21,808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16,433</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BOLI</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(15,000)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received from cash surrender value of BOLI</w:t>
            </w:r>
          </w:p>
        </w:tc>
        <w:tc>
          <w:tcPr>
            <w:tcW w:w="220" w:type="dxa"/>
            <w:vAlign w:val="bottom"/>
          </w:tcPr>
          <w:p>
            <w:pPr>
              <w:spacing w:after="0"/>
              <w:rPr>
                <w:sz w:val="12"/>
                <w:szCs w:val="12"/>
                <w:color w:val="auto"/>
              </w:rPr>
            </w:pP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purchased</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(4,979)</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portfolio loans transferred to held for sale</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7,405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loans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(141,747)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(316,784)</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fixed assets, net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(4,207)</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fixed assets and premises held for sale</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16,318</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r>
      <w:tr>
        <w:trPr>
          <w:trHeight w:val="149"/>
        </w:trPr>
        <w:tc>
          <w:tcPr>
            <w:tcW w:w="60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(purchases) of restricted stock, net</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34,515</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39,166</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(279,462)</w:t>
            </w:r>
          </w:p>
        </w:tc>
      </w:tr>
      <w:tr>
        <w:trPr>
          <w:trHeight w:val="142"/>
        </w:trPr>
        <w:tc>
          <w:tcPr>
            <w:tcW w:w="6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deposits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886,730</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382,274</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from FHLBNY advances, short-term, net</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(715,000)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FHLBNY advances, long-term</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(150,000)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FHLBNY advances, long-term</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162,000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other short-term borrowings, net</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subordinated debentures issuance, net</w:t>
            </w: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72,103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Release of stock for benefit plan awards</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763</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related to tax withholding for equity awards</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(1,333)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preferred stockholders</w:t>
            </w:r>
          </w:p>
        </w:tc>
        <w:tc>
          <w:tcPr>
            <w:tcW w:w="2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(5,465)</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(5,465)</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common stockholders</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(28,496)</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119,302</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338,073</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Increase in cash and cash equivalents</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168,509</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189,527</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457,547</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169,297</w:t>
            </w:r>
          </w:p>
        </w:tc>
      </w:tr>
      <w:tr>
        <w:trPr>
          <w:trHeight w:val="142"/>
        </w:trPr>
        <w:tc>
          <w:tcPr>
            <w:tcW w:w="60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626,056</w:t>
            </w: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358,824</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6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28,003</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31,270</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264,924</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193,529</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sale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investment</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(2,912)</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transferred to held for sale</w:t>
            </w:r>
          </w:p>
        </w:tc>
        <w:tc>
          <w:tcPr>
            <w:tcW w:w="2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 in exchange for operating lease liabilities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w:t>
            </w:r>
          </w:p>
        </w:tc>
      </w:tr>
    </w:tbl>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Dime Community Bancshares, Inc. (the “ Holding Company”) is engaged in commercial banking and financial services through its wholly-owned subsidiary, Dime Community Bank (“the Bank”). The Bank was established in 1910 and is headquartered in Hauppauge, New York. The Holding Company was incorporated under the laws of the State of New York in 1988 to serve as the holding company for the Bank. The Holding Company functions primarily as the holder of all of the Bank’s common stock. Our bank operations also include Dime Abstract LLC (“Dime Abstract”), a wholly-owned subsidiary of the Bank, which is a broker of title insurance services. As of September 30, 2024, we operated 62 branch locations throughout Long Island and the New York City boroughs of Brooklyn, Queens, Manhattan, the Bronx, Staten Island, and Westchester County.</w:t>
      </w:r>
    </w:p>
    <w:p>
      <w:pPr>
        <w:spacing w:after="0" w:line="15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presented in this Quarterly Report on Form 10-Q include the collective results of the Holding Company and its wholly-owned subsidiary, the Bank, which are collectively herein referred to as “we”, “us”, “our” and the “Company.”</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and nine months ended September 30, 2024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2023, which remain significantly unchanged and have been followed similarly as in prior periods.</w:t>
      </w:r>
    </w:p>
    <w:p>
      <w:pPr>
        <w:spacing w:after="0" w:line="201" w:lineRule="exact"/>
        <w:rPr>
          <w:sz w:val="20"/>
          <w:szCs w:val="20"/>
          <w:color w:val="auto"/>
        </w:rPr>
      </w:pPr>
    </w:p>
    <w:p>
      <w:pPr>
        <w:ind w:left="60" w:right="5339" w:hanging="10"/>
        <w:spacing w:after="0" w:line="532" w:lineRule="auto"/>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ACCOUNTING POLICIES Summary of Significant Accounting Policies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necessary for a fair presentation of the Company’s financial condition as of September 30, 2024 and December 31, 2023, the results of operations and statements of comprehensive income for the three and nine months ended September 30, 2024 and 2023, the changes in stockholders’ equity for the three and nine months ended September 30, 2024 and 2023, and cash flows for the nine months ended September 30, 2024 and 2023.</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see "Part I - Item 2. Management’s Discussion and Analysis of Financial Condition and Results of Operations - Critical Accounting Policies" for a discussion of areas in the accompanying unaudited condensed Consolidated Financial Statements utilizing significant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Recent Accounting Standards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Relevant Accounting Standards Issued That Have Not Yet Been Adopted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No. 2023-09—Income Taxes (Topic 740)—Improvements to Income Tax Disclosures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2023-09—Income Taxes (Topic 740)—Improvements to Income Tax Disclosures, intended to enhance the transparency of income tax disclosures, primarily related to the rate reconciliation and income taxes paid information.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update is effective for annual periods beginning after December 15, 2024, with early adoption permitted. The transition method is prospective with retrospective method permitted. The Company is currently evaluating the impact on disclosures.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accumulated other comprehensive income (loss), net of tax, was as follows: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5"/>
        </w:trPr>
        <w:tc>
          <w:tcPr>
            <w:tcW w:w="5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(90,242)</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(6,430)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21,940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23,509</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(5,308)</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(66,733)</w:t>
            </w: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(6,022)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(72,970)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(100,870)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(5,266)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loss (income) during the period</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(12,672)</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(113,542)</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(5,095)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before and after tax amounts allocated to each component of other comprehensive income (loss) are presented in the table below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securities: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gain (loss) during the period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32,254</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losses included in net loss on sale of</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securities and other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Accretion of net unrealized loss on securities transferred to held-to-maturity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Tax expense (benefit)</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11,046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6"/>
                <w:szCs w:val="16"/>
                <w:color w:val="auto"/>
              </w:rPr>
              <w:t>Net change in unrealized gain (loss) on securities, net of reclassification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23,509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and tax</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and other postretirement obligations: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 included in other expense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Change in the net actuarial gain</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pension and other postretirement obligations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Change in unrealized gain (loss) on derivatives: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net unrealized loss during the period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(15,483)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 included in interest expense</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2,752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Tax (benefit) expense</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8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change in unrealized (loss) gain on derivatives, net of reclassification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(8,028)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and tax</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9,810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18,609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EARNINGS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basic and diluted EPS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44,032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Dividends paid and earnings allocated to participating securities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11,276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43,254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Weighted-average common shares outstanding, including participating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39,147,845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39,025,751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38,821,541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38,732,963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weighted-average participating securities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(781,226)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(708,528)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38,366,619</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38,203,961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38,317,223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38,177,704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38,366,619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38,203,961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38,317,223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38,177,704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equivalent shares outstanding</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and equivalent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38,366,619</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38,203,961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38,317,223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38,177,704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were 26,995 weighted-average stock options outstanding for the three and nine months ended September 30, 2024, which were not considered in the calculation of diluted EPS since their exercise prices exceeded the average market price during the period. There were 92,137 weighted-average stock options outstanding for the three and nine months ended September 30, 2023, which were not considered in the calculation of diluted EPS since their exercise prices exceeded the average market price during the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PREFERRED STOCK</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February 1, 2021, Dime Community Bancshares, Inc., a Delaware corporation (“Legacy Dime”) merged with and into Bridge Bancorp, Inc., a New York corporation (“Bridge”) (the “Merger”), with Bridge as the surviving corporation under the name “Dime Community Bancshares, Inc.”</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February 5, 2020, Legacy Dime completed an underwritten public offering of 2,999,200 shares, or $75.0 million in aggregate liquidation preference, of its 5.50% Fixed-Rate Non-Cumulative Perpetual Preferred Stock, Series A, par value $0.01 per share, with a liquidation preference of $25.00 per share (the “Legacy Dime Preferred Stock”). The net proceeds received from the issuance of preferred stock at the time of closing were $72.2 million. On June 10, 2020, Legacy Dime completed an underwritten public offering, a reopening of its February 5, 2020, original issuance, of 2,300,000 shares, or $57.5 million in aggregate liquidation preference, of the Legacy Dime Preferred Stock. The net proceeds received from the issuance of preferred stock at the time of closing were $44.3 million.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Effective Time of the Merger, each outstanding share of the Legacy Dime Preferred Stock was converted into the right to receive one share of a newly created series of the Company’s preferred stock having the same powers, preferences and rights as the Legacy Dime Preferred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2025, or within 90 days following a regulatory capital treatment event, as described in the prospectus supplement and accompanying prospectus relating to the offering.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major categories of securities as of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7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7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(311)</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9,689</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securities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166,278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(4,907)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161,371</w:t>
            </w:r>
          </w:p>
        </w:tc>
        <w:tc>
          <w:tcPr>
            <w:tcW w:w="0" w:type="dxa"/>
            <w:vAlign w:val="bottom"/>
          </w:tcPr>
          <w:p>
            <w:pPr>
              <w:spacing w:after="0"/>
              <w:rPr>
                <w:sz w:val="1"/>
                <w:szCs w:val="1"/>
                <w:color w:val="auto"/>
              </w:rPr>
            </w:pPr>
          </w:p>
        </w:tc>
      </w:tr>
      <w:tr>
        <w:trPr>
          <w:trHeight w:val="149"/>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173,909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(13,887)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160,629</w:t>
            </w:r>
          </w:p>
        </w:tc>
        <w:tc>
          <w:tcPr>
            <w:tcW w:w="0" w:type="dxa"/>
            <w:vAlign w:val="bottom"/>
          </w:tcPr>
          <w:p>
            <w:pPr>
              <w:spacing w:after="0"/>
              <w:rPr>
                <w:sz w:val="1"/>
                <w:szCs w:val="1"/>
                <w:color w:val="auto"/>
              </w:rPr>
            </w:pPr>
          </w:p>
        </w:tc>
      </w:tr>
      <w:tr>
        <w:trPr>
          <w:trHeight w:val="126"/>
        </w:trPr>
        <w:tc>
          <w:tcPr>
            <w:tcW w:w="47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Pass-through mortgage-backed securities ("MBS") issued by government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197,805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(18,495)</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179,336</w:t>
            </w:r>
          </w:p>
        </w:tc>
        <w:tc>
          <w:tcPr>
            <w:tcW w:w="0" w:type="dxa"/>
            <w:vAlign w:val="bottom"/>
          </w:tcPr>
          <w:p>
            <w:pPr>
              <w:spacing w:after="0"/>
              <w:rPr>
                <w:sz w:val="1"/>
                <w:szCs w:val="1"/>
                <w:color w:val="auto"/>
              </w:rPr>
            </w:pPr>
          </w:p>
        </w:tc>
      </w:tr>
      <w:tr>
        <w:trPr>
          <w:trHeight w:val="171"/>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sponsored entities ("GSEs")</w:t>
            </w: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276,677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(38,965)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237,773</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27,154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(1,345)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25,810</w:t>
            </w:r>
          </w:p>
        </w:tc>
        <w:tc>
          <w:tcPr>
            <w:tcW w:w="0" w:type="dxa"/>
            <w:vAlign w:val="bottom"/>
          </w:tcPr>
          <w:p>
            <w:pPr>
              <w:spacing w:after="0"/>
              <w:rPr>
                <w:sz w:val="1"/>
                <w:szCs w:val="1"/>
                <w:color w:val="auto"/>
              </w:rPr>
            </w:pPr>
          </w:p>
        </w:tc>
      </w:tr>
      <w:tr>
        <w:trPr>
          <w:trHeight w:val="142"/>
        </w:trPr>
        <w:tc>
          <w:tcPr>
            <w:tcW w:w="47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851,823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(77,910)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774,608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7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7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89,873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(8,355)</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81,518</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(975)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12,105</w:t>
            </w: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266,043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(31,803)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234,376</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223,498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(23,118)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200,531</w:t>
            </w:r>
          </w:p>
        </w:tc>
        <w:tc>
          <w:tcPr>
            <w:tcW w:w="0" w:type="dxa"/>
            <w:vAlign w:val="bottom"/>
          </w:tcPr>
          <w:p>
            <w:pPr>
              <w:spacing w:after="0"/>
              <w:rPr>
                <w:sz w:val="1"/>
                <w:szCs w:val="1"/>
                <w:color w:val="auto"/>
              </w:rPr>
            </w:pPr>
          </w:p>
        </w:tc>
      </w:tr>
      <w:tr>
        <w:trPr>
          <w:trHeight w:val="142"/>
        </w:trPr>
        <w:tc>
          <w:tcPr>
            <w:tcW w:w="47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592,414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(64,251)</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528,530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7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7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9,371</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securities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245,877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(11,687)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234,190</w:t>
            </w: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(23,808)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151,170</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(24,978)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205,285</w:t>
            </w:r>
          </w:p>
        </w:tc>
        <w:tc>
          <w:tcPr>
            <w:tcW w:w="0" w:type="dxa"/>
            <w:vAlign w:val="bottom"/>
          </w:tcPr>
          <w:p>
            <w:pPr>
              <w:spacing w:after="0"/>
              <w:rPr>
                <w:sz w:val="1"/>
                <w:szCs w:val="1"/>
                <w:color w:val="auto"/>
              </w:rPr>
            </w:pPr>
          </w:p>
        </w:tc>
      </w:tr>
      <w:tr>
        <w:trPr>
          <w:trHeight w:val="149"/>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(46,491)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259,415</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26,809</w:t>
            </w:r>
          </w:p>
        </w:tc>
        <w:tc>
          <w:tcPr>
            <w:tcW w:w="0" w:type="dxa"/>
            <w:vAlign w:val="bottom"/>
          </w:tcPr>
          <w:p>
            <w:pPr>
              <w:spacing w:after="0"/>
              <w:rPr>
                <w:sz w:val="1"/>
                <w:szCs w:val="1"/>
                <w:color w:val="auto"/>
              </w:rPr>
            </w:pPr>
          </w:p>
        </w:tc>
      </w:tr>
      <w:tr>
        <w:trPr>
          <w:trHeight w:val="142"/>
        </w:trPr>
        <w:tc>
          <w:tcPr>
            <w:tcW w:w="47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995,709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(109,525)</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886,240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7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7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89,563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(11,300)</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78,263</w:t>
            </w:r>
          </w:p>
        </w:tc>
        <w:tc>
          <w:tcPr>
            <w:tcW w:w="0" w:type="dxa"/>
            <w:vAlign w:val="bottom"/>
          </w:tcPr>
          <w:p>
            <w:pPr>
              <w:spacing w:after="0"/>
              <w:rPr>
                <w:sz w:val="1"/>
                <w:szCs w:val="1"/>
                <w:color w:val="auto"/>
              </w:rPr>
            </w:pPr>
          </w:p>
        </w:tc>
      </w:tr>
      <w:tr>
        <w:trPr>
          <w:trHeight w:val="148"/>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7,175</w:t>
            </w: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(37,579)</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242,274</w:t>
            </w:r>
          </w:p>
        </w:tc>
        <w:tc>
          <w:tcPr>
            <w:tcW w:w="0" w:type="dxa"/>
            <w:vAlign w:val="bottom"/>
          </w:tcPr>
          <w:p>
            <w:pPr>
              <w:spacing w:after="0"/>
              <w:rPr>
                <w:sz w:val="1"/>
                <w:szCs w:val="1"/>
                <w:color w:val="auto"/>
              </w:rPr>
            </w:pPr>
          </w:p>
        </w:tc>
      </w:tr>
      <w:tr>
        <w:trPr>
          <w:trHeight w:val="176"/>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 CMOs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216,223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(27,021)</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189,218</w:t>
            </w:r>
          </w:p>
        </w:tc>
        <w:tc>
          <w:tcPr>
            <w:tcW w:w="0" w:type="dxa"/>
            <w:vAlign w:val="bottom"/>
          </w:tcPr>
          <w:p>
            <w:pPr>
              <w:spacing w:after="0"/>
              <w:rPr>
                <w:sz w:val="1"/>
                <w:szCs w:val="1"/>
                <w:color w:val="auto"/>
              </w:rPr>
            </w:pPr>
          </w:p>
        </w:tc>
      </w:tr>
      <w:tr>
        <w:trPr>
          <w:trHeight w:val="142"/>
        </w:trPr>
        <w:tc>
          <w:tcPr>
            <w:tcW w:w="47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594,639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(77,725)</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516,930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nine months ended September 30, 2024 and 2023.</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value of securities pledged at September 30, 2024 and December 31, 2023 was $479.0 million and $457.7 million,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2024 and December 31, 2023, there were no holdings of securities of any one issuer, other than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in an amount greater than 10% of stockholders' equity.</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1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0"/>
                <w:szCs w:val="10"/>
                <w:color w:val="auto"/>
              </w:rPr>
            </w:pPr>
          </w:p>
        </w:tc>
        <w:tc>
          <w:tcPr>
            <w:tcW w:w="12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Pr>
          <w:p>
            <w:pPr>
              <w:spacing w:after="0"/>
              <w:rPr>
                <w:sz w:val="10"/>
                <w:szCs w:val="10"/>
                <w:color w:val="auto"/>
              </w:rPr>
            </w:pPr>
          </w:p>
        </w:tc>
        <w:tc>
          <w:tcPr>
            <w:tcW w:w="960" w:type="dxa"/>
            <w:vAlign w:val="bottom"/>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6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119,761</w:t>
            </w:r>
          </w:p>
        </w:tc>
        <w:tc>
          <w:tcPr>
            <w:tcW w:w="2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117,040</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91,475</w:t>
            </w: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160,893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148,984</w:t>
            </w: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474,482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417,109</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851,823</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774,608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19,818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18,865</w:t>
            </w:r>
          </w:p>
        </w:tc>
        <w:tc>
          <w:tcPr>
            <w:tcW w:w="0" w:type="dxa"/>
            <w:vAlign w:val="bottom"/>
          </w:tcPr>
          <w:p>
            <w:pPr>
              <w:spacing w:after="0"/>
              <w:rPr>
                <w:sz w:val="1"/>
                <w:szCs w:val="1"/>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83,055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74,758</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489,541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434,907</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592,414</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528,530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information related to sales of securities available-for-sale as of the periods indicated: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4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Securities available-for-sale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94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04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77,804</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Gross gains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Tax expense on gains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Gross losses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190"/>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 benefit on losses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sales of securities held-to-maturity during the three or nine months ended September 30, 2024 and 2023,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securities available-for-sale aggregated by investment category and the length of time the securities were in a continuous unrealized loss position as of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r>
      <w:tr>
        <w:trPr>
          <w:trHeight w:val="215"/>
        </w:trPr>
        <w:tc>
          <w:tcPr>
            <w:tcW w:w="35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r>
      <w:tr>
        <w:trPr>
          <w:trHeight w:val="199"/>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9,689</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9,689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Treasury securities</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161,371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161,371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134,359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138,059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13,887</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177,238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18,495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177,238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18,495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230,244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38,965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230,244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38,965</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22,309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1,345</w:t>
            </w:r>
          </w:p>
        </w:tc>
        <w:tc>
          <w:tcPr>
            <w:tcW w:w="20" w:type="dxa"/>
            <w:vAlign w:val="bottom"/>
          </w:tcPr>
          <w:p>
            <w:pPr>
              <w:spacing w:after="0"/>
              <w:rPr>
                <w:sz w:val="17"/>
                <w:szCs w:val="17"/>
                <w:color w:val="auto"/>
              </w:rPr>
            </w:pPr>
          </w:p>
        </w:tc>
      </w:tr>
      <w:tr>
        <w:trPr>
          <w:trHeight w:val="42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Borders>
              <w:top w:val="single" w:sz="8" w:color="auto"/>
            </w:tcBorders>
          </w:tcPr>
          <w:p>
            <w:pPr>
              <w:spacing w:after="0"/>
              <w:rPr>
                <w:sz w:val="16"/>
                <w:szCs w:val="16"/>
                <w:color w:val="auto"/>
              </w:rPr>
            </w:pPr>
          </w:p>
        </w:tc>
      </w:tr>
      <w:tr>
        <w:trPr>
          <w:trHeight w:val="212"/>
        </w:trPr>
        <w:tc>
          <w:tcPr>
            <w:tcW w:w="35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Treasury securities</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151,170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September 30, 2024, none of the Company’s available-for-sale debt securities were in an unrealized loss position due to credit and therefore no allowance for credit losses on available-for-sale debt securities was required. Additionally, given the nature of the Company’s held-to-maturity portfolio which predominantly consists of agency guaranteed securities, the Company did not record an allowance for credit losses on the held-to-maturity portfolio.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$4.5 million and $5.3 million at September 30, 2024 and December 31, 2023, respectively, was included in other assets in the Consolidated Statement of Condition and excluded from the amortized cost and estimated fair value totals in the table above.</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Management evaluates available-for-sale debt securities in unrealized loss positions to determine whether the impairment is due to credit-related factors or noncredit-related factors. Consideration is given to (1) the extent to which the fair value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is less than cost, (2) the financial condition and near-term prospects of the issuer, and (3) the intent and ability of the Company to retain its investment in the security for a period of time sufficient to allow for any anticipated recovery in fair value.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September 30, 2024,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GSEs, Agency Collateralized Mortgage Obligations. None of the unrealized losses are related to credit quality of the issuer. Substantially all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LOANS HELD FOR INVESTMENT,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loan categories for the period ended as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61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2,651,729</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2,308,171</w:t>
            </w:r>
          </w:p>
        </w:tc>
      </w:tr>
      <w:tr>
        <w:trPr>
          <w:trHeight w:val="149"/>
        </w:trPr>
        <w:tc>
          <w:tcPr>
            <w:tcW w:w="6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932,767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887,555</w:t>
            </w:r>
          </w:p>
        </w:tc>
      </w:tr>
      <w:tr>
        <w:trPr>
          <w:trHeight w:val="148"/>
        </w:trPr>
        <w:tc>
          <w:tcPr>
            <w:tcW w:w="63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3,866,478</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4,017,176</w:t>
            </w:r>
          </w:p>
        </w:tc>
      </w:tr>
      <w:tr>
        <w:trPr>
          <w:trHeight w:val="148"/>
        </w:trPr>
        <w:tc>
          <w:tcPr>
            <w:tcW w:w="6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3,280,056</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3,379,667</w:t>
            </w:r>
          </w:p>
        </w:tc>
      </w:tr>
      <w:tr>
        <w:trPr>
          <w:trHeight w:val="148"/>
        </w:trPr>
        <w:tc>
          <w:tcPr>
            <w:tcW w:w="630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development, and construction ("ADC")</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149,299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168,513</w:t>
            </w:r>
          </w:p>
        </w:tc>
      </w:tr>
      <w:tr>
        <w:trPr>
          <w:trHeight w:val="149"/>
        </w:trPr>
        <w:tc>
          <w:tcPr>
            <w:tcW w:w="63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6,058</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5,755</w:t>
            </w:r>
          </w:p>
        </w:tc>
      </w:tr>
      <w:tr>
        <w:trPr>
          <w:trHeight w:val="142"/>
        </w:trPr>
        <w:tc>
          <w:tcPr>
            <w:tcW w:w="63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10,886,387</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10,766,837</w:t>
            </w:r>
          </w:p>
        </w:tc>
      </w:tr>
      <w:tr>
        <w:trPr>
          <w:trHeight w:val="149"/>
        </w:trPr>
        <w:tc>
          <w:tcPr>
            <w:tcW w:w="630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Fair value hedge basis point adjustments </w:t>
            </w:r>
            <w:r>
              <w:rPr>
                <w:rFonts w:ascii="Times New Roman" w:cs="Times New Roman" w:eastAsia="Times New Roman" w:hAnsi="Times New Roman"/>
                <w:sz w:val="17"/>
                <w:szCs w:val="17"/>
                <w:color w:val="auto"/>
                <w:vertAlign w:val="superscript"/>
              </w:rPr>
              <w:t>(2)</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5,657</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6,591</w:t>
            </w:r>
          </w:p>
        </w:tc>
      </w:tr>
      <w:tr>
        <w:trPr>
          <w:trHeight w:val="142"/>
        </w:trPr>
        <w:tc>
          <w:tcPr>
            <w:tcW w:w="63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10,892,044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10,773,428</w:t>
            </w:r>
          </w:p>
        </w:tc>
      </w:tr>
      <w:tr>
        <w:trPr>
          <w:trHeight w:val="148"/>
        </w:trPr>
        <w:tc>
          <w:tcPr>
            <w:tcW w:w="6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3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(85,221)</w:t>
            </w:r>
          </w:p>
        </w:tc>
        <w:tc>
          <w:tcPr>
            <w:tcW w:w="3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(71,743)</w:t>
            </w:r>
          </w:p>
        </w:tc>
      </w:tr>
      <w:tr>
        <w:trPr>
          <w:trHeight w:val="142"/>
        </w:trPr>
        <w:tc>
          <w:tcPr>
            <w:tcW w:w="6300" w:type="dxa"/>
            <w:vAlign w:val="bottom"/>
            <w:tcBorders>
              <w:top w:val="single" w:sz="8" w:color="CCEEFF"/>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10,806,823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10,701,685</w:t>
            </w: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15" w:lineRule="exact"/>
        <w:rPr>
          <w:sz w:val="20"/>
          <w:szCs w:val="20"/>
          <w:color w:val="auto"/>
        </w:rPr>
      </w:pPr>
    </w:p>
    <w:p>
      <w:pPr>
        <w:ind w:left="240" w:hanging="190"/>
        <w:spacing w:after="0"/>
        <w:tabs>
          <w:tab w:leader="none" w:pos="2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and owner-occupied commercial real estate loans.</w:t>
      </w:r>
    </w:p>
    <w:p>
      <w:pPr>
        <w:spacing w:after="0" w:line="10" w:lineRule="exact"/>
        <w:rPr>
          <w:rFonts w:ascii="Times New Roman" w:cs="Times New Roman" w:eastAsia="Times New Roman" w:hAnsi="Times New Roman"/>
          <w:sz w:val="24"/>
          <w:szCs w:val="24"/>
          <w:color w:val="auto"/>
          <w:vertAlign w:val="superscript"/>
        </w:rPr>
      </w:pPr>
    </w:p>
    <w:p>
      <w:pPr>
        <w:jc w:val="both"/>
        <w:ind w:left="60" w:right="59" w:hanging="10"/>
        <w:spacing w:after="0" w:line="222" w:lineRule="auto"/>
        <w:tabs>
          <w:tab w:leader="none" w:pos="251"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owner-occupied commercial real estate in business loans, one-to-four family residential mortgage loans, multifamily residential mortgage loans and non-owner occupied commercial real estate loans.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data regarding the allowance for credit losses activity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10"/>
          </w:tcPr>
          <w:p>
            <w:pPr>
              <w:ind w:left="520"/>
              <w:spacing w:after="0"/>
              <w:rPr>
                <w:sz w:val="20"/>
                <w:szCs w:val="20"/>
                <w:color w:val="auto"/>
              </w:rPr>
            </w:pPr>
            <w:r>
              <w:rPr>
                <w:rFonts w:ascii="Times New Roman" w:cs="Times New Roman" w:eastAsia="Times New Roman" w:hAnsi="Times New Roman"/>
                <w:sz w:val="14"/>
                <w:szCs w:val="14"/>
                <w:b w:val="1"/>
                <w:bCs w:val="1"/>
                <w:color w:val="auto"/>
              </w:rPr>
              <w:t>At or for the Three Months Ended September 30, 2024</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6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ADC</w:t>
            </w:r>
          </w:p>
        </w:tc>
        <w:tc>
          <w:tcPr>
            <w:tcW w:w="600" w:type="dxa"/>
            <w:vAlign w:val="bottom"/>
            <w:gridSpan w:val="3"/>
            <w:vMerge w:val="continue"/>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0" w:type="dxa"/>
            <w:vAlign w:val="bottom"/>
          </w:tcPr>
          <w:p>
            <w:pPr>
              <w:spacing w:after="0"/>
              <w:rPr>
                <w:sz w:val="15"/>
                <w:szCs w:val="15"/>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60" w:type="dxa"/>
            <w:vAlign w:val="bottom"/>
            <w:gridSpan w:val="2"/>
            <w:vMerge w:val="continue"/>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37,115</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7,305</w:t>
            </w:r>
          </w:p>
        </w:tc>
        <w:tc>
          <w:tcPr>
            <w:tcW w:w="160" w:type="dxa"/>
            <w:vAlign w:val="bottom"/>
          </w:tcPr>
          <w:p>
            <w:pPr>
              <w:spacing w:after="0"/>
              <w:rPr>
                <w:sz w:val="12"/>
                <w:szCs w:val="12"/>
                <w:color w:val="auto"/>
              </w:rPr>
            </w:pPr>
          </w:p>
        </w:tc>
        <w:tc>
          <w:tcPr>
            <w:tcW w:w="16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12,357</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18,340</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$ 2,455</w:t>
            </w:r>
          </w:p>
        </w:tc>
        <w:tc>
          <w:tcPr>
            <w:tcW w:w="1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240</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$ 77,812</w:t>
            </w:r>
          </w:p>
        </w:tc>
        <w:tc>
          <w:tcPr>
            <w:tcW w:w="0" w:type="dxa"/>
            <w:vAlign w:val="bottom"/>
          </w:tcPr>
          <w:p>
            <w:pPr>
              <w:spacing w:after="0"/>
              <w:rPr>
                <w:sz w:val="1"/>
                <w:szCs w:val="1"/>
                <w:color w:val="auto"/>
              </w:rPr>
            </w:pPr>
          </w:p>
        </w:tc>
      </w:tr>
      <w:tr>
        <w:trPr>
          <w:trHeight w:val="148"/>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1,439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(1,942)</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11,608</w:t>
            </w:r>
          </w:p>
        </w:tc>
        <w:tc>
          <w:tcPr>
            <w:tcW w:w="0" w:type="dxa"/>
            <w:vAlign w:val="bottom"/>
          </w:tcPr>
          <w:p>
            <w:pPr>
              <w:spacing w:after="0"/>
              <w:rPr>
                <w:sz w:val="1"/>
                <w:szCs w:val="1"/>
                <w:color w:val="auto"/>
              </w:rPr>
            </w:pP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(3,090)</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(1,294)</w:t>
            </w:r>
          </w:p>
        </w:tc>
        <w:tc>
          <w:tcPr>
            <w:tcW w:w="20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(96)</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(14)</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(4,494)</w:t>
            </w: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w:t>
            </w:r>
          </w:p>
        </w:tc>
        <w:tc>
          <w:tcPr>
            <w:tcW w:w="0" w:type="dxa"/>
            <w:vAlign w:val="bottom"/>
          </w:tcPr>
          <w:p>
            <w:pPr>
              <w:spacing w:after="0"/>
              <w:rPr>
                <w:sz w:val="1"/>
                <w:szCs w:val="1"/>
                <w:color w:val="auto"/>
              </w:rPr>
            </w:pPr>
          </w:p>
        </w:tc>
      </w:tr>
      <w:tr>
        <w:trPr>
          <w:trHeight w:val="142"/>
        </w:trPr>
        <w:tc>
          <w:tcPr>
            <w:tcW w:w="2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45,026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8,646</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12,503</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16,302</w:t>
            </w: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$ 2,521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223</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$ 85,221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Allowance for credit losses:</w:t>
      </w:r>
    </w:p>
    <w:p>
      <w:pPr>
        <w:ind w:left="60"/>
        <w:spacing w:after="0" w:line="221" w:lineRule="auto"/>
        <w:rPr>
          <w:sz w:val="20"/>
          <w:szCs w:val="20"/>
          <w:color w:val="auto"/>
        </w:rPr>
      </w:pPr>
      <w:r>
        <w:rPr>
          <w:rFonts w:ascii="Times New Roman" w:cs="Times New Roman" w:eastAsia="Times New Roman" w:hAnsi="Times New Roman"/>
          <w:sz w:val="14"/>
          <w:szCs w:val="14"/>
          <w:color w:val="auto"/>
        </w:rPr>
        <w:t>Beginning balance</w:t>
      </w:r>
    </w:p>
    <w:p>
      <w:pPr>
        <w:ind w:left="60"/>
        <w:spacing w:after="0" w:line="221" w:lineRule="auto"/>
        <w:rPr>
          <w:sz w:val="20"/>
          <w:szCs w:val="20"/>
          <w:color w:val="auto"/>
        </w:rPr>
      </w:pPr>
      <w:r>
        <w:rPr>
          <w:rFonts w:ascii="Times New Roman" w:cs="Times New Roman" w:eastAsia="Times New Roman" w:hAnsi="Times New Roman"/>
          <w:sz w:val="14"/>
          <w:szCs w:val="14"/>
          <w:color w:val="auto"/>
        </w:rPr>
        <w:t>Provision (recovery) for credit losses</w:t>
      </w:r>
    </w:p>
    <w:p>
      <w:pPr>
        <w:ind w:left="60"/>
        <w:spacing w:after="0" w:line="222" w:lineRule="auto"/>
        <w:rPr>
          <w:sz w:val="20"/>
          <w:szCs w:val="20"/>
          <w:color w:val="auto"/>
        </w:rPr>
      </w:pPr>
      <w:r>
        <w:rPr>
          <w:rFonts w:ascii="Times New Roman" w:cs="Times New Roman" w:eastAsia="Times New Roman" w:hAnsi="Times New Roman"/>
          <w:sz w:val="14"/>
          <w:szCs w:val="14"/>
          <w:color w:val="auto"/>
        </w:rPr>
        <w:t>Charge-offs</w:t>
      </w:r>
    </w:p>
    <w:p>
      <w:pPr>
        <w:ind w:left="60"/>
        <w:spacing w:after="0"/>
        <w:rPr>
          <w:sz w:val="20"/>
          <w:szCs w:val="20"/>
          <w:color w:val="auto"/>
        </w:rPr>
      </w:pPr>
      <w:r>
        <w:rPr>
          <w:rFonts w:ascii="Times New Roman" w:cs="Times New Roman" w:eastAsia="Times New Roman" w:hAnsi="Times New Roman"/>
          <w:sz w:val="14"/>
          <w:szCs w:val="14"/>
          <w:color w:val="auto"/>
        </w:rPr>
        <w:t>Recoveries</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Allowance for credit losses:</w:t>
      </w:r>
    </w:p>
    <w:p>
      <w:pPr>
        <w:ind w:left="60"/>
        <w:spacing w:after="0" w:line="221" w:lineRule="auto"/>
        <w:rPr>
          <w:sz w:val="20"/>
          <w:szCs w:val="20"/>
          <w:color w:val="auto"/>
        </w:rPr>
      </w:pPr>
      <w:r>
        <w:rPr>
          <w:rFonts w:ascii="Times New Roman" w:cs="Times New Roman" w:eastAsia="Times New Roman" w:hAnsi="Times New Roman"/>
          <w:sz w:val="14"/>
          <w:szCs w:val="14"/>
          <w:color w:val="auto"/>
        </w:rPr>
        <w:t>Beginning balance</w:t>
      </w:r>
    </w:p>
    <w:p>
      <w:pPr>
        <w:ind w:left="60"/>
        <w:spacing w:after="0" w:line="221" w:lineRule="auto"/>
        <w:rPr>
          <w:sz w:val="20"/>
          <w:szCs w:val="20"/>
          <w:color w:val="auto"/>
        </w:rPr>
      </w:pPr>
      <w:r>
        <w:rPr>
          <w:rFonts w:ascii="Times New Roman" w:cs="Times New Roman" w:eastAsia="Times New Roman" w:hAnsi="Times New Roman"/>
          <w:sz w:val="14"/>
          <w:szCs w:val="14"/>
          <w:color w:val="auto"/>
        </w:rPr>
        <w:t>Provision (recovery) for credit losses</w:t>
      </w:r>
    </w:p>
    <w:p>
      <w:pPr>
        <w:ind w:left="60"/>
        <w:spacing w:after="0" w:line="222" w:lineRule="auto"/>
        <w:rPr>
          <w:sz w:val="20"/>
          <w:szCs w:val="20"/>
          <w:color w:val="auto"/>
        </w:rPr>
      </w:pPr>
      <w:r>
        <w:rPr>
          <w:rFonts w:ascii="Times New Roman" w:cs="Times New Roman" w:eastAsia="Times New Roman" w:hAnsi="Times New Roman"/>
          <w:sz w:val="14"/>
          <w:szCs w:val="14"/>
          <w:color w:val="auto"/>
        </w:rPr>
        <w:t>Charge-offs</w:t>
      </w:r>
    </w:p>
    <w:p>
      <w:pPr>
        <w:ind w:left="60"/>
        <w:spacing w:after="0"/>
        <w:rPr>
          <w:sz w:val="20"/>
          <w:szCs w:val="20"/>
          <w:color w:val="auto"/>
        </w:rPr>
      </w:pPr>
      <w:r>
        <w:rPr>
          <w:rFonts w:ascii="Times New Roman" w:cs="Times New Roman" w:eastAsia="Times New Roman" w:hAnsi="Times New Roman"/>
          <w:sz w:val="14"/>
          <w:szCs w:val="14"/>
          <w:color w:val="auto"/>
        </w:rPr>
        <w:t>Recoveries</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Allowance for credit losses:</w:t>
      </w:r>
    </w:p>
    <w:p>
      <w:pPr>
        <w:ind w:left="60"/>
        <w:spacing w:after="0" w:line="221" w:lineRule="auto"/>
        <w:rPr>
          <w:sz w:val="20"/>
          <w:szCs w:val="20"/>
          <w:color w:val="auto"/>
        </w:rPr>
      </w:pPr>
      <w:r>
        <w:rPr>
          <w:rFonts w:ascii="Times New Roman" w:cs="Times New Roman" w:eastAsia="Times New Roman" w:hAnsi="Times New Roman"/>
          <w:sz w:val="14"/>
          <w:szCs w:val="14"/>
          <w:color w:val="auto"/>
        </w:rPr>
        <w:t>Beginning balance</w:t>
      </w:r>
    </w:p>
    <w:p>
      <w:pPr>
        <w:ind w:left="60"/>
        <w:spacing w:after="0" w:line="221" w:lineRule="auto"/>
        <w:rPr>
          <w:sz w:val="20"/>
          <w:szCs w:val="20"/>
          <w:color w:val="auto"/>
        </w:rPr>
      </w:pPr>
      <w:r>
        <w:rPr>
          <w:rFonts w:ascii="Times New Roman" w:cs="Times New Roman" w:eastAsia="Times New Roman" w:hAnsi="Times New Roman"/>
          <w:sz w:val="14"/>
          <w:szCs w:val="14"/>
          <w:color w:val="auto"/>
        </w:rPr>
        <w:t>(Recovery) provision for credit losses</w:t>
      </w:r>
    </w:p>
    <w:p>
      <w:pPr>
        <w:ind w:left="60"/>
        <w:spacing w:after="0" w:line="222" w:lineRule="auto"/>
        <w:rPr>
          <w:sz w:val="20"/>
          <w:szCs w:val="20"/>
          <w:color w:val="auto"/>
        </w:rPr>
      </w:pPr>
      <w:r>
        <w:rPr>
          <w:rFonts w:ascii="Times New Roman" w:cs="Times New Roman" w:eastAsia="Times New Roman" w:hAnsi="Times New Roman"/>
          <w:sz w:val="14"/>
          <w:szCs w:val="14"/>
          <w:color w:val="auto"/>
        </w:rPr>
        <w:t>Charge-offs</w:t>
      </w:r>
    </w:p>
    <w:p>
      <w:pPr>
        <w:ind w:left="60"/>
        <w:spacing w:after="0"/>
        <w:rPr>
          <w:sz w:val="20"/>
          <w:szCs w:val="20"/>
          <w:color w:val="auto"/>
        </w:rPr>
      </w:pPr>
      <w:r>
        <w:rPr>
          <w:rFonts w:ascii="Times New Roman" w:cs="Times New Roman" w:eastAsia="Times New Roman" w:hAnsi="Times New Roman"/>
          <w:sz w:val="14"/>
          <w:szCs w:val="14"/>
          <w:color w:val="auto"/>
        </w:rPr>
        <w:t>Recoveries</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At or for the Three Months Ended September 30,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ADC</w:t>
            </w:r>
          </w:p>
        </w:tc>
        <w:tc>
          <w:tcPr>
            <w:tcW w:w="1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20" w:type="dxa"/>
            <w:vAlign w:val="bottom"/>
          </w:tcPr>
          <w:p>
            <w:pPr>
              <w:spacing w:after="0"/>
              <w:rPr>
                <w:sz w:val="23"/>
                <w:szCs w:val="23"/>
                <w:color w:val="auto"/>
              </w:rPr>
            </w:pP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$ 2,558</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(5,147)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36,680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7,206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7,567</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18,430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$ 2,338</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 or for the Nine Months Ended 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ADC</w:t>
            </w:r>
          </w:p>
        </w:tc>
        <w:tc>
          <w:tcPr>
            <w:tcW w:w="1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35,962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6,813</w:t>
            </w:r>
          </w:p>
        </w:tc>
        <w:tc>
          <w:tcPr>
            <w:tcW w:w="20" w:type="dxa"/>
            <w:vAlign w:val="bottom"/>
          </w:tcPr>
          <w:p>
            <w:pPr>
              <w:spacing w:after="0"/>
              <w:rPr>
                <w:sz w:val="23"/>
                <w:szCs w:val="23"/>
                <w:color w:val="auto"/>
              </w:rPr>
            </w:pP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7,237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19,623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$ 1,989</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71,743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13,656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(3,225)</w:t>
            </w: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(5,065)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(3,845)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(96)</w:t>
            </w:r>
          </w:p>
        </w:tc>
        <w:tc>
          <w:tcPr>
            <w:tcW w:w="2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(9,065)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45,026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8,646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12,503</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16,302</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$ 2,521</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223</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At or for the Nine Months Ended September 30,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120" w:type="dxa"/>
            <w:vAlign w:val="bottom"/>
          </w:tcPr>
          <w:p>
            <w:pPr>
              <w:spacing w:after="0"/>
              <w:rPr>
                <w:sz w:val="10"/>
                <w:szCs w:val="10"/>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Family</w:t>
            </w:r>
          </w:p>
        </w:tc>
        <w:tc>
          <w:tcPr>
            <w:tcW w:w="1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2"/>
                <w:szCs w:val="12"/>
                <w:color w:val="auto"/>
              </w:rPr>
            </w:pPr>
          </w:p>
        </w:tc>
        <w:tc>
          <w:tcPr>
            <w:tcW w:w="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ADC</w:t>
            </w:r>
          </w:p>
        </w:tc>
        <w:tc>
          <w:tcPr>
            <w:tcW w:w="1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16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20" w:type="dxa"/>
            <w:vAlign w:val="bottom"/>
          </w:tcPr>
          <w:p>
            <w:pPr>
              <w:spacing w:after="0"/>
              <w:rPr>
                <w:sz w:val="23"/>
                <w:szCs w:val="23"/>
                <w:color w:val="auto"/>
              </w:rPr>
            </w:pPr>
          </w:p>
        </w:tc>
        <w:tc>
          <w:tcPr>
            <w:tcW w:w="3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$ 1,723</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36,680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7,206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18,430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$ 2,338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72,563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-3256915</wp:posOffset>
            </wp:positionV>
            <wp:extent cx="5648960"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-3068320</wp:posOffset>
            </wp:positionV>
            <wp:extent cx="564896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-3453765</wp:posOffset>
            </wp:positionV>
            <wp:extent cx="564896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-1833880</wp:posOffset>
            </wp:positionV>
            <wp:extent cx="564896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-1645285</wp:posOffset>
            </wp:positionV>
            <wp:extent cx="564896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-2030730</wp:posOffset>
            </wp:positionV>
            <wp:extent cx="564896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-410845</wp:posOffset>
            </wp:positionV>
            <wp:extent cx="564896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-222250</wp:posOffset>
            </wp:positionV>
            <wp:extent cx="564896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9461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-608330</wp:posOffset>
            </wp:positionV>
            <wp:extent cx="564896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220" w:space="520"/>
            <w:col w:w="627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loans on non-accrual status as of the periods indicated: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20" w:type="dxa"/>
            <w:vAlign w:val="bottom"/>
          </w:tcPr>
          <w:p>
            <w:pPr>
              <w:spacing w:after="0"/>
              <w:rPr>
                <w:sz w:val="15"/>
                <w:szCs w:val="15"/>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Related</w:t>
            </w:r>
          </w:p>
        </w:tc>
      </w:tr>
      <w:tr>
        <w:trPr>
          <w:trHeight w:val="2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 Allowance</w:t>
            </w: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20,640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19,683</w:t>
            </w:r>
          </w:p>
        </w:tc>
      </w:tr>
      <w:tr>
        <w:trPr>
          <w:trHeight w:val="20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cooperative/condominium apartment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r>
      <w:tr>
        <w:trPr>
          <w:trHeight w:val="20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19,494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r>
      <w:tr>
        <w:trPr>
          <w:trHeight w:val="20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r>
      <w:tr>
        <w:trPr>
          <w:trHeight w:val="20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19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24,265</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25,198</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20,027</w:t>
            </w: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0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Related</w:t>
            </w:r>
          </w:p>
        </w:tc>
      </w:tr>
      <w:tr>
        <w:trPr>
          <w:trHeight w:val="21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 Allowance</w:t>
            </w:r>
          </w:p>
        </w:tc>
        <w:tc>
          <w:tcPr>
            <w:tcW w:w="1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12,932</w:t>
            </w:r>
          </w:p>
        </w:tc>
      </w:tr>
      <w:tr>
        <w:trPr>
          <w:trHeight w:val="20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cooperative/condominium apartment</w:t>
            </w:r>
          </w:p>
        </w:tc>
        <w:tc>
          <w:tcPr>
            <w:tcW w:w="1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r>
      <w:tr>
        <w:trPr>
          <w:trHeight w:val="20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6"/>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14,202</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income on non-accrual loans held for investment during the three or nine months ended September 30, 2024 and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past due status of the Company’s investment in loans as of the dates indicated:</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Loans 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8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800" w:type="dxa"/>
            <w:vAlign w:val="bottom"/>
            <w:gridSpan w:val="2"/>
            <w:vMerge w:val="continue"/>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0" w:type="dxa"/>
            <w:vAlign w:val="bottom"/>
          </w:tcPr>
          <w:p>
            <w:pPr>
              <w:spacing w:after="0"/>
              <w:rPr>
                <w:sz w:val="1"/>
                <w:szCs w:val="1"/>
                <w:color w:val="auto"/>
              </w:rPr>
            </w:pPr>
          </w:p>
        </w:tc>
      </w:tr>
      <w:tr>
        <w:trPr>
          <w:trHeight w:val="142"/>
        </w:trPr>
        <w:tc>
          <w:tcPr>
            <w:tcW w:w="2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5,098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25,411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31,642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2,620,087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2,651,729</w:t>
            </w:r>
          </w:p>
        </w:tc>
        <w:tc>
          <w:tcPr>
            <w:tcW w:w="0" w:type="dxa"/>
            <w:vAlign w:val="bottom"/>
          </w:tcPr>
          <w:p>
            <w:pPr>
              <w:spacing w:after="0"/>
              <w:rPr>
                <w:sz w:val="1"/>
                <w:szCs w:val="1"/>
                <w:color w:val="auto"/>
              </w:rPr>
            </w:pPr>
          </w:p>
        </w:tc>
      </w:tr>
      <w:tr>
        <w:trPr>
          <w:trHeight w:val="126"/>
        </w:trPr>
        <w:tc>
          <w:tcPr>
            <w:tcW w:w="28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680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3,880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5,856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926,911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932,767</w:t>
            </w:r>
          </w:p>
        </w:tc>
        <w:tc>
          <w:tcPr>
            <w:tcW w:w="0" w:type="dxa"/>
            <w:vAlign w:val="bottom"/>
          </w:tcPr>
          <w:p>
            <w:pPr>
              <w:spacing w:after="0"/>
              <w:rPr>
                <w:sz w:val="1"/>
                <w:szCs w:val="1"/>
                <w:color w:val="auto"/>
              </w:rPr>
            </w:pP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27,599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29,725</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3,836,753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3,866,478</w:t>
            </w: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19,509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19,843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3,260,213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3,280,056</w:t>
            </w:r>
          </w:p>
        </w:tc>
        <w:tc>
          <w:tcPr>
            <w:tcW w:w="0" w:type="dxa"/>
            <w:vAlign w:val="bottom"/>
          </w:tcPr>
          <w:p>
            <w:pPr>
              <w:spacing w:after="0"/>
              <w:rPr>
                <w:sz w:val="1"/>
                <w:szCs w:val="1"/>
                <w:color w:val="auto"/>
              </w:rPr>
            </w:pPr>
          </w:p>
        </w:tc>
      </w:tr>
      <w:tr>
        <w:trPr>
          <w:trHeight w:val="149"/>
        </w:trPr>
        <w:tc>
          <w:tcPr>
            <w:tcW w:w="2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148,642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149,299</w:t>
            </w:r>
          </w:p>
        </w:tc>
        <w:tc>
          <w:tcPr>
            <w:tcW w:w="0" w:type="dxa"/>
            <w:vAlign w:val="bottom"/>
          </w:tcPr>
          <w:p>
            <w:pPr>
              <w:spacing w:after="0"/>
              <w:rPr>
                <w:sz w:val="1"/>
                <w:szCs w:val="1"/>
                <w:color w:val="auto"/>
              </w:rPr>
            </w:pPr>
          </w:p>
        </w:tc>
      </w:tr>
      <w:tr>
        <w:trPr>
          <w:trHeight w:val="148"/>
        </w:trPr>
        <w:tc>
          <w:tcPr>
            <w:tcW w:w="2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9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6,058</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8,238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$ 30,028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49,463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87,729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10,798,658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10,886,387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Loans 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8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800" w:type="dxa"/>
            <w:vAlign w:val="bottom"/>
            <w:gridSpan w:val="2"/>
            <w:vMerge w:val="continue"/>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0" w:type="dxa"/>
            <w:vAlign w:val="bottom"/>
          </w:tcPr>
          <w:p>
            <w:pPr>
              <w:spacing w:after="0"/>
              <w:rPr>
                <w:sz w:val="1"/>
                <w:szCs w:val="1"/>
                <w:color w:val="auto"/>
              </w:rPr>
            </w:pPr>
          </w:p>
        </w:tc>
      </w:tr>
      <w:tr>
        <w:trPr>
          <w:trHeight w:val="142"/>
        </w:trPr>
        <w:tc>
          <w:tcPr>
            <w:tcW w:w="26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18,574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26,930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2,281,241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2,308,171</w:t>
            </w:r>
          </w:p>
        </w:tc>
        <w:tc>
          <w:tcPr>
            <w:tcW w:w="0" w:type="dxa"/>
            <w:vAlign w:val="bottom"/>
          </w:tcPr>
          <w:p>
            <w:pPr>
              <w:spacing w:after="0"/>
              <w:rPr>
                <w:sz w:val="1"/>
                <w:szCs w:val="1"/>
                <w:color w:val="auto"/>
              </w:rPr>
            </w:pPr>
          </w:p>
        </w:tc>
      </w:tr>
      <w:tr>
        <w:trPr>
          <w:trHeight w:val="126"/>
        </w:trPr>
        <w:tc>
          <w:tcPr>
            <w:tcW w:w="28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880,163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887,555</w:t>
            </w:r>
          </w:p>
        </w:tc>
        <w:tc>
          <w:tcPr>
            <w:tcW w:w="0" w:type="dxa"/>
            <w:vAlign w:val="bottom"/>
          </w:tcPr>
          <w:p>
            <w:pPr>
              <w:spacing w:after="0"/>
              <w:rPr>
                <w:sz w:val="1"/>
                <w:szCs w:val="1"/>
                <w:color w:val="auto"/>
              </w:rPr>
            </w:pP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4,017,176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4,017,176</w:t>
            </w: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3,372,710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3,379,667</w:t>
            </w:r>
          </w:p>
        </w:tc>
        <w:tc>
          <w:tcPr>
            <w:tcW w:w="0" w:type="dxa"/>
            <w:vAlign w:val="bottom"/>
          </w:tcPr>
          <w:p>
            <w:pPr>
              <w:spacing w:after="0"/>
              <w:rPr>
                <w:sz w:val="1"/>
                <w:szCs w:val="1"/>
                <w:color w:val="auto"/>
              </w:rPr>
            </w:pPr>
          </w:p>
        </w:tc>
      </w:tr>
      <w:tr>
        <w:trPr>
          <w:trHeight w:val="148"/>
        </w:trPr>
        <w:tc>
          <w:tcPr>
            <w:tcW w:w="28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168,513</w:t>
            </w:r>
          </w:p>
        </w:tc>
        <w:tc>
          <w:tcPr>
            <w:tcW w:w="0" w:type="dxa"/>
            <w:vAlign w:val="bottom"/>
          </w:tcPr>
          <w:p>
            <w:pPr>
              <w:spacing w:after="0"/>
              <w:rPr>
                <w:sz w:val="1"/>
                <w:szCs w:val="1"/>
                <w:color w:val="auto"/>
              </w:rPr>
            </w:pPr>
          </w:p>
        </w:tc>
      </w:tr>
      <w:tr>
        <w:trPr>
          <w:trHeight w:val="148"/>
        </w:trPr>
        <w:tc>
          <w:tcPr>
            <w:tcW w:w="2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5,755</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29,099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42,366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10,724,471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10,766,837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did not have accruing loans 90 days or more past due as of September 30, 2024 or December 31,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Collateral Dependent Loans:</w:t>
      </w:r>
    </w:p>
    <w:p>
      <w:pPr>
        <w:spacing w:after="0" w:line="227"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Company had collateral dependent loans which were individually evaluated to determine expected credit losses as of the dates indicated: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5"/>
                <w:szCs w:val="15"/>
                <w:color w:val="auto"/>
              </w:rPr>
            </w:pPr>
          </w:p>
        </w:tc>
        <w:tc>
          <w:tcPr>
            <w:tcW w:w="2560" w:type="dxa"/>
            <w:vAlign w:val="bottom"/>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73"/>
        </w:trPr>
        <w:tc>
          <w:tcPr>
            <w:tcW w:w="3380" w:type="dxa"/>
            <w:vAlign w:val="bottom"/>
            <w:gridSpan w:val="2"/>
            <w:vMerge w:val="continue"/>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80" w:type="dxa"/>
            <w:vAlign w:val="bottom"/>
          </w:tcPr>
          <w:p>
            <w:pPr>
              <w:spacing w:after="0"/>
              <w:rPr>
                <w:sz w:val="15"/>
                <w:szCs w:val="15"/>
                <w:color w:val="auto"/>
              </w:rPr>
            </w:pPr>
          </w:p>
        </w:tc>
        <w:tc>
          <w:tcPr>
            <w:tcW w:w="12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19,494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287</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42"/>
        </w:trPr>
        <w:tc>
          <w:tcPr>
            <w:tcW w:w="33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26,475</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11,004</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Loan Restructurings</w:t>
      </w:r>
    </w:p>
    <w:p>
      <w:pPr>
        <w:spacing w:after="0" w:line="229" w:lineRule="exact"/>
        <w:rPr>
          <w:sz w:val="20"/>
          <w:szCs w:val="20"/>
          <w:color w:val="auto"/>
        </w:rPr>
      </w:pPr>
    </w:p>
    <w:p>
      <w:pPr>
        <w:jc w:val="both"/>
        <w:ind w:left="60" w:right="60"/>
        <w:spacing w:after="0" w:line="255" w:lineRule="auto"/>
        <w:rPr>
          <w:sz w:val="20"/>
          <w:szCs w:val="20"/>
          <w:color w:val="auto"/>
        </w:rPr>
      </w:pPr>
      <w:r>
        <w:rPr>
          <w:rFonts w:ascii="Times New Roman" w:cs="Times New Roman" w:eastAsia="Times New Roman" w:hAnsi="Times New Roman"/>
          <w:sz w:val="18"/>
          <w:szCs w:val="18"/>
          <w:color w:val="auto"/>
        </w:rPr>
        <w:t>The Company adopted ASU No. 2022-02 on January 1, 2023, which eliminates the recognition and measurement of a Troubled Debt Restructuring (“TDR”). Due to the removal of the TDR designation, 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9"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loans modified to borrowers experiencing financial difficulty, disaggregated by loan category and type of concession granted for the three and nine months September 30, 2024 and 2023:</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2024</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tcPr>
          <w:p>
            <w:pPr>
              <w:jc w:val="center"/>
              <w:ind w:left="418"/>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Delay,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1"/>
                <w:szCs w:val="11"/>
                <w:color w:val="auto"/>
              </w:rPr>
            </w:pPr>
          </w:p>
        </w:tc>
        <w:tc>
          <w:tcPr>
            <w:tcW w:w="70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80" w:type="dxa"/>
            <w:vAlign w:val="bottom"/>
          </w:tcPr>
          <w:p>
            <w:pPr>
              <w:spacing w:after="0"/>
              <w:rPr>
                <w:sz w:val="13"/>
                <w:szCs w:val="13"/>
                <w:color w:val="auto"/>
              </w:rPr>
            </w:pPr>
          </w:p>
        </w:tc>
        <w:tc>
          <w:tcPr>
            <w:tcW w:w="70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7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15,971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 $</w:t>
            </w:r>
          </w:p>
        </w:tc>
        <w:tc>
          <w:tcPr>
            <w:tcW w:w="76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15,971</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0.6</w:t>
            </w:r>
          </w:p>
        </w:tc>
        <w:tc>
          <w:tcPr>
            <w:tcW w:w="1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r>
      <w:tr>
        <w:trPr>
          <w:trHeight w:val="135"/>
        </w:trPr>
        <w:tc>
          <w:tcPr>
            <w:tcW w:w="2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74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24,709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24,709</w:t>
            </w:r>
          </w:p>
        </w:tc>
        <w:tc>
          <w:tcPr>
            <w:tcW w:w="7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66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15,971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24,709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 $</w:t>
            </w:r>
          </w:p>
        </w:tc>
        <w:tc>
          <w:tcPr>
            <w:tcW w:w="76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40,680</w:t>
            </w:r>
          </w:p>
        </w:tc>
        <w:tc>
          <w:tcPr>
            <w:tcW w:w="860" w:type="dxa"/>
            <w:vAlign w:val="bottom"/>
            <w:tcBorders>
              <w:top w:val="single" w:sz="8" w:color="CCEEFF"/>
              <w:bottom w:val="single" w:sz="8" w:color="CCEEFF"/>
            </w:tcBorders>
            <w:gridSpan w:val="6"/>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0.4 %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September 30, 2023</w:t>
            </w: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tcPr>
          <w:p>
            <w:pPr>
              <w:jc w:val="center"/>
              <w:ind w:left="458"/>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Delay,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1"/>
                <w:szCs w:val="11"/>
                <w:color w:val="auto"/>
              </w:rPr>
            </w:pPr>
          </w:p>
        </w:tc>
        <w:tc>
          <w:tcPr>
            <w:tcW w:w="70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8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80" w:type="dxa"/>
            <w:vAlign w:val="bottom"/>
          </w:tcPr>
          <w:p>
            <w:pPr>
              <w:spacing w:after="0"/>
              <w:rPr>
                <w:sz w:val="11"/>
                <w:szCs w:val="11"/>
                <w:color w:val="auto"/>
              </w:rPr>
            </w:pPr>
          </w:p>
        </w:tc>
        <w:tc>
          <w:tcPr>
            <w:tcW w:w="7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80" w:type="dxa"/>
            <w:vAlign w:val="bottom"/>
          </w:tcPr>
          <w:p>
            <w:pPr>
              <w:spacing w:after="0"/>
              <w:rPr>
                <w:sz w:val="13"/>
                <w:szCs w:val="13"/>
                <w:color w:val="auto"/>
              </w:rPr>
            </w:pPr>
          </w:p>
        </w:tc>
        <w:tc>
          <w:tcPr>
            <w:tcW w:w="70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7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9,290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w w:val="96"/>
              </w:rPr>
              <w:t>— $</w:t>
            </w:r>
          </w:p>
        </w:tc>
        <w:tc>
          <w:tcPr>
            <w:tcW w:w="76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9,319</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r>
      <w:tr>
        <w:trPr>
          <w:trHeight w:val="135"/>
        </w:trPr>
        <w:tc>
          <w:tcPr>
            <w:tcW w:w="2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24,705</w:t>
            </w:r>
          </w:p>
        </w:tc>
        <w:tc>
          <w:tcPr>
            <w:tcW w:w="7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66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33,995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w w:val="96"/>
              </w:rPr>
              <w:t>— $</w:t>
            </w:r>
          </w:p>
        </w:tc>
        <w:tc>
          <w:tcPr>
            <w:tcW w:w="76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34,024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gridSpan w:val="5"/>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0.3 %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2024</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tcPr>
          <w:p>
            <w:pPr>
              <w:jc w:val="center"/>
              <w:ind w:left="457"/>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Delay,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c>
          <w:tcPr>
            <w:tcW w:w="0" w:type="dxa"/>
            <w:vAlign w:val="bottom"/>
          </w:tcPr>
          <w:p>
            <w:pPr>
              <w:spacing w:after="0"/>
              <w:rPr>
                <w:sz w:val="1"/>
                <w:szCs w:val="1"/>
                <w:color w:val="auto"/>
              </w:rPr>
            </w:pPr>
          </w:p>
        </w:tc>
      </w:tr>
      <w:tr>
        <w:trPr>
          <w:trHeight w:val="15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7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c>
          <w:tcPr>
            <w:tcW w:w="0" w:type="dxa"/>
            <w:vAlign w:val="bottom"/>
          </w:tcPr>
          <w:p>
            <w:pPr>
              <w:spacing w:after="0"/>
              <w:rPr>
                <w:sz w:val="1"/>
                <w:szCs w:val="1"/>
                <w:color w:val="auto"/>
              </w:rPr>
            </w:pPr>
          </w:p>
        </w:tc>
      </w:tr>
      <w:tr>
        <w:trPr>
          <w:trHeight w:val="128"/>
        </w:trPr>
        <w:tc>
          <w:tcPr>
            <w:tcW w:w="252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16,077</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190</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 $</w:t>
            </w:r>
          </w:p>
        </w:tc>
        <w:tc>
          <w:tcPr>
            <w:tcW w:w="76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17,487</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w w:val="98"/>
              </w:rPr>
              <w:t>0.7</w:t>
            </w: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17"/>
        </w:trPr>
        <w:tc>
          <w:tcPr>
            <w:tcW w:w="25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including</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900</w:t>
            </w:r>
          </w:p>
        </w:tc>
        <w:tc>
          <w:tcPr>
            <w:tcW w:w="7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900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condominium and cooperative apartment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2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w w:val="98"/>
              </w:rPr>
              <w:t>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Multifamily residential and residential mixed-use</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34,095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34,095</w:t>
            </w:r>
          </w:p>
        </w:tc>
        <w:tc>
          <w:tcPr>
            <w:tcW w:w="720" w:type="dxa"/>
            <w:vAlign w:val="bottom"/>
            <w:gridSpan w:val="3"/>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w w:val="98"/>
              </w:rPr>
              <w:t>0.9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Borders>
              <w:bottom w:val="single" w:sz="8" w:color="CCEEFF"/>
            </w:tcBorders>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31,097</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24,709</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ind w:left="4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55,806</w:t>
            </w:r>
          </w:p>
        </w:tc>
        <w:tc>
          <w:tcPr>
            <w:tcW w:w="720" w:type="dxa"/>
            <w:vAlign w:val="bottom"/>
            <w:tcBorders>
              <w:bottom w:val="single" w:sz="8" w:color="CCEEFF"/>
            </w:tcBorders>
            <w:gridSpan w:val="3"/>
          </w:tcPr>
          <w:p>
            <w:pPr>
              <w:ind w:left="540"/>
              <w:spacing w:after="0" w:line="135" w:lineRule="exact"/>
              <w:rPr>
                <w:sz w:val="20"/>
                <w:szCs w:val="20"/>
                <w:color w:val="auto"/>
              </w:rPr>
            </w:pPr>
            <w:r>
              <w:rPr>
                <w:rFonts w:ascii="Times New Roman" w:cs="Times New Roman" w:eastAsia="Times New Roman" w:hAnsi="Times New Roman"/>
                <w:sz w:val="13"/>
                <w:szCs w:val="13"/>
                <w:color w:val="auto"/>
                <w:w w:val="98"/>
              </w:rPr>
              <w:t>1.7</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16,077</w:t>
            </w:r>
          </w:p>
        </w:tc>
        <w:tc>
          <w:tcPr>
            <w:tcW w:w="2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66,384</w:t>
            </w:r>
          </w:p>
        </w:tc>
        <w:tc>
          <w:tcPr>
            <w:tcW w:w="2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190</w:t>
            </w: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24,737</w:t>
            </w: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900 $</w:t>
            </w:r>
          </w:p>
        </w:tc>
        <w:tc>
          <w:tcPr>
            <w:tcW w:w="760" w:type="dxa"/>
            <w:vAlign w:val="bottom"/>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108,288</w:t>
            </w:r>
          </w:p>
        </w:tc>
        <w:tc>
          <w:tcPr>
            <w:tcW w:w="840" w:type="dxa"/>
            <w:vAlign w:val="bottom"/>
            <w:gridSpan w:val="5"/>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w w:val="92"/>
              </w:rPr>
              <w:t>1.0 %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2023</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tcPr>
          <w:p>
            <w:pPr>
              <w:jc w:val="center"/>
              <w:ind w:left="417"/>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Delay,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Delay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c>
          <w:tcPr>
            <w:tcW w:w="0" w:type="dxa"/>
            <w:vAlign w:val="bottom"/>
          </w:tcPr>
          <w:p>
            <w:pPr>
              <w:spacing w:after="0"/>
              <w:rPr>
                <w:sz w:val="1"/>
                <w:szCs w:val="1"/>
                <w:color w:val="auto"/>
              </w:rPr>
            </w:pPr>
          </w:p>
        </w:tc>
      </w:tr>
      <w:tr>
        <w:trPr>
          <w:trHeight w:val="15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720" w:type="dxa"/>
            <w:vAlign w:val="bottom"/>
            <w:gridSpan w:val="4"/>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c>
          <w:tcPr>
            <w:tcW w:w="0" w:type="dxa"/>
            <w:vAlign w:val="bottom"/>
          </w:tcPr>
          <w:p>
            <w:pPr>
              <w:spacing w:after="0"/>
              <w:rPr>
                <w:sz w:val="1"/>
                <w:szCs w:val="1"/>
                <w:color w:val="auto"/>
              </w:rPr>
            </w:pPr>
          </w:p>
        </w:tc>
      </w:tr>
      <w:tr>
        <w:trPr>
          <w:trHeight w:val="128"/>
        </w:trPr>
        <w:tc>
          <w:tcPr>
            <w:tcW w:w="25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9,290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471</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301</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w w:val="96"/>
              </w:rPr>
              <w:t>— $</w:t>
            </w:r>
          </w:p>
        </w:tc>
        <w:tc>
          <w:tcPr>
            <w:tcW w:w="76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10,188</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2"/>
            <w:shd w:val="clear" w:color="auto" w:fill="CCEEFF"/>
          </w:tcPr>
          <w:p>
            <w:pPr>
              <w:ind w:left="400"/>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1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17"/>
        </w:trPr>
        <w:tc>
          <w:tcPr>
            <w:tcW w:w="25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including</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condominium and cooperative apartment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72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0.3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24,705</w:t>
            </w:r>
          </w:p>
        </w:tc>
        <w:tc>
          <w:tcPr>
            <w:tcW w:w="720" w:type="dxa"/>
            <w:vAlign w:val="bottom"/>
            <w:gridSpan w:val="3"/>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36,849</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ind w:left="460"/>
              <w:spacing w:after="0" w:line="129" w:lineRule="exact"/>
              <w:rPr>
                <w:sz w:val="20"/>
                <w:szCs w:val="20"/>
                <w:color w:val="auto"/>
              </w:rPr>
            </w:pPr>
            <w:r>
              <w:rPr>
                <w:rFonts w:ascii="Times New Roman" w:cs="Times New Roman" w:eastAsia="Times New Roman" w:hAnsi="Times New Roman"/>
                <w:sz w:val="13"/>
                <w:szCs w:val="13"/>
                <w:color w:val="auto"/>
                <w:w w:val="96"/>
              </w:rPr>
              <w:t>— $</w:t>
            </w:r>
          </w:p>
        </w:tc>
        <w:tc>
          <w:tcPr>
            <w:tcW w:w="760" w:type="dxa"/>
            <w:vAlign w:val="bottom"/>
            <w:tcBorders>
              <w:top w:val="single" w:sz="8" w:color="auto"/>
              <w:bottom w:val="single" w:sz="8" w:color="auto"/>
            </w:tcBorders>
          </w:tcPr>
          <w:p>
            <w:pPr>
              <w:ind w:left="46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37,747</w:t>
            </w:r>
          </w:p>
        </w:tc>
        <w:tc>
          <w:tcPr>
            <w:tcW w:w="840" w:type="dxa"/>
            <w:vAlign w:val="bottom"/>
            <w:gridSpan w:val="5"/>
          </w:tcPr>
          <w:p>
            <w:pPr>
              <w:ind w:left="520"/>
              <w:spacing w:after="0" w:line="129" w:lineRule="exact"/>
              <w:rPr>
                <w:sz w:val="20"/>
                <w:szCs w:val="20"/>
                <w:color w:val="auto"/>
              </w:rPr>
            </w:pPr>
            <w:r>
              <w:rPr>
                <w:rFonts w:ascii="Times New Roman" w:cs="Times New Roman" w:eastAsia="Times New Roman" w:hAnsi="Times New Roman"/>
                <w:sz w:val="13"/>
                <w:szCs w:val="13"/>
                <w:color w:val="auto"/>
                <w:w w:val="98"/>
              </w:rPr>
              <w:t>0.3 %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Non-owner-occupied commercial real estate</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1,400</w:t>
            </w: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w:t>
            </w: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18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Non-owner-occupied commercial real estate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338"/>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4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 w:type="dxa"/>
            <w:vAlign w:val="bottom"/>
          </w:tcPr>
          <w:p>
            <w:pPr>
              <w:spacing w:after="0"/>
              <w:rPr>
                <w:sz w:val="15"/>
                <w:szCs w:val="15"/>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7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w:t>
            </w:r>
          </w:p>
        </w:tc>
        <w:tc>
          <w:tcPr>
            <w:tcW w:w="300" w:type="dxa"/>
            <w:vAlign w:val="bottom"/>
            <w:tcBorders>
              <w:top w:val="single" w:sz="8" w:color="CCEEFF"/>
            </w:tcBorders>
            <w:gridSpan w:val="2"/>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w:t>
            </w:r>
          </w:p>
        </w:tc>
        <w:tc>
          <w:tcPr>
            <w:tcW w:w="0" w:type="dxa"/>
            <w:vAlign w:val="bottom"/>
          </w:tcPr>
          <w:p>
            <w:pPr>
              <w:spacing w:after="0"/>
              <w:rPr>
                <w:sz w:val="1"/>
                <w:szCs w:val="1"/>
                <w:color w:val="auto"/>
              </w:rPr>
            </w:pPr>
          </w:p>
        </w:tc>
      </w:tr>
      <w:tr>
        <w:trPr>
          <w:trHeight w:val="149"/>
        </w:trPr>
        <w:tc>
          <w:tcPr>
            <w:tcW w:w="4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condominium and cooperative apartment</w:t>
            </w:r>
          </w:p>
        </w:tc>
        <w:tc>
          <w:tcPr>
            <w:tcW w:w="1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256</w:t>
            </w:r>
          </w:p>
        </w:tc>
        <w:tc>
          <w:tcPr>
            <w:tcW w:w="0" w:type="dxa"/>
            <w:vAlign w:val="bottom"/>
          </w:tcPr>
          <w:p>
            <w:pPr>
              <w:spacing w:after="0"/>
              <w:rPr>
                <w:sz w:val="1"/>
                <w:szCs w:val="1"/>
                <w:color w:val="auto"/>
              </w:rPr>
            </w:pPr>
          </w:p>
        </w:tc>
      </w:tr>
      <w:tr>
        <w:trPr>
          <w:trHeight w:val="19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Non-owner-occupied commercial real estate</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tcBorders>
              <w:bottom w:val="single" w:sz="8" w:color="auto"/>
            </w:tcBorders>
            <w:gridSpan w:val="6"/>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Pr>
          <w:p>
            <w:pPr>
              <w:spacing w:after="0"/>
              <w:rPr>
                <w:sz w:val="10"/>
                <w:szCs w:val="10"/>
                <w:color w:val="auto"/>
              </w:rPr>
            </w:pP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4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4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10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42"/>
        </w:trPr>
        <w:tc>
          <w:tcPr>
            <w:tcW w:w="4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148"/>
        </w:trPr>
        <w:tc>
          <w:tcPr>
            <w:tcW w:w="5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condominium and cooperative apartment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monitors the performance of loans modified to borrowers experiencing financial difficulty to understand the effectiveness of its modification efforts. The following tables provide the loan performance in the 12 months after a modification involving borrowers experiencing financial difficulty.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17,565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19,339</w:t>
            </w:r>
          </w:p>
        </w:tc>
        <w:tc>
          <w:tcPr>
            <w:tcW w:w="0" w:type="dxa"/>
            <w:vAlign w:val="bottom"/>
          </w:tcPr>
          <w:p>
            <w:pPr>
              <w:spacing w:after="0"/>
              <w:rPr>
                <w:sz w:val="1"/>
                <w:szCs w:val="1"/>
                <w:color w:val="auto"/>
              </w:rPr>
            </w:pPr>
          </w:p>
        </w:tc>
      </w:tr>
      <w:tr>
        <w:trPr>
          <w:trHeight w:val="126"/>
        </w:trPr>
        <w:tc>
          <w:tcPr>
            <w:tcW w:w="30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3,749</w:t>
            </w:r>
          </w:p>
        </w:tc>
        <w:tc>
          <w:tcPr>
            <w:tcW w:w="0" w:type="dxa"/>
            <w:vAlign w:val="bottom"/>
          </w:tcPr>
          <w:p>
            <w:pPr>
              <w:spacing w:after="0"/>
              <w:rPr>
                <w:sz w:val="1"/>
                <w:szCs w:val="1"/>
                <w:color w:val="auto"/>
              </w:rPr>
            </w:pPr>
          </w:p>
        </w:tc>
      </w:tr>
      <w:tr>
        <w:trPr>
          <w:trHeight w:val="17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6,496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27,599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34,095</w:t>
            </w:r>
          </w:p>
        </w:tc>
        <w:tc>
          <w:tcPr>
            <w:tcW w:w="0" w:type="dxa"/>
            <w:vAlign w:val="bottom"/>
          </w:tcPr>
          <w:p>
            <w:pPr>
              <w:spacing w:after="0"/>
              <w:rPr>
                <w:sz w:val="1"/>
                <w:szCs w:val="1"/>
                <w:color w:val="auto"/>
              </w:rPr>
            </w:pPr>
          </w:p>
        </w:tc>
      </w:tr>
      <w:tr>
        <w:trPr>
          <w:trHeight w:val="148"/>
        </w:trPr>
        <w:tc>
          <w:tcPr>
            <w:tcW w:w="3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55,806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55,806</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82,716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27,599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112,989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10,188</w:t>
            </w:r>
          </w:p>
        </w:tc>
        <w:tc>
          <w:tcPr>
            <w:tcW w:w="0" w:type="dxa"/>
            <w:vAlign w:val="bottom"/>
          </w:tcPr>
          <w:p>
            <w:pPr>
              <w:spacing w:after="0"/>
              <w:rPr>
                <w:sz w:val="1"/>
                <w:szCs w:val="1"/>
                <w:color w:val="auto"/>
              </w:rPr>
            </w:pPr>
          </w:p>
        </w:tc>
      </w:tr>
      <w:tr>
        <w:trPr>
          <w:trHeight w:val="126"/>
        </w:trPr>
        <w:tc>
          <w:tcPr>
            <w:tcW w:w="30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including</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0" w:type="dxa"/>
            <w:vAlign w:val="bottom"/>
          </w:tcPr>
          <w:p>
            <w:pPr>
              <w:spacing w:after="0"/>
              <w:rPr>
                <w:sz w:val="1"/>
                <w:szCs w:val="1"/>
                <w:color w:val="auto"/>
              </w:rPr>
            </w:pPr>
          </w:p>
        </w:tc>
      </w:tr>
      <w:tr>
        <w:trPr>
          <w:trHeight w:val="17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condominium and cooperative apartment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24,705</w:t>
            </w:r>
          </w:p>
        </w:tc>
        <w:tc>
          <w:tcPr>
            <w:tcW w:w="0" w:type="dxa"/>
            <w:vAlign w:val="bottom"/>
          </w:tcPr>
          <w:p>
            <w:pPr>
              <w:spacing w:after="0"/>
              <w:rPr>
                <w:sz w:val="1"/>
                <w:szCs w:val="1"/>
                <w:color w:val="auto"/>
              </w:rPr>
            </w:pPr>
          </w:p>
        </w:tc>
      </w:tr>
      <w:tr>
        <w:trPr>
          <w:trHeight w:val="142"/>
        </w:trPr>
        <w:tc>
          <w:tcPr>
            <w:tcW w:w="3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36,849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898</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37,747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There were no loans made to borrowers experiencing financial difficulty that were modified during the nine months ended September 30, 2024 and 2023, and that subsequently defaulted.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spacing w:after="0" w:line="178"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If left uncorrected, these potential weaknesses may result in deterioration of the repayment prospects for the loan or of the Bank’s credit position at some future date.</w:t>
      </w:r>
    </w:p>
    <w:p>
      <w:pPr>
        <w:spacing w:after="0" w:line="173"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inadequately protected by the current net worth and paying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spacing w:after="0" w:line="180"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characteristic that the weaknesses make collection or liquidation in full, on the basis of then existing facts, conditions, and values, highly questionable and improbable.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credit risk profile of loans by internally assigned grade as of the periods indicated, the years represent the year of origination for non-revolving loans: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2019 and</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248,341</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247,652</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357,323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204,733</w:t>
            </w:r>
          </w:p>
        </w:tc>
        <w:tc>
          <w:tcPr>
            <w:tcW w:w="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169,319</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394,679</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840,224</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52,024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2,514,295</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3,090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61,788</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75,035</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248,482</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248,518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383,036</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211,346</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177,262</w:t>
            </w: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427,992</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863,375</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91,718</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2,651,729</w:t>
            </w:r>
          </w:p>
        </w:tc>
      </w:tr>
      <w:tr>
        <w:trPr>
          <w:trHeight w:val="129"/>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3,940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5,065</w:t>
            </w: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6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93,307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162,376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206,691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98,996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64,514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257,747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920,943</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878</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10,946</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93,307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162,376</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206,691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98,996</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65,503</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266,891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28,630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10,373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932,767</w:t>
            </w:r>
          </w:p>
        </w:tc>
      </w:tr>
      <w:tr>
        <w:trPr>
          <w:trHeight w:val="129"/>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21,942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254,215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1,318,634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548,979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288,401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1,259,803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3,701,239</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12,387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14,251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73,409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101,249</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63,990</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mixed-use</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21,942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254,215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1,319,836</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561,366</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302,652</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1,397,202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3,866,478</w:t>
            </w:r>
          </w:p>
        </w:tc>
      </w:tr>
      <w:tr>
        <w:trPr>
          <w:trHeight w:val="128"/>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2,553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3,845</w:t>
            </w: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45,208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216,058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728,276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606,580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412,817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1,039,290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3,068,808</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74,908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101,994</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59,930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109,254</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45,208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216,058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728,276</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626,752</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547,655</w:t>
            </w: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1,095,528</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12,328</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8,251</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3,280,056</w:t>
            </w:r>
          </w:p>
        </w:tc>
      </w:tr>
      <w:tr>
        <w:trPr>
          <w:trHeight w:val="128"/>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10,833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133,671</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14,971</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10,833</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31,004</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32,270</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38,282</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2,600</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21,523</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12,787</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149,299</w:t>
            </w:r>
          </w:p>
        </w:tc>
      </w:tr>
      <w:tr>
        <w:trPr>
          <w:trHeight w:val="129"/>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419,631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911,305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2,643,194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1,482,599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935,051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2,954,119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905,684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87,373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10,338,956</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92,249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280,880</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21,804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65,772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124,464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31,670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259,882</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8"/>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419,772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912,171</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2,670,109</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1,536,742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1,093,072</w:t>
            </w:r>
          </w:p>
        </w:tc>
        <w:tc>
          <w:tcPr>
            <w:tcW w:w="10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3,190,213</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929,748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128,502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10,880,329</w:t>
            </w:r>
          </w:p>
        </w:tc>
      </w:tr>
      <w:tr>
        <w:trPr>
          <w:trHeight w:val="115"/>
        </w:trPr>
        <w:tc>
          <w:tcPr>
            <w:tcW w:w="2680" w:type="dxa"/>
            <w:vAlign w:val="bottom"/>
            <w:tcBorders>
              <w:bottom w:val="single" w:sz="8" w:color="CCEEFF"/>
            </w:tcBorders>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116</w:t>
            </w:r>
          </w:p>
        </w:tc>
        <w:tc>
          <w:tcPr>
            <w:tcW w:w="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1,559</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3,137</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4,036</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9,006</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08"/>
        </w:trPr>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2018 and</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5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6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258,699</w:t>
            </w:r>
          </w:p>
        </w:tc>
        <w:tc>
          <w:tcPr>
            <w:tcW w:w="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390,760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196,790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144,796</w:t>
            </w:r>
          </w:p>
        </w:tc>
        <w:tc>
          <w:tcPr>
            <w:tcW w:w="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150,871</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305,258</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633,719</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35,079</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2,115,972</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41,682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7,125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21,108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25,306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113,618</w:t>
            </w: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77,833</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r>
      <w:tr>
        <w:trPr>
          <w:trHeight w:val="128"/>
        </w:trPr>
        <w:tc>
          <w:tcPr>
            <w:tcW w:w="27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259,180</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434,299</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200,169</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165,092</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160,799</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339,404</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670,394</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78,834</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2,308,171</w:t>
            </w:r>
          </w:p>
        </w:tc>
      </w:tr>
      <w:tr>
        <w:trPr>
          <w:trHeight w:val="128"/>
        </w:trPr>
        <w:tc>
          <w:tcPr>
            <w:tcW w:w="27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5,464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3,390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15,364</w:t>
            </w:r>
          </w:p>
        </w:tc>
      </w:tr>
      <w:tr>
        <w:trPr>
          <w:trHeight w:val="135"/>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17"/>
        </w:trPr>
        <w:tc>
          <w:tcPr>
            <w:tcW w:w="27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170,601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213,479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102,684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69,524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62,356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213,131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875,473</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968</w:t>
            </w: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11,114</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2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r>
      <w:tr>
        <w:trPr>
          <w:trHeight w:val="153"/>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170,601</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213,479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102,684</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70,529</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62,693</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221,875</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31,364</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14,330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887,555</w:t>
            </w:r>
          </w:p>
        </w:tc>
      </w:tr>
      <w:tr>
        <w:trPr>
          <w:trHeight w:val="128"/>
        </w:trPr>
        <w:tc>
          <w:tcPr>
            <w:tcW w:w="27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r>
      <w:tr>
        <w:trPr>
          <w:trHeight w:val="135"/>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256,822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1,340,197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578,352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283,633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384,937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981,820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4,841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3,834,927</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9,334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64,273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81,373</w:t>
            </w: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28,799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66,988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100,876</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2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r>
      <w:tr>
        <w:trPr>
          <w:trHeight w:val="153"/>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256,822</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1,340,197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587,686</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316,312</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393,912</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1,113,081</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4,841</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4,017,176</w:t>
            </w:r>
          </w:p>
        </w:tc>
      </w:tr>
      <w:tr>
        <w:trPr>
          <w:trHeight w:val="128"/>
        </w:trPr>
        <w:tc>
          <w:tcPr>
            <w:tcW w:w="27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r>
      <w:tr>
        <w:trPr>
          <w:trHeight w:val="135"/>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220,045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738,133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645,246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447,002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359,201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756,921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3,186,393</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75,378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4,563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102,576</w:t>
            </w: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60,272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6,254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90,698</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220,045</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738,133</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665,134</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582,652</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370,018</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783,840</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11,919</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7,926</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3,379,667</w:t>
            </w:r>
          </w:p>
        </w:tc>
      </w:tr>
      <w:tr>
        <w:trPr>
          <w:trHeight w:val="129"/>
        </w:trPr>
        <w:tc>
          <w:tcPr>
            <w:tcW w:w="27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16,735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17,534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59,202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22,444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129,142</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12,253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38,714</w:t>
            </w: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16,735</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29,034</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74,163</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9,900</w:t>
            </w: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14,918</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437</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22,444</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882</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168,513</w:t>
            </w:r>
          </w:p>
        </w:tc>
      </w:tr>
      <w:tr>
        <w:trPr>
          <w:trHeight w:val="128"/>
        </w:trPr>
        <w:tc>
          <w:tcPr>
            <w:tcW w:w="27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922,902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2,700,103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1,582,274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954,855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960,030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2,257,567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704,128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60,048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10,141,907</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53,182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45,366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92,825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27,827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70,219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21,267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26,082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337,249</w:t>
            </w:r>
          </w:p>
        </w:tc>
      </w:tr>
      <w:tr>
        <w:trPr>
          <w:trHeight w:val="135"/>
        </w:trPr>
        <w:tc>
          <w:tcPr>
            <w:tcW w:w="2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96,805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281,178</w:t>
            </w: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r>
      <w:tr>
        <w:trPr>
          <w:trHeight w:val="169"/>
        </w:trPr>
        <w:tc>
          <w:tcPr>
            <w:tcW w:w="27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923,383</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2,755,142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1,629,836</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1,144,485</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1,002,340</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2,458,637</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740,962</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106,297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10,761,082</w:t>
            </w:r>
          </w:p>
        </w:tc>
      </w:tr>
      <w:tr>
        <w:trPr>
          <w:trHeight w:val="115"/>
        </w:trPr>
        <w:tc>
          <w:tcPr>
            <w:tcW w:w="2720" w:type="dxa"/>
            <w:vAlign w:val="bottom"/>
            <w:tcBorders>
              <w:bottom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77</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38</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4,166</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2,231</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5,464</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3,404</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15,380</w:t>
            </w: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8"/>
                <w:szCs w:val="18"/>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w:t>
            </w:r>
          </w:p>
        </w:tc>
      </w:tr>
      <w:tr>
        <w:trPr>
          <w:trHeight w:val="203"/>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Non-accrual</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6,058</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remaining maturities of undiscounted lease payments, as well as a reconciliation to the discounted operating lease liabilities in the Consolidated Statements of Financial Condition at September 30, 2024:</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r>
      <w:tr>
        <w:trPr>
          <w:trHeight w:val="142"/>
        </w:trPr>
        <w:tc>
          <w:tcPr>
            <w:tcW w:w="7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600" w:type="dxa"/>
            <w:vAlign w:val="bottom"/>
            <w:gridSpan w:val="2"/>
            <w:shd w:val="clear" w:color="auto" w:fill="CCEEFF"/>
          </w:tcPr>
          <w:p>
            <w:pPr>
              <w:jc w:val="right"/>
              <w:ind w:right="2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3,537</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13,861</w:t>
            </w:r>
          </w:p>
        </w:tc>
      </w:tr>
      <w:tr>
        <w:trPr>
          <w:trHeight w:val="148"/>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13,166</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11,316</w:t>
            </w:r>
          </w:p>
        </w:tc>
      </w:tr>
      <w:tr>
        <w:trPr>
          <w:trHeight w:val="149"/>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5,330</w:t>
            </w:r>
          </w:p>
        </w:tc>
      </w:tr>
      <w:tr>
        <w:trPr>
          <w:trHeight w:val="148"/>
        </w:trPr>
        <w:tc>
          <w:tcPr>
            <w:tcW w:w="7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7,614</w:t>
            </w:r>
          </w:p>
        </w:tc>
      </w:tr>
      <w:tr>
        <w:trPr>
          <w:trHeight w:val="142"/>
        </w:trPr>
        <w:tc>
          <w:tcPr>
            <w:tcW w:w="75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undiscounted lease payments</w:t>
            </w:r>
          </w:p>
        </w:tc>
        <w:tc>
          <w:tcPr>
            <w:tcW w:w="2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54,824</w:t>
            </w:r>
          </w:p>
        </w:tc>
      </w:tr>
      <w:tr>
        <w:trPr>
          <w:trHeight w:val="142"/>
        </w:trPr>
        <w:tc>
          <w:tcPr>
            <w:tcW w:w="7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amounts representing interest</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(3,462)</w:t>
            </w:r>
          </w:p>
        </w:tc>
      </w:tr>
      <w:tr>
        <w:trPr>
          <w:trHeight w:val="142"/>
        </w:trPr>
        <w:tc>
          <w:tcPr>
            <w:tcW w:w="752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51,362</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80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3,506</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10,195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9,529</w:t>
            </w:r>
          </w:p>
        </w:tc>
        <w:tc>
          <w:tcPr>
            <w:tcW w:w="0" w:type="dxa"/>
            <w:vAlign w:val="bottom"/>
          </w:tcPr>
          <w:p>
            <w:pPr>
              <w:spacing w:after="0"/>
              <w:rPr>
                <w:sz w:val="1"/>
                <w:szCs w:val="1"/>
                <w:color w:val="auto"/>
              </w:rPr>
            </w:pPr>
          </w:p>
        </w:tc>
      </w:tr>
      <w:tr>
        <w:trPr>
          <w:trHeight w:val="19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18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3,508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10,141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0" w:type="dxa"/>
            <w:vAlign w:val="bottom"/>
          </w:tcPr>
          <w:p>
            <w:pPr>
              <w:spacing w:after="0"/>
              <w:rPr>
                <w:sz w:val="1"/>
                <w:szCs w:val="1"/>
                <w:color w:val="auto"/>
              </w:rPr>
            </w:pPr>
          </w:p>
        </w:tc>
      </w:tr>
    </w:tbl>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42"/>
        </w:trPr>
        <w:tc>
          <w:tcPr>
            <w:tcW w:w="54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w:t>
            </w: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 years</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3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years</w:t>
            </w:r>
          </w:p>
        </w:tc>
      </w:t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2.67 %</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bl>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DERIVATIVES AND HEDGING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Derivatives on the Consolidated Statements of Financial Condition</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and fair values of the Company’s derivative financial instruments as of September 30, 2024 and December 31, 2023.</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8,061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12,492</w:t>
            </w:r>
          </w:p>
        </w:tc>
      </w:tr>
      <w:tr>
        <w:trPr>
          <w:trHeight w:val="203"/>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2"/>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1,672,995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1,682,961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114,671</w:t>
            </w:r>
          </w:p>
        </w:tc>
      </w:tr>
      <w:tr>
        <w:trPr>
          <w:trHeight w:val="42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24"/>
                <w:szCs w:val="24"/>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r>
      <w:tr>
        <w:trPr>
          <w:trHeight w:val="203"/>
        </w:trPr>
        <w:tc>
          <w:tcPr>
            <w:tcW w:w="4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1,672,995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97,575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1,682,961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114,671</w:t>
            </w: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Fair Value and Cash Flow Hedge Accounting on the Consolidated Statements of Operations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nine months ended September 30, 2024 and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9"/>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Borders>
              <w:bottom w:val="single" w:sz="8" w:color="auto"/>
            </w:tcBorders>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(4,717)</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9"/>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5"/>
                <w:szCs w:val="15"/>
                <w:color w:val="auto"/>
              </w:rPr>
            </w:pPr>
          </w:p>
        </w:tc>
      </w:tr>
      <w:tr>
        <w:trPr>
          <w:trHeight w:val="186"/>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(934)</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0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Company posted $5.6 million and $6.5 million, respectively, to the Chicago Mercantile Exchange ("CME") clearing house related to the fair value derivatives settled daily to market. The Company pays an average fixed rate of 4.82% and receives a floating rate based on the US federal funds effective rate for the life of the agreement without an exchange of the underlying notional amount. For derivatives that are designated as fair value hedges, the gain or loss on the derivatives as well as the loss or gain on the hedged item attributable to the hedged risk are recognized in earnings.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September 30, 2024 totaled $700.5 million. The amount identified as the last-of-layer in the open hedge relationship was $500.0 million, which is the amount of loans in the closed portfolio anticipated to be outstanding for the designated hedge period. The basis adjustment associated with the hedge was a $5.7 million asset as of September 30, 2024,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2023 totaled $729.5 million. The amount identified as the last-of-layer in the open hedge relationship was $500.0 million, which is the amount of loans in the closed portfolio anticipated to be outstanding for the designated hedge period. The basis adjustment associated with the hedge was a $6.6 million asset as of December 31, 2023,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a $600 thousand and $1.9 million credit from the swap transaction as a component of interest income in the consolidated statements of operations. During the nine months ended September 30, 2023, the Company did not have any fair value hedge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following amounts were recorded on the consolidated statements of financial condition related to cumulative basis adjustment for fair value hedges: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5"/>
                <w:szCs w:val="15"/>
                <w:color w:val="auto"/>
              </w:rPr>
            </w:pPr>
          </w:p>
        </w:tc>
        <w:tc>
          <w:tcPr>
            <w:tcW w:w="26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8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gridSpan w:val="2"/>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0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8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Rate Loans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706,180</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5,657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736,098</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6,591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$4.4 million will be reclassified as a decrease to interest expense.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nine months ended September 30, 2024 and September 30, 2023,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7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recognized in other comprehensive income (loss)</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(14,500)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(15,483)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2"/>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reclassified from other comprehensive income into interest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(2,752)</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(7,707)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bl>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 of Financial Condition.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September 30, 2024 and December 31, 2023, the Company did not post collateral to the third-party counterparties. As of September 30, 2024, the Company received $8.9 million in collateral from its third-party counterparties under the agreements in a net asset position. As of September 30, 2024, the Company posted $8.0 million to the CME clearing house that are accounted for as settlements of the derivative liabilities. As of December 31, 2023, the Company received $13.5 million in collateral from its third-party counterparties. As of December 31, 2023, the Company posted $4.9 million to the CME clearing house that are accounted for as settlements of the derivative liabilities.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227"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interest rate swap exposure by entering into an offsetting interest rate swap or interest rate floor with an unaffiliated and</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reputable bank counterparty. These interest rate derivatives do not qualify as designated hedges, under ASU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8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622,834</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21,325</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1,050,161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76,250</w:t>
            </w: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622,834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21,325</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1,050,161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9"/>
        </w:trPr>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8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491,394</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10,985</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1,121,085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103,570</w:t>
            </w: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floors with borrower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floors with borrower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10,985</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1,121,085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floors with third-party counterparties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floors with third-party counterparties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1,623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September 30, 2024, the Company posted $3.5 million in collateral to its third-party counterparties. As of December 31, 2023, the Company did not post collateral to its third-party counterparties. As of September 30, 2024, the Company received $60.0 million in collateral from its third-party counterparties under the agreements in a net asset position. As of December 31, 2023, the Company received $94.7 million in collateral from its third-party counterparties under the agreements in a net asset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Risk Participation Agreements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enters into risk participation agreements to manage economic risks but does not designate the instruments in hedge relationships. As of September 30, 2024 and December 31, 2023, the notional amounts of risk participation agreements for derivative liabilities were $93.3 million and $93.9 million, respectively. The related fair values of the Company’s risk participation agreements were immaterial as of September 30, 2024 and December 31,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 Related Contingent Features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September 30, 2024, there were no derivatives in a net liability position, and therefore the termination value was zero. There were no provisions breached for the three and nine months ended September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jc w:val="both"/>
        <w:ind w:left="60" w:right="79"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Quoted prices (unadjusted) for identical assets or liabilities in active markets that the reporting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access at the measurement date.</w:t>
      </w:r>
    </w:p>
    <w:p>
      <w:pPr>
        <w:spacing w:after="0" w:line="158" w:lineRule="exact"/>
        <w:rPr>
          <w:sz w:val="20"/>
          <w:szCs w:val="20"/>
          <w:color w:val="auto"/>
        </w:rPr>
      </w:pPr>
    </w:p>
    <w:p>
      <w:pPr>
        <w:jc w:val="both"/>
        <w:ind w:left="60" w:right="59" w:firstLine="38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Significant other observable inputs such as any of the following: (1) quoted prices for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active markets, (2) quoted prices for identical or similar assets or liabilities in markets that are not active,</w:t>
      </w:r>
    </w:p>
    <w:p>
      <w:pPr>
        <w:jc w:val="both"/>
        <w:ind w:left="60" w:right="59" w:hanging="10"/>
        <w:spacing w:after="0" w:line="250" w:lineRule="auto"/>
        <w:tabs>
          <w:tab w:leader="none" w:pos="3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yield curves observable at commonly quoted intervals, volatilities, prepayment speeds, loss severities, credit risks, and default rates), or</w:t>
      </w:r>
    </w:p>
    <w:p>
      <w:pPr>
        <w:ind w:left="60" w:right="59" w:hanging="10"/>
        <w:spacing w:after="0" w:line="260" w:lineRule="auto"/>
        <w:tabs>
          <w:tab w:leader="none" w:pos="3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 (market-corroborated inputs).</w:t>
      </w:r>
    </w:p>
    <w:p>
      <w:pPr>
        <w:spacing w:after="0" w:line="17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Significant unobservable inputs for the asset or liability. Significant unobservable inputs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benchmark securities, bids, offers and reference data. For certain securities, additional inputs may be used or some market inputs may not be applicable. Prioritization of inputs may vary on any given day based on market conditions.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MBS, CMOs, treasury securities, and agency notes are guaranteed either implicitly or explicitly by GSEs as of September 30, 2024 and December 31, 2023. In accordance with the Company’s investment policy, corporate securities are rated "investment grade" at the time of purchase and the financials of the issuers are reviewed quarterly. Obtaining market values as of September 30, 2024 and December 31, 2023 for these securities utilizing significant observable inputs was not difficult due to their liquid nature.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swaps and estimated fair values are based on valuation models using observable market data as of the measurement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11"/>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 September 30, 2024 Using</w:t>
            </w:r>
          </w:p>
        </w:tc>
      </w:tr>
      <w:tr>
        <w:trPr>
          <w:trHeight w:val="18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20" w:type="dxa"/>
            <w:vAlign w:val="bottom"/>
          </w:tcPr>
          <w:p>
            <w:pPr>
              <w:spacing w:after="0"/>
              <w:rPr>
                <w:sz w:val="17"/>
                <w:szCs w:val="17"/>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Treasury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161,371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161,371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4"/>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160,629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179,336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179,336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237,773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237,773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97,575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97,575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fair value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97,575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97,575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0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11"/>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 December 31, 2023 Using</w:t>
            </w:r>
          </w:p>
        </w:tc>
      </w:tr>
      <w:tr>
        <w:trPr>
          <w:trHeight w:val="186"/>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6"/>
                <w:szCs w:val="16"/>
                <w:color w:val="auto"/>
              </w:rPr>
            </w:pPr>
          </w:p>
        </w:tc>
      </w:tr>
      <w:tr>
        <w:trPr>
          <w:trHeight w:val="215"/>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99"/>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Treasury securities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234,190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234,190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151,170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205,285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259,415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114,671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fair value hedge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10"/>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114,671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Non-recurring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854</w:t>
            </w: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6,336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Collateral dependent individually evaluated loans with an allowance for credit losses at September 30, 2024 had a carrying amount of $854 thousand, which is made up of the outstanding balance of $2.2 million, net of a valuation allowance of $1.4 million. There was a credit loss recovery of $910 thousand on collateral dependent individually evaluated loans during the nine months ended September 30, 2024, which is included in the amounts reported in the Consolidated Statements of Operations.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2023 had a carrying amount of $6.3 million, which is made up of the outstanding balance of $7.3 million, net of a valuation allowance of $1.0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Financial Instruments Not Measured at Fair Value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at September 30, 2024 Using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626,056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626,056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626,056</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592,414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528,530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528,530</w:t>
            </w: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10,805,969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10,435,847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10,435,847</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54,578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48,765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54,578</w:t>
            </w:r>
          </w:p>
        </w:tc>
      </w:tr>
      <w:tr>
        <w:trPr>
          <w:trHeight w:val="203"/>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720" w:type="dxa"/>
            <w:vAlign w:val="bottom"/>
            <w:gridSpan w:val="4"/>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10,000,851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10,000,851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10,000,851</w:t>
            </w: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Certificates of Deposits ("CDs")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1,416,467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1,414,003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1,414,003</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508,764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508,764</w:t>
            </w: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272,300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257,278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257,278</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14,845</w:t>
            </w:r>
          </w:p>
        </w:tc>
      </w:tr>
      <w:tr>
        <w:trPr>
          <w:trHeight w:val="108"/>
        </w:trPr>
        <w:tc>
          <w:tcPr>
            <w:tcW w:w="2240" w:type="dxa"/>
            <w:vAlign w:val="bottom"/>
            <w:tcBorders>
              <w:bottom w:val="single" w:sz="8" w:color="auto"/>
            </w:tcBorders>
          </w:tcPr>
          <w:p>
            <w:pPr>
              <w:spacing w:after="0"/>
              <w:rPr>
                <w:sz w:val="9"/>
                <w:szCs w:val="9"/>
                <w:color w:val="auto"/>
              </w:rPr>
            </w:pPr>
          </w:p>
        </w:tc>
        <w:tc>
          <w:tcPr>
            <w:tcW w:w="148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381"/>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Fair Value Measurements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at December 31, 2023 Using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6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457,547</w:t>
            </w:r>
          </w:p>
        </w:tc>
        <w:tc>
          <w:tcPr>
            <w:tcW w:w="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457,547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457,547</w:t>
            </w:r>
          </w:p>
        </w:tc>
      </w:tr>
      <w:tr>
        <w:trPr>
          <w:trHeight w:val="202"/>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594,639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516,930</w:t>
            </w: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10,695,349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10,305,026</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55,666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55,666</w:t>
            </w:r>
          </w:p>
        </w:tc>
      </w:tr>
      <w:tr>
        <w:trPr>
          <w:trHeight w:val="203"/>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720" w:type="dxa"/>
            <w:vAlign w:val="bottom"/>
            <w:gridSpan w:val="4"/>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8,922,972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8,922,972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8,922,972</w:t>
            </w: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1,607,683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1,602,087</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1,313,000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1,312,940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1,312,940</w:t>
            </w:r>
          </w:p>
        </w:tc>
      </w:tr>
      <w:tr>
        <w:trPr>
          <w:trHeight w:val="203"/>
        </w:trPr>
        <w:tc>
          <w:tcPr>
            <w:tcW w:w="372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200,196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160,696</w:t>
            </w:r>
          </w:p>
        </w:tc>
      </w:tr>
      <w:tr>
        <w:trPr>
          <w:trHeight w:val="203"/>
        </w:trPr>
        <w:tc>
          <w:tcPr>
            <w:tcW w:w="37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w:t>
            </w:r>
          </w:p>
        </w:tc>
      </w:tr>
      <w:tr>
        <w:trPr>
          <w:trHeight w:val="108"/>
        </w:trPr>
        <w:tc>
          <w:tcPr>
            <w:tcW w:w="22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carrying amount and accumulated amortization of intangible assets that are amortizable.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value</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r>
      <w:tr>
        <w:trPr>
          <w:trHeight w:val="20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5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(6,023)</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w:t>
            </w:r>
          </w:p>
        </w:tc>
      </w:tr>
      <w:tr>
        <w:trPr>
          <w:trHeight w:val="196"/>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recognized on intangible assets was $286 thousand and $878 thousand for the three and nine months ended September 30, 2024, respectively. Amortization expense recognized on intangible assets was $349 thousand and $1.1 million for the three and nine months ended September 30,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the remainder of 2024 through 2028 and thereafter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196"/>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FHLBNY ADVANCES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had borrowings from the FHLBNY totaling $508.0 million and $1.31 billion at September 30, 2024 and December 31, 2023, respectively, all of which were fixed rate. In accordance with its Advances, Collateral Pledge and Security Agreement with the FHLBNY, the Bank had remaining FHLBNY borrowing capacity of $1.98 billion as of September 30, 2024 and $1.19 billion as of December 31, 2023, and maintained sufficient qualifying collateral, as defined by the FHLBNY.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summary of FHLBNY extinguishments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r>
      <w:tr>
        <w:trPr>
          <w:trHeight w:val="196"/>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advances extinguished</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1,805,000</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rate</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5.25 %</w:t>
            </w:r>
          </w:p>
        </w:tc>
        <w:tc>
          <w:tcPr>
            <w:tcW w:w="30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5.28 %</w:t>
            </w:r>
          </w:p>
        </w:tc>
        <w:tc>
          <w:tcPr>
            <w:tcW w:w="30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r>
      <w:tr>
        <w:trPr>
          <w:trHeight w:val="20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FHLBNY advances for each of the next five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fixed rate at rates from 5.25% to 5.55%</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 fixed rate at 4.25%</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36,000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fixed rate at 4.04%</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12,000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2029, fixed rate at rates from 3.98% to 4.03%</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60,000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FHLBNY advances</w:t>
            </w: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1,313,000</w:t>
            </w:r>
          </w:p>
        </w:tc>
      </w:tr>
      <w:tr>
        <w:trPr>
          <w:trHeight w:val="20"/>
        </w:trPr>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FHLBNY advances had a weighted average interest rate of 5.10% and 5.23% at September 30, 2024 and December 31,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SUBORDINATED DEBENTURES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SOFR) plus 495.1 basis points, payable quarterly in arrears on January 15, April 15, July 15, and October 15 of each year, commencing on October 15, 2029.</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on July 9, 2024, the Company issued and sold an additional $9.8 million of Notes, pursuant to an overallotment option granted to the underwriters of the offering. Including the overallotment option, the total gross proceeds from the offering were $74.8 million, before discounts and offering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6, 2022, the Company issued $160.0 million aggregate principal amount of fixed-to-floating rate subordinated notes due 2032 (“the 2022 Notes”). The 2022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ten years. From and including September 30, 2025 to the maturity date or early redemption date, the interest rate will reset quarterly to an annual interest rate equal to the then-current three-month CME Term SOFR plus 372 basis points.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subordinated debentures totaled $272.3 million at September 30, 2024 and $200.2 million at December 31, 2023. Interest expense related to the subordinated debentures was $4.3 million and $2.6 million during the three months ended September 30, 2024 and 2023, respectively. Interest expense related to the subordinated debentures was $9.5 million and $7.7 million during the nine months ended September 30, 2024 and 2023, respectively. The subordinated debentures are included in tier 2 capital (with certain limitations applicable) under current regulatory guidelines and interpretations.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RETIREMENT AND POSTRETIREMENT PLANS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Bank maintains two noncontributory pension plans that existed before the Merger: (i) the Retirement Plan of Dime Community Bank (“Employee Retirement Plan”) and (ii) the BNB Bank Pension Plan, covering all eligible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121"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On December 21, 2023, the Company’s Board of Directors adopted a resolution to terminate the Employee Retirement Plan effective December 31, 2023. Retirement benefits of the plan were vested as they were earned. For the year ended December 31, 2023,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Employee Retirement Plan.</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BNB Bank Pension Plan</w:t>
      </w:r>
    </w:p>
    <w:p>
      <w:pPr>
        <w:spacing w:after="0" w:line="229"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Retirement benefits of the plan were vested as they were earned. For the year ended December 31, 2023,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BNB Bank Pension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represent the components of net periodic (credit) benefit cost included in other non-interest expense, except for service cost, which is reported in salaries and employee benefits expense, in the Consolidated Statements of Operations. Net expenses associated with these plans were comprised of the following components: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 thousands)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Service cost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Interest cost</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Expected return on assets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Amortization of unrealized loss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Net periodic (credit) benefit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83"/>
        </w:trPr>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2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20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Retirement Plan</w:t>
            </w:r>
          </w:p>
        </w:tc>
      </w:tr>
      <w:tr>
        <w:trPr>
          <w:trHeight w:val="200"/>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12"/>
        </w:trPr>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(360)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(687)</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(382)</w:t>
            </w:r>
          </w:p>
        </w:tc>
      </w:tr>
      <w:tr>
        <w:trPr>
          <w:trHeight w:val="216"/>
        </w:trPr>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tcPr>
          <w:p>
            <w:pPr>
              <w:spacing w:after="0"/>
              <w:rPr>
                <w:sz w:val="18"/>
                <w:szCs w:val="18"/>
                <w:color w:val="auto"/>
              </w:rPr>
            </w:pPr>
          </w:p>
        </w:tc>
      </w:tr>
      <w:tr>
        <w:trPr>
          <w:trHeight w:val="20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auto"/>
            </w:tcBorders>
          </w:tcPr>
          <w:p>
            <w:pPr>
              <w:spacing w:after="0"/>
              <w:rPr>
                <w:sz w:val="17"/>
                <w:szCs w:val="17"/>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-436245</wp:posOffset>
            </wp:positionV>
            <wp:extent cx="56489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-162560</wp:posOffset>
            </wp:positionV>
            <wp:extent cx="564896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-710565</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4819"/>
          </w:cols>
          <w:pgMar w:left="1440" w:top="513" w:right="1440" w:bottom="1440" w:gutter="0" w:footer="0" w:header="0"/>
          <w:type w:val="continuous"/>
        </w:sect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17"/>
                <w:szCs w:val="17"/>
                <w:color w:val="auto"/>
              </w:rPr>
            </w:pPr>
          </w:p>
        </w:tc>
      </w:tr>
      <w:tr>
        <w:trPr>
          <w:trHeight w:val="383"/>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2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r>
      <w:tr>
        <w:trPr>
          <w:trHeight w:val="20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0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(2,040)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(1,080)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(2,062)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0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196"/>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(credit) benefit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contributions to the BNB Bank Pension Plan or the Employee Retirement Plan for the three or nine months ended September 30,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The Company maintains a 401(k) Plan (the “401(k) Plan”) that existed before the Merger. The 401(k) Plan covers substantially all current employees. Newly hired employees are automatically enrolled in the plan on the first day of the month following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 Participants may contribute a portion of their pre-tax base salary, generally not to exceed $23,000 for the calendar year ended December 31, 2024. Under the provisions of the 401(k) Plan, employee contributions are partially matched by the Bank as follows: 100% of each employee’s contributions up to 1% of each employee’s compensation plus 50% of each employee’s contributions over 1% but not in excess of 6% of each employee’s compensation for a maximum contribution of 3.5% of a participating employee’s compensation. Participants can invest their account balances into several investment alternatives. The 401(k) Plan does not allow for investment in the Company’s common stock. The 401(k) Plan held Company common stock within the accounts of participants totaling $6.3 million at September 30, 2024. During the three and nine months ended September 30, 2024, total expense recognized as a component of salaries and employee benefits expense for the 401(k) Plan was $566 thousand and $2.2 million, respectively. During the three and nine months ended September 30, 2023, total expense recognized as a component of salaries and employee benefits expense for the 401(k) Plan was $513 thousand and $2.0 million, respectively.</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Before the Merger, Bridge and Legacy Dime granted share-based awards under their respective stock-based compensation plans, (collectively, the “Legacy Stock Plans”), which are both subject to the accounting requirements of ASC 718. The Company no longer makes grants under the Legacy Stock Plans. Awards outstanding under the Legacy Stock Plans will continue to remain outstanding and subject to the terms and conditions of the Legacy Stock Plans.</w:t>
      </w:r>
    </w:p>
    <w:p>
      <w:pPr>
        <w:sectPr>
          <w:pgSz w:w="11900" w:h="16838" w:orient="portrait"/>
          <w:cols w:equalWidth="0" w:num="1">
            <w:col w:w="9019"/>
          </w:cols>
          <w:pgMar w:left="1440" w:top="513"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May 2021, the Company’s shareholders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An additional 1,185,000 shares of common stock were reserved to be issued under the 2021 Equity Incentive Plan following shareholder approval at the Annual Meeting of Shareholders on May 23, 2024. At September 30, 2024, there were 1,462,229 shares reserved for issuance under the 2021 Equity Incentive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activity related to stock options granted under the Legacy Stock Plans, and changes during the period then ended: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 except share and per share amounts)</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January 1, 2024</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September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and exercisable at September 30,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stock options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7"/>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6"/>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option exercise cost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recognized on stock option exercises</w:t>
            </w:r>
          </w:p>
        </w:tc>
        <w:tc>
          <w:tcPr>
            <w:tcW w:w="140" w:type="dxa"/>
            <w:vAlign w:val="bottom"/>
          </w:tcPr>
          <w:p>
            <w:pPr>
              <w:spacing w:after="0"/>
              <w:rPr>
                <w:sz w:val="17"/>
                <w:szCs w:val="17"/>
                <w:color w:val="auto"/>
              </w:rPr>
            </w:pPr>
          </w:p>
        </w:tc>
        <w:tc>
          <w:tcPr>
            <w:tcW w:w="8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range of exercise prices and weighted-average remaining contractual lives of both outstanding and vested options (by option exercise cost) as of September 30, 2024 were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7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Vested Options</w:t>
            </w:r>
          </w:p>
        </w:tc>
      </w:tr>
      <w:tr>
        <w:trPr>
          <w:trHeight w:val="183"/>
        </w:trPr>
        <w:tc>
          <w:tcPr>
            <w:tcW w:w="5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15"/>
        </w:trPr>
        <w:tc>
          <w:tcPr>
            <w:tcW w:w="52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99"/>
        </w:trPr>
        <w:tc>
          <w:tcPr>
            <w:tcW w:w="5280" w:type="dxa"/>
            <w:vAlign w:val="bottom"/>
            <w:tcBorders>
              <w:top w:val="single" w:sz="8" w:color="CCEEFF"/>
            </w:tcBorders>
            <w:shd w:val="clear" w:color="auto" w:fill="CCEEFF"/>
          </w:tcPr>
          <w:p>
            <w:pPr>
              <w:jc w:val="right"/>
              <w:ind w:right="4099"/>
              <w:spacing w:after="0"/>
              <w:rPr>
                <w:sz w:val="20"/>
                <w:szCs w:val="20"/>
                <w:color w:val="auto"/>
              </w:rPr>
            </w:pPr>
            <w:r>
              <w:rPr>
                <w:rFonts w:ascii="Times New Roman" w:cs="Times New Roman" w:eastAsia="Times New Roman" w:hAnsi="Times New Roman"/>
                <w:sz w:val="16"/>
                <w:szCs w:val="16"/>
                <w:b w:val="1"/>
                <w:bCs w:val="1"/>
                <w:color w:val="auto"/>
                <w:w w:val="99"/>
              </w:rPr>
              <w:t>Exercise Prices: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5280" w:type="dxa"/>
            <w:vAlign w:val="bottom"/>
          </w:tcPr>
          <w:p>
            <w:pPr>
              <w:jc w:val="right"/>
              <w:ind w:right="4739"/>
              <w:spacing w:after="0"/>
              <w:rPr>
                <w:sz w:val="20"/>
                <w:szCs w:val="20"/>
                <w:color w:val="auto"/>
              </w:rPr>
            </w:pPr>
            <w:r>
              <w:rPr>
                <w:rFonts w:ascii="Times New Roman" w:cs="Times New Roman" w:eastAsia="Times New Roman" w:hAnsi="Times New Roman"/>
                <w:sz w:val="16"/>
                <w:szCs w:val="16"/>
                <w:color w:val="auto"/>
                <w:w w:val="99"/>
              </w:rPr>
              <w:t>$34.87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5280" w:type="dxa"/>
            <w:vAlign w:val="bottom"/>
            <w:shd w:val="clear" w:color="auto" w:fill="CCEEFF"/>
          </w:tcPr>
          <w:p>
            <w:pPr>
              <w:jc w:val="right"/>
              <w:ind w:right="4739"/>
              <w:spacing w:after="0"/>
              <w:rPr>
                <w:sz w:val="20"/>
                <w:szCs w:val="20"/>
                <w:color w:val="auto"/>
              </w:rPr>
            </w:pPr>
            <w:r>
              <w:rPr>
                <w:rFonts w:ascii="Times New Roman" w:cs="Times New Roman" w:eastAsia="Times New Roman" w:hAnsi="Times New Roman"/>
                <w:sz w:val="16"/>
                <w:szCs w:val="16"/>
                <w:color w:val="auto"/>
                <w:w w:val="99"/>
              </w:rPr>
              <w:t>$35.35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5280" w:type="dxa"/>
            <w:vAlign w:val="bottom"/>
            <w:tcBorders>
              <w:bottom w:val="single" w:sz="8" w:color="CCEEFF"/>
            </w:tcBorders>
          </w:tcPr>
          <w:p>
            <w:pPr>
              <w:jc w:val="right"/>
              <w:ind w:right="4739"/>
              <w:spacing w:after="0"/>
              <w:rPr>
                <w:sz w:val="20"/>
                <w:szCs w:val="20"/>
                <w:color w:val="auto"/>
              </w:rPr>
            </w:pPr>
            <w:r>
              <w:rPr>
                <w:rFonts w:ascii="Times New Roman" w:cs="Times New Roman" w:eastAsia="Times New Roman" w:hAnsi="Times New Roman"/>
                <w:sz w:val="16"/>
                <w:szCs w:val="16"/>
                <w:color w:val="auto"/>
                <w:w w:val="99"/>
              </w:rPr>
              <w:t>$36.19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6"/>
        </w:trPr>
        <w:tc>
          <w:tcPr>
            <w:tcW w:w="5280" w:type="dxa"/>
            <w:vAlign w:val="bottom"/>
            <w:tcBorders>
              <w:bottom w:val="single" w:sz="8" w:color="CCEEFF"/>
            </w:tcBorders>
            <w:shd w:val="clear" w:color="auto" w:fill="CCEEFF"/>
          </w:tcPr>
          <w:p>
            <w:pPr>
              <w:jc w:val="right"/>
              <w:ind w:right="4759"/>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5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RSAs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356,795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(169,290)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(13,648)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494,587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RSAs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7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76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60" w:type="dxa"/>
            <w:vAlign w:val="bottom"/>
            <w:tcBorders>
              <w:top w:val="single" w:sz="8" w:color="CCEEFF"/>
            </w:tcBorders>
            <w:shd w:val="clear" w:color="auto" w:fill="CCEEFF"/>
          </w:tcPr>
          <w:p>
            <w:pPr>
              <w:spacing w:after="0"/>
              <w:rPr>
                <w:sz w:val="17"/>
                <w:szCs w:val="17"/>
                <w:color w:val="auto"/>
              </w:rPr>
            </w:pPr>
          </w:p>
        </w:tc>
      </w:tr>
      <w:tr>
        <w:trPr>
          <w:trHeight w:val="212"/>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vesting of RSAs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w:t>
            </w:r>
          </w:p>
        </w:tc>
      </w:tr>
    </w:tbl>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$7.5 million of total unrecognized compensation cost related to unvested RSAs to be recognized over a weighted-average period of 1.8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Share Awards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maintains a long-term incentive award program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PSAs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9"/>
        </w:trPr>
        <w:tc>
          <w:tcPr>
            <w:tcW w:w="67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(37,335)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(12,371)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Minimum aggregate share payout</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aggregate share payout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PSAs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6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64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(benefit) recognized</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vesting of PSAs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$3.1 million of total unrecognized compensation cost related to unvested PSAs based on the expected aggregate share payout to be recognized over a weighted-average period of 2.0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Company’s consolidated effective tax rates were 26.9% and 35.1%, respectively. During the nine months ended September 30, 2024 and 2023, the Company’s consolidated effective tax rates were 27.8% and 28.5%, respectively. There was no significant unusual income tax items during the three or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Dime Community Bancshares, Inc., a New York corporation, is a bank holding company formed in 1988. On a parent-only basis, the Holding Company has minimal operations, other than as owner of Dime Community Bank. The Holding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Highlights and Other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At or For the</w:t>
            </w:r>
          </w:p>
        </w:tc>
        <w:tc>
          <w:tcPr>
            <w:tcW w:w="140" w:type="dxa"/>
            <w:vAlign w:val="bottom"/>
          </w:tcPr>
          <w:p>
            <w:pPr>
              <w:spacing w:after="0"/>
              <w:rPr>
                <w:sz w:val="17"/>
                <w:szCs w:val="17"/>
                <w:color w:val="auto"/>
              </w:rPr>
            </w:pPr>
          </w:p>
        </w:tc>
        <w:tc>
          <w:tcPr>
            <w:tcW w:w="18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At or For the</w:t>
            </w:r>
          </w:p>
        </w:tc>
      </w:tr>
      <w:tr>
        <w:trPr>
          <w:trHeight w:val="203"/>
        </w:trPr>
        <w:tc>
          <w:tcPr>
            <w:tcW w:w="2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8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2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86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99"/>
        </w:trPr>
        <w:tc>
          <w:tcPr>
            <w:tcW w:w="2240" w:type="dxa"/>
            <w:vAlign w:val="bottom"/>
            <w:tcBorders>
              <w:bottom w:val="single" w:sz="8" w:color="CCEEFF"/>
            </w:tcBorders>
          </w:tcPr>
          <w:p>
            <w:pPr>
              <w:spacing w:after="0"/>
              <w:rPr>
                <w:sz w:val="17"/>
                <w:szCs w:val="17"/>
                <w:color w:val="auto"/>
              </w:rPr>
            </w:pPr>
          </w:p>
        </w:tc>
        <w:tc>
          <w:tcPr>
            <w:tcW w:w="27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r>
      <w:tr>
        <w:trPr>
          <w:trHeight w:val="19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Reported EPS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Book value per common share</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86.21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73.53 %</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66.37 %</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38.54 %</w:t>
            </w:r>
          </w:p>
        </w:tc>
      </w:tr>
      <w:tr>
        <w:trPr>
          <w:trHeight w:val="20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and Other Selected Ratios: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0.39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0.44 %</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0.49 %</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0.78 %</w:t>
            </w:r>
          </w:p>
        </w:tc>
      </w:tr>
      <w:tr>
        <w:trPr>
          <w:trHeight w:val="202"/>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interest-earning assets to average interest-bearing liabilities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144.77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141.80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Loan-to-deposit ratio at end of period</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Summary: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Non-performing loans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49,463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49,463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23,320</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49,463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23,320</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charge-offs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8,578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assets/Total assets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0.17 %</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0.36</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0.17 %</w:t>
            </w: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Non-performing loans/Total loans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shd w:val="clear" w:color="auto" w:fill="CCEEFF"/>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Allowance for credit losses/Total loans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20" w:type="dxa"/>
            <w:vAlign w:val="bottom"/>
          </w:tcPr>
          <w:p>
            <w:pPr>
              <w:spacing w:after="0"/>
              <w:rPr>
                <w:sz w:val="17"/>
                <w:szCs w:val="17"/>
                <w:color w:val="auto"/>
              </w:rPr>
            </w:pPr>
          </w:p>
        </w:tc>
      </w:tr>
      <w:tr>
        <w:trPr>
          <w:trHeight w:val="20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Allowance for credit losses/Non-performing loans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172.29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172.29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220" w:type="dxa"/>
            <w:vAlign w:val="bottom"/>
            <w:shd w:val="clear" w:color="auto" w:fill="CCEEFF"/>
          </w:tcPr>
          <w:p>
            <w:pPr>
              <w:spacing w:after="0"/>
              <w:rPr>
                <w:sz w:val="17"/>
                <w:szCs w:val="17"/>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9" w:lineRule="exact"/>
        <w:rPr>
          <w:sz w:val="20"/>
          <w:szCs w:val="20"/>
          <w:color w:val="auto"/>
        </w:rPr>
      </w:pPr>
    </w:p>
    <w:p>
      <w:pPr>
        <w:ind w:left="240" w:hanging="190"/>
        <w:spacing w:after="0"/>
        <w:tabs>
          <w:tab w:leader="none" w:pos="2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Non-performing loans are defined as all loans on non-accrual status.</w:t>
      </w:r>
    </w:p>
    <w:p>
      <w:pPr>
        <w:spacing w:after="0" w:line="200" w:lineRule="exact"/>
        <w:rPr>
          <w:rFonts w:ascii="Times New Roman" w:cs="Times New Roman" w:eastAsia="Times New Roman" w:hAnsi="Times New Roman"/>
          <w:sz w:val="24"/>
          <w:szCs w:val="24"/>
          <w:color w:val="auto"/>
          <w:vertAlign w:val="superscript"/>
        </w:rPr>
      </w:pPr>
    </w:p>
    <w:p>
      <w:pPr>
        <w:spacing w:after="0" w:line="219" w:lineRule="exact"/>
        <w:rPr>
          <w:rFonts w:ascii="Times New Roman" w:cs="Times New Roman" w:eastAsia="Times New Roman" w:hAnsi="Times New Roman"/>
          <w:sz w:val="24"/>
          <w:szCs w:val="24"/>
          <w:color w:val="auto"/>
          <w:vertAlign w:val="superscript"/>
        </w:rPr>
      </w:pPr>
    </w:p>
    <w:p>
      <w:pPr>
        <w:ind w:left="44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Note 1. Summary of Significant Accounting Policies, to the Company’s Audited Consolidated Financial Statements in its Annual Report on Form 10-K for the year ended December 31, 2023 contains a summary of significant accounting policies. These accounting policies may require various levels of subjectivity, estimates or judgment by management. Policies with respect to the methodologies it uses to determine the allowance for credit losses on loans held for investment and fair value of loans acquired in a business combination are critical accounting policies because they are important to the presentation of the Company’s consolidated financial condition and results of operations. These critical accounting estimates involve a significant degree of complexity and require management to make difficult and subjective judgments which often necessitate assumptions or estimates about highly uncertain matters. The use of different judgments, assumptions or estimates could result in material variations in the Company’s consolidated results of operations or financial condition.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has reviewed the following critical accounting estimates and related disclosures with its Audit Committee.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on Loans Held for Investment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 Management assesses the sensitivity of key assumptions at least annually by stressing the assumptions to understand the impact on the model.</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These factors include: (1) 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evaluates loans that do not share risk characteristics on an individual basis based on various factors. Factors that may be considered are borrower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5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is also monitoring the level of uninsured deposits on a daily basis.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FNMA and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Bank is a member of American Financial Exchange (“AFX”), through which it may either borrow or lend funds on an overnight or short-term basis with other member institutions. The availability of funds changes daily.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Total deposits (including escrow) increased $886.7 million during the nine months ended September 30, 2024, compared to an increase of $382.1 million during the nine months ended September 30, 2023. Within deposits, core deposits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non-CDs) increased $1.08 billion during the nine months ended September 30, 2024 compared to an increase of $55.2 million during the nine months ended September 30, 2023. The increase in core deposits was primarily due to growth in business deposits. 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September 30, 2024, the Bank had remaining borrowing capacity of $1.98 billion through the FHLBNY, subject to customary minimum FHLBNY common stock ownership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4.5% of the Bank’s outstanding FHLBNY borrowings).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reduced its outstanding FHLBNY advances by $805.0 million during the nine months ended September 30, 2024, compared to a $8.0 million decrease during the nine months ended September 30, 2023. See Note 12. “FHLBNY Advances” for further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Subordinated debentures totaled $272.3 million at September 31, 2024 compared to $200.2 million at December 31, 2023.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was due to the Company’s issuance of subordinated notes that are described in more detail in Note 13.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“Subordinated Debentures” to our Consolidated Financial Statements for further information.</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business loan originations totaled $236.1 million and $209.7 million, respectively. During the nine months ended September 30, 2024, and 2023, real estate loan originations (excluding owner-occupied commercial real estate) totaled $147.2 million and $604.7 million, respectively.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minimum regulatory capital requirements imposed by their primary federal regulators. As a general matter, these capital requirements are based on the amount and composition of an institution’s assets. At September 30, 2024, both the Company and the Bank were in compliance with all applicable regulatory capital requirements and the Bank was considered "well capitalized" for all regulatory purposes.</w:t>
      </w:r>
    </w:p>
    <w:p>
      <w:pPr>
        <w:spacing w:after="0" w:line="180" w:lineRule="exact"/>
        <w:rPr>
          <w:sz w:val="20"/>
          <w:szCs w:val="20"/>
          <w:color w:val="auto"/>
        </w:rPr>
      </w:pPr>
    </w:p>
    <w:p>
      <w:pPr>
        <w:jc w:val="both"/>
        <w:ind w:left="60" w:right="59"/>
        <w:spacing w:after="0" w:line="275" w:lineRule="auto"/>
        <w:rPr>
          <w:sz w:val="20"/>
          <w:szCs w:val="20"/>
          <w:color w:val="auto"/>
        </w:rPr>
      </w:pPr>
      <w:r>
        <w:rPr>
          <w:rFonts w:ascii="Times New Roman" w:cs="Times New Roman" w:eastAsia="Times New Roman" w:hAnsi="Times New Roman"/>
          <w:sz w:val="18"/>
          <w:szCs w:val="18"/>
          <w:color w:val="auto"/>
        </w:rPr>
        <w:t>The following table summarizes Company and Bank capital ratios calculated under the Basel III Capital Rules framework as of the period indicated: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7"/>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Actual Ratios at September 30, 2024</w:t>
            </w:r>
          </w:p>
        </w:tc>
      </w:tr>
      <w:tr>
        <w:trPr>
          <w:trHeight w:val="183"/>
        </w:trPr>
        <w:tc>
          <w:tcPr>
            <w:tcW w:w="4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4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0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 Be Categorized as</w:t>
            </w:r>
          </w:p>
        </w:tc>
      </w:tr>
      <w:tr>
        <w:trPr>
          <w:trHeight w:val="232"/>
        </w:trPr>
        <w:tc>
          <w:tcPr>
            <w:tcW w:w="4200" w:type="dxa"/>
            <w:vAlign w:val="bottom"/>
          </w:tcPr>
          <w:p>
            <w:pPr>
              <w:spacing w:after="0"/>
              <w:rPr>
                <w:sz w:val="20"/>
                <w:szCs w:val="20"/>
                <w:color w:val="auto"/>
              </w:rPr>
            </w:pPr>
          </w:p>
        </w:tc>
        <w:tc>
          <w:tcPr>
            <w:tcW w:w="8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10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166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“Well Capitalized” </w:t>
            </w:r>
            <w:r>
              <w:rPr>
                <w:rFonts w:ascii="Times New Roman" w:cs="Times New Roman" w:eastAsia="Times New Roman" w:hAnsi="Times New Roman"/>
                <w:sz w:val="24"/>
                <w:szCs w:val="24"/>
                <w:b w:val="1"/>
                <w:bCs w:val="1"/>
                <w:color w:val="auto"/>
                <w:vertAlign w:val="superscript"/>
              </w:rPr>
              <w:t>(1)</w:t>
            </w:r>
          </w:p>
        </w:tc>
      </w:tr>
      <w:tr>
        <w:trPr>
          <w:trHeight w:val="19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common equity ratio</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2"/>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7"/>
                <w:szCs w:val="17"/>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3" w:lineRule="exact"/>
        <w:rPr>
          <w:sz w:val="20"/>
          <w:szCs w:val="20"/>
          <w:color w:val="auto"/>
        </w:rPr>
      </w:pPr>
    </w:p>
    <w:p>
      <w:pPr>
        <w:ind w:left="220" w:hanging="170"/>
        <w:spacing w:after="0"/>
        <w:tabs>
          <w:tab w:leader="none" w:pos="2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Only the Bank is subject to these requirements.</w:t>
      </w:r>
    </w:p>
    <w:p>
      <w:pPr>
        <w:spacing w:after="0" w:line="20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Holding Company did not repurchase any shares of its common stock. The Holding Company repurchased 36,813 shares of its common stock at an aggregate cost of $947 thousand during the nine months ended September 30, 2023. As of September 30, 2024, 1,566,947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Holding Company paid $5.5 million in cash dividends on its preferred stock during the nine months ended September 30, 2024, and 2023,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Holding Company paid $28.5 million and $28.0 million in cash dividends on its common stock during the nine months ended September 30,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September 30, 2024, the Bank had $63.8 million of firm loan commitments that were accepted by the borrowers. All of these commitments are expected to close during the remainder of the year ending December 31, 2024.</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$27.9 million of pass-through MBS issued by GSEs as collateral.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do not originate or purchase loans, either whole loans or loans underlying MBS, which would have been considered subprime loans at origination,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Monitoring and Collection of Delinquent Loans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management reviews delinquent loans on a monthly basis and reports to our Board of Directors at each regularly scheduled Board meeting regarding the status of all non-performing and otherwise delinquent loans in our loan portfolio.</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loan servicing policies and procedures require that an automated late notice be sent to a delinquent borrower as soon as possible after a payment is ten days late in the case of multifamily residential, commercial real estate loans, and commercial and industrial (“C&amp;I”) loans, or fifteen days late in connection with one-to-four family or consumer loans. Thereafter, periodic letters are mailed and phone calls placed to the borrower until payment is received. When contact is made with the borrower at any time prior to foreclosure, we will attempt to obtain the full payment due or negotiate a repayment schedule with the borrower to avoid foreclosure.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Accrual of interest is generally discontinued on a loan that meets any of the following three criteria: (i) full payment of principal or interest is not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we reverse all outstanding accrued interest receivable.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generally initiate foreclosure proceedings on real estate loans when a loan enters non-accrual status based upon non-payment, unless the borrower is paying in accordance with an agreed upon modified payment agreement. We obtain an updated appraisal to calculate a potential collateral shortfall and to reserve appropriately for the potential loss. Upon completion of a foreclosure action,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In the event that a non-accrual loan is subsequently brought current, it is returned to accrual status once the doubt concerning collectability has been removed and the borrower has demonstrated performance in accordance with the loan terms and conditions for a period of generally at least six months.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C&amp;I portfolio is actively managed by our lenders and underwriters.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All exposures are risk rated and those entering adverse ratings due to financial performance concerns of the borrower or material delinquency of any payments or financial reporting are subjected to added management scrutiny.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Within our held-for-investment loan portfolio, non-accrual loans totaled $49.5 million at September 30, 2024 and $29.1 million at December 31,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non-accrual loans as of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r>
      <w:tr>
        <w:trPr>
          <w:trHeight w:val="173"/>
        </w:trPr>
        <w:tc>
          <w:tcPr>
            <w:tcW w:w="5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28"/>
        </w:trPr>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w w:val="91"/>
              </w:rPr>
              <w:t>(Dollars in thousands)</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Non-accrual loans: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25,411</w:t>
            </w:r>
          </w:p>
        </w:tc>
        <w:tc>
          <w:tcPr>
            <w:tcW w:w="1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18,574</w:t>
            </w:r>
          </w:p>
        </w:tc>
        <w:tc>
          <w:tcPr>
            <w:tcW w:w="200" w:type="dxa"/>
            <w:vAlign w:val="bottom"/>
          </w:tcPr>
          <w:p>
            <w:pPr>
              <w:spacing w:after="0"/>
              <w:rPr>
                <w:sz w:val="12"/>
                <w:szCs w:val="12"/>
                <w:color w:val="auto"/>
              </w:rPr>
            </w:pPr>
          </w:p>
        </w:tc>
        <w:tc>
          <w:tcPr>
            <w:tcW w:w="220" w:type="dxa"/>
            <w:vAlign w:val="bottom"/>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19,555</w:t>
            </w:r>
          </w:p>
        </w:tc>
        <w:tc>
          <w:tcPr>
            <w:tcW w:w="120" w:type="dxa"/>
            <w:vAlign w:val="bottom"/>
          </w:tcPr>
          <w:p>
            <w:pPr>
              <w:spacing w:after="0"/>
              <w:rPr>
                <w:sz w:val="12"/>
                <w:szCs w:val="12"/>
                <w:color w:val="auto"/>
              </w:rPr>
            </w:pPr>
          </w:p>
        </w:tc>
      </w:tr>
      <w:tr>
        <w:trPr>
          <w:trHeight w:val="148"/>
        </w:trPr>
        <w:tc>
          <w:tcPr>
            <w:tcW w:w="5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condominium and cooperative apartment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3,880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120" w:type="dxa"/>
            <w:vAlign w:val="bottom"/>
            <w:shd w:val="clear" w:color="auto" w:fill="CCEEFF"/>
          </w:tcPr>
          <w:p>
            <w:pPr>
              <w:spacing w:after="0"/>
              <w:rPr>
                <w:sz w:val="12"/>
                <w:szCs w:val="12"/>
                <w:color w:val="auto"/>
              </w:rPr>
            </w:pPr>
          </w:p>
        </w:tc>
      </w:tr>
      <w:tr>
        <w:trPr>
          <w:trHeight w:val="149"/>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2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48"/>
        </w:trPr>
        <w:tc>
          <w:tcPr>
            <w:tcW w:w="5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19,509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2"/>
                <w:szCs w:val="12"/>
                <w:color w:val="auto"/>
              </w:rPr>
            </w:pPr>
          </w:p>
        </w:tc>
      </w:tr>
      <w:tr>
        <w:trPr>
          <w:trHeight w:val="149"/>
        </w:trPr>
        <w:tc>
          <w:tcPr>
            <w:tcW w:w="5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r>
      <w:tr>
        <w:trPr>
          <w:trHeight w:val="182"/>
        </w:trPr>
        <w:tc>
          <w:tcPr>
            <w:tcW w:w="54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w:t>
            </w:r>
          </w:p>
        </w:tc>
        <w:tc>
          <w:tcPr>
            <w:tcW w:w="2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49,463</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29,099</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23,320</w:t>
            </w:r>
          </w:p>
        </w:tc>
        <w:tc>
          <w:tcPr>
            <w:tcW w:w="120" w:type="dxa"/>
            <w:vAlign w:val="bottom"/>
            <w:tcBorders>
              <w:bottom w:val="single" w:sz="8" w:color="CCEEFF"/>
            </w:tcBorders>
          </w:tcPr>
          <w:p>
            <w:pPr>
              <w:spacing w:after="0"/>
              <w:rPr>
                <w:sz w:val="15"/>
                <w:szCs w:val="15"/>
                <w:color w:val="auto"/>
              </w:rPr>
            </w:pPr>
          </w:p>
        </w:tc>
      </w:tr>
      <w:tr>
        <w:trPr>
          <w:trHeight w:val="129"/>
        </w:trPr>
        <w:tc>
          <w:tcPr>
            <w:tcW w:w="5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Ratios:</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9"/>
        </w:trPr>
        <w:tc>
          <w:tcPr>
            <w:tcW w:w="54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non-accrual loans to total loans</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0.45 %</w:t>
            </w:r>
          </w:p>
        </w:tc>
        <w:tc>
          <w:tcPr>
            <w:tcW w:w="200" w:type="dxa"/>
            <w:vAlign w:val="bottom"/>
          </w:tcPr>
          <w:p>
            <w:pPr>
              <w:spacing w:after="0"/>
              <w:rPr>
                <w:sz w:val="16"/>
                <w:szCs w:val="16"/>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29"/>
        </w:trPr>
        <w:tc>
          <w:tcPr>
            <w:tcW w:w="54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non-performing assets to total assets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0.36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Restructurings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accrual status of each restructured loan is determined separately in accordance with our policies for determining accrual or non-accrual status. At the time the modification agreement is entered into between the Bank and the borrower the loan can be on either accrual or non-accrual status. If a loan is on non-accrual status at the time it is restructured, it continues to be classified as non-accrual until the borrower has demonstrated compliance with the modified loan terms for a period of at least six months. Conversely, if at the time of restructuring the loan is performing (and accruing) it will remain accruing throughout its restructured period, unless the loan subsequently meets any of the criteria for non-accrual status under our policy and agency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OREO</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 w:cs="Times New Roman" w:eastAsia="Times New Roman" w:hAnsi="Times New Roman"/>
          <w:sz w:val="18"/>
          <w:szCs w:val="18"/>
          <w:i w:val="1"/>
          <w:iCs w:val="1"/>
          <w:color w:val="auto"/>
        </w:rPr>
        <w:t>a/k/a</w:t>
      </w:r>
      <w:r>
        <w:rPr>
          <w:rFonts w:ascii="Times New Roman" w:cs="Times New Roman" w:eastAsia="Times New Roman" w:hAnsi="Times New Roman"/>
          <w:sz w:val="18"/>
          <w:szCs w:val="18"/>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carrying value of OREO properties on our Consolidated Statement of Financial Condition at September 30, 2024 or December 31, 2023. We did not recognize any provisions for losses on OREO properties during the nine months ended September 30, 2024 or 2023.</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Past Due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30 to 59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September 30, 2024, there were $8.2 million of loans between 30 and 59 days past due. At December 31, 2023, there were $12.0 million of loans between 30 and 59 days past due. The 30 to 59-day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60 to 89 Days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September 30, 2024, there were $30.0 million of loans between 60 and 89 days past due. At December 31, 2023, there were $1.3 million of loans 60 and 89 days past due. The 60 to 89-day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September 30, 2024 or at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Off-Balance Sheet Exposures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Bank maintains an allowance, recorded in other liabilities, associated with unfunded loan commitments accepted by the borrower. The amount of our allowance was $3.1 million and $2.7 million at September 30, 2024 and December 31, 2023, respectively. Any increases or reductions in this allowance are recognized in provision for credit losses.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Provision for credit losses for the nine months ended September 30, 2024 was $22.4 million, compared to a credit loss recovery of $950 thousand for the nine months ended September 30, 2023. The $22.4 million credit loss provision for the nine months ended September 30, 2024, was related to a combination of factors including, provisioning for growth and individually analyzed loans in the business loan portfolio as well as provisioning for the pooled multifamily loan portfolio. The $950 thousand credit loss recovery for the nine months ended September 30, 2023, was primarily associated with a reduction in reserves on pooled Purchased Credit Deteriorated (“PCD”) loans that were acquired as part of the Company’s 2021 Merger.</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a further discussion of the allowance for credit losses and related activity during the nine months ended September 30, 2024 and 2023, please see Note 7 to the condensed Consolidated Financial Statements.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allowance for credit losses allocated by loan type and the percent of loans in each category to total loans as of the dates indicated.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5"/>
                <w:szCs w:val="15"/>
                <w:color w:val="auto"/>
              </w:rPr>
            </w:pPr>
          </w:p>
        </w:tc>
        <w:tc>
          <w:tcPr>
            <w:tcW w:w="176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Allocated</w:t>
            </w: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Allocated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45,026</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24.36</w:t>
            </w:r>
          </w:p>
        </w:tc>
        <w:tc>
          <w:tcPr>
            <w:tcW w:w="32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35,962</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21.44</w:t>
            </w: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4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8,646</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12,503</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35.52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16,302</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30.13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19,623</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2,521</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223</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0.05</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85,221</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32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71,743</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information about our allowance for credit losses at or for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At or for the Nine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loans outstanding at end of period </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10,886,387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10,850,611</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Average total loans outstanding during the period </w:t>
            </w:r>
            <w:r>
              <w:rPr>
                <w:rFonts w:ascii="Times New Roman" w:cs="Times New Roman" w:eastAsia="Times New Roman" w:hAnsi="Times New Roman"/>
                <w:sz w:val="17"/>
                <w:szCs w:val="17"/>
                <w:color w:val="auto"/>
                <w:vertAlign w:val="superscript"/>
              </w:rPr>
              <w:t>(2)</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10,800,951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10,753,282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balance at end of period</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85,221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72,563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loans at end of period</w:t>
            </w:r>
          </w:p>
        </w:tc>
        <w:tc>
          <w:tcPr>
            <w:tcW w:w="8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0.78 %</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Non-performing loans to total loans at end of period</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non-performing loans at end of period</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172.29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net charge-offs to average loans outstanding during the period: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0.25 %</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0.11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20" w:hanging="170"/>
        <w:spacing w:after="0"/>
        <w:tabs>
          <w:tab w:leader="none" w:pos="2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Total loans represent gross loans (excluding loans held for sale), inclusive of deferred fees/costs and premiums/discounts.</w:t>
      </w:r>
    </w:p>
    <w:p>
      <w:pPr>
        <w:spacing w:after="0" w:line="10" w:lineRule="exact"/>
        <w:rPr>
          <w:rFonts w:ascii="Times New Roman" w:cs="Times New Roman" w:eastAsia="Times New Roman" w:hAnsi="Times New Roman"/>
          <w:sz w:val="21"/>
          <w:szCs w:val="21"/>
          <w:color w:val="auto"/>
          <w:vertAlign w:val="superscript"/>
        </w:rPr>
      </w:pPr>
    </w:p>
    <w:p>
      <w:pPr>
        <w:ind w:left="220" w:hanging="170"/>
        <w:spacing w:after="0" w:line="191" w:lineRule="auto"/>
        <w:tabs>
          <w:tab w:leader="none" w:pos="2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Total average loans represent gross loans (including loans held for sale), inclusive of deferred loan fees/costs and premiums/discounts.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September 30, 2024 and December 31, 2023</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totaled $13.75 billion at September 30, 2024, $110.5 million above their level at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of $168.5 million in cash and due from banks, $105.1 million in the loan portfolio and $22.6 million in BOLI, partially offset by decreases of $113.8 million in total investment securities, $34.5 million in restricted stock, $16.5 million in derivative assets and $9.8 million in premises and fixed assets.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loans, net of allowance increased $105.1 million during the nine months ended September 30, 2024, to $10.81 billion at period end. During the nine months ended September 30, 2024, we had loan originations of $383.4 million.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investment securities decreased $113.8 million during the nine months ended September 30, 2024, to $1.37 billion at period end, primarily due to proceeds from principal payments, calls and maturities of $167.1 million, offset by purchases of $21.0 million and a decrease in unrealized losses of $32.3 million. There were no transfers to or from securities held-to-maturity during the nine months ended September 30, 2024.</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Premises and fixed assets decreased $9.8 million during the nine months ended September 30, 2024, to $35.1 million at period end, primarily due to the sale of two Bank owned buildings.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restricted stock decreased $34.5 million during the nine months ended September 30, 2024, to $64.2 million at period end, primarily due to a reduction in FHLBNY advances.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liabilities increased $72.8 million during the nine months ended September 30, 2024, to $12.48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 primarily due to an increase of $886.7 million in deposits (including mortgage escrow accounts) and an increase of $72.1 million in subordinated debt, partially offset by decreases of $805.0 million in FHLBNY advances, $39.1 million in derivative cash collateral and $23.2 million in derivative liabilities.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Subordinated debt increased $72.1 million during the nine months ended September 30, 2024, to $272.3 million at period end, due to the Company raising $74.8 million of gross proceeds from a registered public offering of its 9.000% fixed-to-floating rate subordinated notes due 2034 (the “Notes”).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increased $37.7 million during the nine months ended September 30, 2024,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$1.26 billion at period end, primarily due to net income of $49.5 million and other comprehensive income of $18.6 million, partially offset by common stock dividends of $29.3 million, and preferred stock dividends of $5.5 million.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September 30, 2024 and 2023</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$13.3 million during the three months ended September 30, 2024,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 million for the three months ended September 30, 2023. During the three months ended September 30, 2024, net interest income increased by $3.4 million, the credit loss provision increased by $9.8 million, non-interest income decreased by $297 thousand, non-interest expense decreased by $1.8 million, and income tax expense decreased by $3.2 million, compared to the three months ended September 30, 2023.</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three months ended September 30, 2024 and 2023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$849 thousand during the three months ended September 30, 2024. Net loan fees included in interest income were $320 thousand during the three months ended September 30, 2023. The increase in net loan fees was primarily due to increases in prepayment penalty fees and deferred fees on loans in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4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3"/>
                <w:szCs w:val="13"/>
                <w:color w:val="auto"/>
              </w:rPr>
            </w:pPr>
          </w:p>
        </w:tc>
        <w:tc>
          <w:tcPr>
            <w:tcW w:w="80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(Dollars</w:t>
            </w:r>
          </w:p>
        </w:tc>
        <w:tc>
          <w:tcPr>
            <w:tcW w:w="200" w:type="dxa"/>
            <w:vAlign w:val="bottom"/>
            <w:tcBorders>
              <w:top w:val="single" w:sz="8" w:color="CCEEFF"/>
            </w:tcBorders>
            <w:shd w:val="clear" w:color="auto" w:fill="CCEEFF"/>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78"/>
              </w:rPr>
              <w:t>in</w:t>
            </w:r>
          </w:p>
        </w:tc>
        <w:tc>
          <w:tcPr>
            <w:tcW w:w="90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2,609,934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46,656</w:t>
            </w:r>
          </w:p>
        </w:tc>
        <w:tc>
          <w:tcPr>
            <w:tcW w:w="9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7.11 %</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2,260,203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38,384</w:t>
            </w:r>
          </w:p>
        </w:tc>
        <w:tc>
          <w:tcPr>
            <w:tcW w:w="940" w:type="dxa"/>
            <w:vAlign w:val="bottom"/>
            <w:gridSpan w:val="3"/>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6.74 %</w:t>
            </w: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including condo and coop </w:t>
            </w:r>
            <w:r>
              <w:rPr>
                <w:rFonts w:ascii="Times New Roman" w:cs="Times New Roman" w:eastAsia="Times New Roman" w:hAnsi="Times New Roman"/>
                <w:sz w:val="15"/>
                <w:szCs w:val="15"/>
                <w:color w:val="auto"/>
                <w:vertAlign w:val="superscript"/>
              </w:rPr>
              <w:t>(3) (6)</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924,150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11,024</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879,688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9,165</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4.13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3,902,220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45,790</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4.67</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4,114,476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46,099</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3,297,760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44,804</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3,382,927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44,184</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ADC </w:t>
            </w:r>
            <w:r>
              <w:rPr>
                <w:rFonts w:ascii="Times New Roman" w:cs="Times New Roman" w:eastAsia="Times New Roman" w:hAnsi="Times New Roman"/>
                <w:sz w:val="15"/>
                <w:szCs w:val="15"/>
                <w:color w:val="auto"/>
                <w:vertAlign w:val="superscript"/>
              </w:rPr>
              <w:t>(3)</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147,875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3,505</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9.43</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222,039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5,075</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1,493,492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7,766</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2.07</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1,619,960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7,916</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353,924</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4,645</w:t>
            </w:r>
          </w:p>
        </w:tc>
        <w:tc>
          <w:tcPr>
            <w:tcW w:w="7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5.22</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498,612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6,930</w:t>
            </w:r>
          </w:p>
        </w:tc>
        <w:tc>
          <w:tcPr>
            <w:tcW w:w="7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12,734,246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164,239</w:t>
            </w:r>
          </w:p>
        </w:tc>
        <w:tc>
          <w:tcPr>
            <w:tcW w:w="920" w:type="dxa"/>
            <w:vAlign w:val="bottom"/>
            <w:gridSpan w:val="3"/>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5.13 %</w:t>
            </w: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12,984,061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157,841</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4.82</w:t>
            </w:r>
          </w:p>
        </w:tc>
        <w:tc>
          <w:tcPr>
            <w:tcW w:w="2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8"/>
        </w:trPr>
        <w:tc>
          <w:tcPr>
            <w:tcW w:w="350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768,507</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775,432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13,502,753</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13,759,493</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798,024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4,635</w:t>
            </w:r>
          </w:p>
        </w:tc>
        <w:tc>
          <w:tcPr>
            <w:tcW w:w="9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2.31 %</w:t>
            </w: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786,892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2,896</w:t>
            </w:r>
          </w:p>
        </w:tc>
        <w:tc>
          <w:tcPr>
            <w:tcW w:w="940" w:type="dxa"/>
            <w:vAlign w:val="bottom"/>
            <w:gridSpan w:val="3"/>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3,771,562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36,841</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2,975,267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24,275</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2,102,282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19,492</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2,342,424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20,316</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1,232,984</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13,057</w:t>
            </w:r>
          </w:p>
        </w:tc>
        <w:tc>
          <w:tcPr>
            <w:tcW w:w="7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4.21</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1,494,491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15,020</w:t>
            </w:r>
          </w:p>
        </w:tc>
        <w:tc>
          <w:tcPr>
            <w:tcW w:w="7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7,904,852</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74,025</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3.73</w:t>
            </w: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7,599,074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62,507</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528,652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4,455</w:t>
            </w: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1,250,717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14,370</w:t>
            </w: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4.56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271,450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4,307</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6.31</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200,232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2,553</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Borders>
              <w:bottom w:val="single" w:sz="8" w:color="CCEEFF"/>
            </w:tcBorders>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131</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7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6.07</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6.61</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800,233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8,764</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4.36</w:t>
            </w: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1,451,069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16,925</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91,305</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1,526</w:t>
            </w:r>
          </w:p>
        </w:tc>
        <w:tc>
          <w:tcPr>
            <w:tcW w:w="7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6.65</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156,795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1,930</w:t>
            </w:r>
          </w:p>
        </w:tc>
        <w:tc>
          <w:tcPr>
            <w:tcW w:w="7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4.88</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8,796,390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84,315</w:t>
            </w:r>
          </w:p>
        </w:tc>
        <w:tc>
          <w:tcPr>
            <w:tcW w:w="920" w:type="dxa"/>
            <w:vAlign w:val="bottom"/>
            <w:gridSpan w:val="3"/>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3.81 %</w:t>
            </w: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9,206,938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81,362</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3.51</w:t>
            </w:r>
          </w:p>
        </w:tc>
        <w:tc>
          <w:tcPr>
            <w:tcW w:w="2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8"/>
        </w:trPr>
        <w:tc>
          <w:tcPr>
            <w:tcW w:w="35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3,209,502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3,065,186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223,546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265,559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12,229,438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12,537,683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1,273,315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1,221,810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13,502,753</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13,759,493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500" w:type="dxa"/>
            <w:vAlign w:val="bottom"/>
            <w:tcBorders>
              <w:bottom w:val="single" w:sz="8" w:color="CCEEFF"/>
            </w:tcBorders>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16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79,924</w:t>
            </w:r>
          </w:p>
        </w:tc>
        <w:tc>
          <w:tcPr>
            <w:tcW w:w="12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76,479</w:t>
            </w:r>
          </w:p>
        </w:tc>
        <w:tc>
          <w:tcPr>
            <w:tcW w:w="12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1.32 %</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line="20" w:lineRule="exact"/>
              <w:rPr>
                <w:sz w:val="1"/>
                <w:szCs w:val="1"/>
                <w:color w:val="auto"/>
              </w:rPr>
            </w:pPr>
          </w:p>
        </w:tc>
      </w:tr>
      <w:tr>
        <w:trPr>
          <w:trHeight w:val="115"/>
        </w:trPr>
        <w:tc>
          <w:tcPr>
            <w:tcW w:w="3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Borders>
              <w:bottom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16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3,937,856</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3,777,123</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2.50 %</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2.34 %</w:t>
            </w:r>
          </w:p>
        </w:tc>
        <w:tc>
          <w:tcPr>
            <w:tcW w:w="0" w:type="dxa"/>
            <w:vAlign w:val="bottom"/>
          </w:tcPr>
          <w:p>
            <w:pPr>
              <w:spacing w:after="0" w:line="20" w:lineRule="exact"/>
              <w:rPr>
                <w:sz w:val="1"/>
                <w:szCs w:val="1"/>
                <w:color w:val="auto"/>
              </w:rPr>
            </w:pPr>
          </w:p>
        </w:tc>
      </w:tr>
      <w:tr>
        <w:trPr>
          <w:trHeight w:val="115"/>
        </w:trPr>
        <w:tc>
          <w:tcPr>
            <w:tcW w:w="3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144.77 %</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141.02</w:t>
            </w:r>
          </w:p>
        </w:tc>
        <w:tc>
          <w:tcPr>
            <w:tcW w:w="2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16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11,114,354</w:t>
            </w:r>
          </w:p>
        </w:tc>
        <w:tc>
          <w:tcPr>
            <w:tcW w:w="14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74,025</w:t>
            </w:r>
          </w:p>
        </w:tc>
        <w:tc>
          <w:tcPr>
            <w:tcW w:w="92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2.65 %</w:t>
            </w:r>
          </w:p>
        </w:tc>
        <w:tc>
          <w:tcPr>
            <w:tcW w:w="1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10,664,260</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62,507</w:t>
            </w:r>
          </w:p>
        </w:tc>
        <w:tc>
          <w:tcPr>
            <w:tcW w:w="940" w:type="dxa"/>
            <w:vAlign w:val="bottom"/>
            <w:gridSpan w:val="3"/>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2.33 %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20" w:hanging="170"/>
        <w:spacing w:after="0"/>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Business loans include commercial and industrial loans and owner-occupied commercial real estate loans.</w:t>
      </w:r>
    </w:p>
    <w:p>
      <w:pPr>
        <w:spacing w:after="0" w:line="20" w:lineRule="exact"/>
        <w:rPr>
          <w:rFonts w:ascii="Times New Roman" w:cs="Times New Roman" w:eastAsia="Times New Roman" w:hAnsi="Times New Roman"/>
          <w:sz w:val="21"/>
          <w:szCs w:val="21"/>
          <w:color w:val="auto"/>
          <w:vertAlign w:val="superscript"/>
        </w:rPr>
      </w:pPr>
    </w:p>
    <w:p>
      <w:pPr>
        <w:ind w:left="220" w:hanging="170"/>
        <w:spacing w:after="0" w:line="181" w:lineRule="auto"/>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mortgage escrow deposits.</w:t>
      </w:r>
    </w:p>
    <w:p>
      <w:pPr>
        <w:spacing w:after="0" w:line="20" w:lineRule="exact"/>
        <w:rPr>
          <w:rFonts w:ascii="Times New Roman" w:cs="Times New Roman" w:eastAsia="Times New Roman" w:hAnsi="Times New Roman"/>
          <w:sz w:val="21"/>
          <w:szCs w:val="21"/>
          <w:color w:val="auto"/>
          <w:vertAlign w:val="superscript"/>
        </w:rPr>
      </w:pPr>
    </w:p>
    <w:p>
      <w:pPr>
        <w:ind w:left="220" w:hanging="170"/>
        <w:spacing w:after="0" w:line="181" w:lineRule="auto"/>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Amounts are net of deferred origination costs/(fees) and allowance for credit losses, and include loans held for sale.</w:t>
      </w:r>
    </w:p>
    <w:p>
      <w:pPr>
        <w:spacing w:after="0" w:line="20" w:lineRule="exact"/>
        <w:rPr>
          <w:rFonts w:ascii="Times New Roman" w:cs="Times New Roman" w:eastAsia="Times New Roman" w:hAnsi="Times New Roman"/>
          <w:sz w:val="21"/>
          <w:szCs w:val="21"/>
          <w:color w:val="auto"/>
          <w:vertAlign w:val="superscript"/>
        </w:rPr>
      </w:pPr>
    </w:p>
    <w:p>
      <w:pPr>
        <w:ind w:left="60" w:right="79" w:hanging="10"/>
        <w:spacing w:after="0" w:line="200" w:lineRule="auto"/>
        <w:tabs>
          <w:tab w:leader="none" w:pos="234"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220" w:hanging="170"/>
        <w:spacing w:after="0" w:line="181" w:lineRule="auto"/>
        <w:tabs>
          <w:tab w:leader="none" w:pos="2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Net interest margin represents net interest income divided by average-interest earning assets.</w:t>
      </w:r>
    </w:p>
    <w:p>
      <w:pPr>
        <w:spacing w:after="0" w:line="6" w:lineRule="exact"/>
        <w:rPr>
          <w:rFonts w:ascii="Times New Roman" w:cs="Times New Roman" w:eastAsia="Times New Roman" w:hAnsi="Times New Roman"/>
          <w:sz w:val="21"/>
          <w:szCs w:val="21"/>
          <w:color w:val="auto"/>
          <w:vertAlign w:val="superscript"/>
        </w:rPr>
      </w:pPr>
    </w:p>
    <w:p>
      <w:pPr>
        <w:jc w:val="both"/>
        <w:ind w:left="60" w:right="59" w:hanging="10"/>
        <w:spacing w:after="0" w:line="199" w:lineRule="auto"/>
        <w:tabs>
          <w:tab w:leader="none" w:pos="23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September 30, 2024, the loan portfolio included a fair value hedge basis point adjustment to the carrying amount of hedged owner-occupied commercial real estate in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r>
      <w:tr>
        <w:trPr>
          <w:trHeight w:val="148"/>
        </w:trPr>
        <w:tc>
          <w:tcPr>
            <w:tcW w:w="2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40" w:type="dxa"/>
            <w:vAlign w:val="bottom"/>
            <w:gridSpan w:val="10"/>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Three Months Ended September 30, 2023</w:t>
            </w:r>
          </w:p>
        </w:tc>
      </w:tr>
      <w:tr>
        <w:trPr>
          <w:trHeight w:val="173"/>
        </w:trPr>
        <w:tc>
          <w:tcPr>
            <w:tcW w:w="2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54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5,112</w:t>
            </w:r>
          </w:p>
        </w:tc>
        <w:tc>
          <w:tcPr>
            <w:tcW w:w="20" w:type="dxa"/>
            <w:vAlign w:val="bottom"/>
          </w:tcPr>
          <w:p>
            <w:pPr>
              <w:spacing w:after="0"/>
              <w:rPr>
                <w:sz w:val="12"/>
                <w:szCs w:val="12"/>
                <w:color w:val="auto"/>
              </w:rPr>
            </w:pPr>
          </w:p>
        </w:tc>
        <w:tc>
          <w:tcPr>
            <w:tcW w:w="4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8,272</w:t>
            </w:r>
          </w:p>
        </w:tc>
        <w:tc>
          <w:tcPr>
            <w:tcW w:w="20" w:type="dxa"/>
            <w:vAlign w:val="bottom"/>
          </w:tcPr>
          <w:p>
            <w:pPr>
              <w:spacing w:after="0"/>
              <w:rPr>
                <w:sz w:val="12"/>
                <w:szCs w:val="12"/>
                <w:color w:val="auto"/>
              </w:rPr>
            </w:pPr>
          </w:p>
        </w:tc>
      </w:tr>
      <w:tr>
        <w:trPr>
          <w:trHeight w:val="148"/>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 and coop</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w:t>
            </w:r>
          </w:p>
        </w:tc>
        <w:tc>
          <w:tcPr>
            <w:tcW w:w="20" w:type="dxa"/>
            <w:vAlign w:val="bottom"/>
          </w:tcPr>
          <w:p>
            <w:pPr>
              <w:spacing w:after="0"/>
              <w:rPr>
                <w:sz w:val="12"/>
                <w:szCs w:val="12"/>
                <w:color w:val="auto"/>
              </w:rPr>
            </w:pPr>
          </w:p>
        </w:tc>
      </w:tr>
      <w:tr>
        <w:trPr>
          <w:trHeight w:val="149"/>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12"/>
                <w:szCs w:val="12"/>
                <w:color w:val="auto"/>
              </w:rPr>
            </w:pPr>
          </w:p>
        </w:tc>
      </w:tr>
      <w:tr>
        <w:trPr>
          <w:trHeight w:val="148"/>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20" w:type="dxa"/>
            <w:vAlign w:val="bottom"/>
          </w:tcPr>
          <w:p>
            <w:pPr>
              <w:spacing w:after="0"/>
              <w:rPr>
                <w:sz w:val="12"/>
                <w:szCs w:val="12"/>
                <w:color w:val="auto"/>
              </w:rPr>
            </w:pPr>
          </w:p>
        </w:tc>
      </w:tr>
      <w:tr>
        <w:trPr>
          <w:trHeight w:val="148"/>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20" w:type="dxa"/>
            <w:vAlign w:val="bottom"/>
          </w:tcPr>
          <w:p>
            <w:pPr>
              <w:spacing w:after="0"/>
              <w:rPr>
                <w:sz w:val="12"/>
                <w:szCs w:val="12"/>
                <w:color w:val="auto"/>
              </w:rPr>
            </w:pPr>
          </w:p>
        </w:tc>
      </w:tr>
      <w:tr>
        <w:trPr>
          <w:trHeight w:val="148"/>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r>
      <w:tr>
        <w:trPr>
          <w:trHeight w:val="148"/>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2"/>
                <w:szCs w:val="12"/>
                <w:color w:val="auto"/>
              </w:rPr>
            </w:pPr>
          </w:p>
        </w:tc>
      </w:tr>
      <w:tr>
        <w:trPr>
          <w:trHeight w:val="149"/>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(2,285)</w:t>
            </w:r>
          </w:p>
        </w:tc>
        <w:tc>
          <w:tcPr>
            <w:tcW w:w="20" w:type="dxa"/>
            <w:vAlign w:val="bottom"/>
          </w:tcPr>
          <w:p>
            <w:pPr>
              <w:spacing w:after="0"/>
              <w:rPr>
                <w:sz w:val="12"/>
                <w:szCs w:val="12"/>
                <w:color w:val="auto"/>
              </w:rPr>
            </w:pPr>
          </w:p>
        </w:tc>
      </w:tr>
      <w:tr>
        <w:trPr>
          <w:trHeight w:val="142"/>
        </w:trPr>
        <w:tc>
          <w:tcPr>
            <w:tcW w:w="548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(6,942)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13,340</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6,398</w:t>
            </w:r>
          </w:p>
        </w:tc>
        <w:tc>
          <w:tcPr>
            <w:tcW w:w="20" w:type="dxa"/>
            <w:vAlign w:val="bottom"/>
          </w:tcPr>
          <w:p>
            <w:pPr>
              <w:spacing w:after="0"/>
              <w:rPr>
                <w:sz w:val="12"/>
                <w:szCs w:val="12"/>
                <w:color w:val="auto"/>
              </w:rPr>
            </w:pPr>
          </w:p>
        </w:tc>
      </w:tr>
      <w:tr>
        <w:trPr>
          <w:trHeight w:val="142"/>
        </w:trPr>
        <w:tc>
          <w:tcPr>
            <w:tcW w:w="54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4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0" w:type="dxa"/>
            <w:vAlign w:val="bottom"/>
          </w:tcPr>
          <w:p>
            <w:pPr>
              <w:spacing w:after="0"/>
              <w:rPr>
                <w:sz w:val="12"/>
                <w:szCs w:val="12"/>
                <w:color w:val="auto"/>
              </w:rPr>
            </w:pPr>
          </w:p>
        </w:tc>
      </w:tr>
      <w:tr>
        <w:trPr>
          <w:trHeight w:val="149"/>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7,860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12,565</w:t>
            </w:r>
          </w:p>
        </w:tc>
        <w:tc>
          <w:tcPr>
            <w:tcW w:w="20" w:type="dxa"/>
            <w:vAlign w:val="bottom"/>
          </w:tcPr>
          <w:p>
            <w:pPr>
              <w:spacing w:after="0"/>
              <w:rPr>
                <w:sz w:val="12"/>
                <w:szCs w:val="12"/>
                <w:color w:val="auto"/>
              </w:rPr>
            </w:pPr>
          </w:p>
        </w:tc>
      </w:tr>
      <w:tr>
        <w:trPr>
          <w:trHeight w:val="148"/>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0" w:type="dxa"/>
            <w:vAlign w:val="bottom"/>
          </w:tcPr>
          <w:p>
            <w:pPr>
              <w:spacing w:after="0"/>
              <w:rPr>
                <w:sz w:val="12"/>
                <w:szCs w:val="12"/>
                <w:color w:val="auto"/>
              </w:rPr>
            </w:pPr>
          </w:p>
        </w:tc>
      </w:tr>
      <w:tr>
        <w:trPr>
          <w:trHeight w:val="148"/>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w:t>
            </w:r>
          </w:p>
        </w:tc>
        <w:tc>
          <w:tcPr>
            <w:tcW w:w="20" w:type="dxa"/>
            <w:vAlign w:val="bottom"/>
          </w:tcPr>
          <w:p>
            <w:pPr>
              <w:spacing w:after="0"/>
              <w:rPr>
                <w:sz w:val="12"/>
                <w:szCs w:val="12"/>
                <w:color w:val="auto"/>
              </w:rPr>
            </w:pPr>
          </w:p>
        </w:tc>
      </w:tr>
      <w:tr>
        <w:trPr>
          <w:trHeight w:val="148"/>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(9,915)</w:t>
            </w:r>
          </w:p>
        </w:tc>
        <w:tc>
          <w:tcPr>
            <w:tcW w:w="20" w:type="dxa"/>
            <w:vAlign w:val="bottom"/>
          </w:tcPr>
          <w:p>
            <w:pPr>
              <w:spacing w:after="0"/>
              <w:rPr>
                <w:sz w:val="12"/>
                <w:szCs w:val="12"/>
                <w:color w:val="auto"/>
              </w:rPr>
            </w:pPr>
          </w:p>
        </w:tc>
      </w:tr>
      <w:tr>
        <w:trPr>
          <w:trHeight w:val="148"/>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20" w:type="dxa"/>
            <w:vAlign w:val="bottom"/>
          </w:tcPr>
          <w:p>
            <w:pPr>
              <w:spacing w:after="0"/>
              <w:rPr>
                <w:sz w:val="12"/>
                <w:szCs w:val="12"/>
                <w:color w:val="auto"/>
              </w:rPr>
            </w:pPr>
          </w:p>
        </w:tc>
      </w:tr>
      <w:tr>
        <w:trPr>
          <w:trHeight w:val="149"/>
        </w:trPr>
        <w:tc>
          <w:tcPr>
            <w:tcW w:w="5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4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0" w:type="dxa"/>
            <w:vAlign w:val="bottom"/>
          </w:tcPr>
          <w:p>
            <w:pPr>
              <w:spacing w:after="0"/>
              <w:rPr>
                <w:sz w:val="12"/>
                <w:szCs w:val="12"/>
                <w:color w:val="auto"/>
              </w:rPr>
            </w:pPr>
          </w:p>
        </w:tc>
      </w:tr>
      <w:tr>
        <w:trPr>
          <w:trHeight w:val="142"/>
        </w:trPr>
        <w:tc>
          <w:tcPr>
            <w:tcW w:w="548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(14,495)</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17,448</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2,953</w:t>
            </w:r>
          </w:p>
        </w:tc>
        <w:tc>
          <w:tcPr>
            <w:tcW w:w="20" w:type="dxa"/>
            <w:vAlign w:val="bottom"/>
          </w:tcPr>
          <w:p>
            <w:pPr>
              <w:spacing w:after="0"/>
              <w:rPr>
                <w:sz w:val="12"/>
                <w:szCs w:val="12"/>
                <w:color w:val="auto"/>
              </w:rPr>
            </w:pPr>
          </w:p>
        </w:tc>
      </w:tr>
      <w:tr>
        <w:trPr>
          <w:trHeight w:val="142"/>
        </w:trPr>
        <w:tc>
          <w:tcPr>
            <w:tcW w:w="54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18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7,553</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(4,108)</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3,445</w:t>
            </w:r>
          </w:p>
        </w:tc>
        <w:tc>
          <w:tcPr>
            <w:tcW w:w="2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 w:lineRule="exact"/>
        <w:rPr>
          <w:sz w:val="20"/>
          <w:szCs w:val="20"/>
          <w:color w:val="auto"/>
        </w:rPr>
      </w:pPr>
    </w:p>
    <w:p>
      <w:pPr>
        <w:ind w:left="240" w:hanging="190"/>
        <w:spacing w:after="0"/>
        <w:tabs>
          <w:tab w:leader="none" w:pos="24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and owner-occupied commercial real estate loans.</w:t>
      </w:r>
    </w:p>
    <w:p>
      <w:pPr>
        <w:spacing w:after="0" w:line="10" w:lineRule="exact"/>
        <w:rPr>
          <w:rFonts w:ascii="Times New Roman" w:cs="Times New Roman" w:eastAsia="Times New Roman" w:hAnsi="Times New Roman"/>
          <w:sz w:val="24"/>
          <w:szCs w:val="24"/>
          <w:color w:val="auto"/>
          <w:vertAlign w:val="superscript"/>
        </w:rPr>
      </w:pPr>
    </w:p>
    <w:p>
      <w:pPr>
        <w:ind w:left="240" w:hanging="190"/>
        <w:spacing w:after="0" w:line="182" w:lineRule="auto"/>
        <w:tabs>
          <w:tab w:leader="none" w:pos="24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$79.9 million during the three months ended September 30, 2024,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$3.4 million from the three months ended September 30, 2023. Average interest-earning assets were $12.73 billion for the three months ended September 30, 2024, a decrease of $250.0 million from $12.98 billion for the three months ended September 30, 2023. Net interest margin was 2.50% during the three months ended September 30, 2024, up from 2.34% during the three months ended September 30, 2023.</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$164.2 million during the three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$157.8 million during the three months ended September 30, 2023. During the three months ended September 30, 2024, interest income increased $6.4 million from the three months ended September 30, 2023, primarily reflecting increases in interest income of $8.3 million on business loans, $1.9 million on one-to-four family loans and $620 thousand on non-owner-occupied loans.</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increased interest income on business loans was due to a $349.7 million increase in the average balances and a 37-basis point increase in the yield of such loans in the period. The increased interest income on one-to-four family loans was related to a 62-basis point increase in the yield and a $44.5 million increase in the average balances of such loans in the period. The increased interest income on non-owner-occupied loan income was related to a 22-basis point increase in the yield, partially offset by a decrease of $85.2 million in the average balances of such loans in the period. Increased yields on loans were a result of the rising interest rate environment.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$84.3 million during the three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$81.4 million during the three months ended September 30, 2023. During the three months ended September 30, 2024, interest expense increased $2.9 million, primarily reflecting an increase in interest expense of $11.5 million on deposits and an increase of $1.8 million in interest expense on subordinated debt, partially offset by a $9.9 million decrease in interest expense on FHLBNY advances. The increased interest expense on deposits primarily reflects a 65-basis point increase in rates paid on money market deposits and a $796.3 million increase in average balances of such deposits. The increased interest expense on subordinated debt was due to a $71.2 million increase in the average balance of such debt and a 125-basis point increase in the cost of subordinated debt in the period. The decreased interest expense on FHLBNY advances was due to a $722.1 million decrease in the average balance of such advances and a 121-basis point decrease in the cost of FHLBNY advances in the period. The increases in interest expense on money market accounts was primarily due to price competition among banks and other financial institutions and the rising interest rate environment.</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$11.6 million during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a credit loss provision of $1.8 million for the three months ended September 30, 2023. The $11.6 million credit loss provision for the three months ended September 30, 2024, was primarily associated with increased provisioning for the Bank’s business loan portfolio. The $1.8 million credit loss provision for the three months ended September 30, 2023, was primarily associated with increased provisioning for individually analyzed loans.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$7.6 million during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$7.9 million during the three months ended September 30, 2023. During the three months ended September 30, 2024, non-interest income decreased $297 thousand from the three months ended September 30, 2023, reflecting a decrease of $651 thousand related to loan level derivative income, partially offset by an increase of $338 thousand from fair value change in equity securities and loans held for sale.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$57.7 million during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$59.5 million during the three months ended September 30, 2023. During the three months ended September 30, 2024, non-interest expense decreased $1.8 million from the three months ended September 30, 2023, primarily due to a decrease of $8.6 million in severance expense, partially offset by a $5.6 million increase in salaries and employee benefits.</w:t>
      </w:r>
    </w:p>
    <w:p>
      <w:pPr>
        <w:spacing w:after="0" w:line="18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Non-interest expense was 1.71% and 1.73% of average assets during the three months ended September 30, 2024 and 2023, respectively.</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$4.9 million during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tax expense of $8.1 million during the three months ended September 30, 2023. The reported effective tax rate for the three months ended September 30, 2024 was 26.9%, and 35.1% for the three months ended September 30, 2023. The September 30, 2023 effective tax rate reflected non-deductible severance expense in the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Nine Months Ended September 30, 2024 and 2023</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$49.5 million during the nine months ended September 30, 2024, compared to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$79.8 million for the nine months ended September 30, 2023. During the nine months ended September 30, 2024, net interest income decreased by $15.5 million, credit loss provision increased by $23.3 million, non-interest expense increased by $6.8 million, non-interest income increased by $2.6 million, and income tax expense decreased by $12.7 million, compared to the nine months ended September 30, 2023.</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discussion of net interest income for the nine months ended September 30, 2024 and 2023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included in interest income were $545 thousand during the nine months ended September 30, 2024. Net loan fees included in interest income were $975 thousand during the nine months ended September 30, 2023. The decrease in net loan fees was primarily due to the decline in loan deferred fees and costs, and the decline in loan prepayment fees in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140" w:type="dxa"/>
            <w:vAlign w:val="bottom"/>
          </w:tcPr>
          <w:p>
            <w:pPr>
              <w:spacing w:after="0"/>
              <w:rPr>
                <w:sz w:val="12"/>
                <w:szCs w:val="12"/>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6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(Dollars</w:t>
            </w:r>
          </w:p>
        </w:tc>
        <w:tc>
          <w:tcPr>
            <w:tcW w:w="20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in</w:t>
            </w:r>
          </w:p>
        </w:tc>
        <w:tc>
          <w:tcPr>
            <w:tcW w:w="900" w:type="dxa"/>
            <w:vAlign w:val="bottom"/>
            <w:tcBorders>
              <w:top w:val="single" w:sz="8" w:color="auto"/>
            </w:tcBorders>
            <w:gridSpan w:val="2"/>
            <w:shd w:val="clear" w:color="auto" w:fill="CCEEFF"/>
          </w:tcPr>
          <w:p>
            <w:pPr>
              <w:jc w:val="right"/>
              <w:ind w:right="257"/>
              <w:spacing w:after="0" w:line="115" w:lineRule="exact"/>
              <w:rPr>
                <w:sz w:val="20"/>
                <w:szCs w:val="20"/>
                <w:color w:val="auto"/>
              </w:rPr>
            </w:pPr>
            <w:r>
              <w:rPr>
                <w:rFonts w:ascii="Times New Roman" w:cs="Times New Roman" w:eastAsia="Times New Roman" w:hAnsi="Times New Roman"/>
                <w:sz w:val="13"/>
                <w:szCs w:val="13"/>
                <w:color w:val="auto"/>
                <w:w w:val="99"/>
              </w:rPr>
              <w:t>thousands)</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2,440,113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128,813</w:t>
            </w:r>
          </w:p>
        </w:tc>
        <w:tc>
          <w:tcPr>
            <w:tcW w:w="940" w:type="dxa"/>
            <w:vAlign w:val="bottom"/>
            <w:gridSpan w:val="4"/>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7.05 %</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2,240,390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108,790</w:t>
            </w:r>
          </w:p>
        </w:tc>
        <w:tc>
          <w:tcPr>
            <w:tcW w:w="9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6.49 %</w:t>
            </w: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including condo and coop </w:t>
            </w:r>
            <w:r>
              <w:rPr>
                <w:rFonts w:ascii="Times New Roman" w:cs="Times New Roman" w:eastAsia="Times New Roman" w:hAnsi="Times New Roman"/>
                <w:sz w:val="15"/>
                <w:szCs w:val="15"/>
                <w:color w:val="auto"/>
                <w:vertAlign w:val="superscript"/>
              </w:rPr>
              <w:t>(3) (6)</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898,941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30,762</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832,439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25,442</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3,953,593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137,584</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4,104,684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133,571</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3,342,570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134,308</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3,346,130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126,438</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ADC </w:t>
            </w:r>
            <w:r>
              <w:rPr>
                <w:rFonts w:ascii="Times New Roman" w:cs="Times New Roman" w:eastAsia="Times New Roman" w:hAnsi="Times New Roman"/>
                <w:sz w:val="15"/>
                <w:szCs w:val="15"/>
                <w:color w:val="auto"/>
                <w:vertAlign w:val="superscript"/>
              </w:rPr>
              <w:t>(3)</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160,598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10,835</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9.01</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222,897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15,197</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5,136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190</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1,536,280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23,553</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2.05</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1,653,662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24,261</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454,002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18,621</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446,757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16,599</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top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12,791,233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484,666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CCEEFF"/>
            </w:tcBorders>
            <w:gridSpan w:val="3"/>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5.06 %</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12,853,701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450,604</w:t>
            </w:r>
          </w:p>
        </w:tc>
        <w:tc>
          <w:tcPr>
            <w:tcW w:w="7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4.69</w:t>
            </w:r>
          </w:p>
        </w:tc>
        <w:tc>
          <w:tcPr>
            <w:tcW w:w="220" w:type="dxa"/>
            <w:vAlign w:val="bottom"/>
            <w:tcBorders>
              <w:top w:val="single" w:sz="8" w:color="CCEEFF"/>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8"/>
        </w:trPr>
        <w:tc>
          <w:tcPr>
            <w:tcW w:w="350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780,477</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769,869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13,571,710</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13,623,570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670,957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7,357</w:t>
            </w:r>
          </w:p>
        </w:tc>
        <w:tc>
          <w:tcPr>
            <w:tcW w:w="940" w:type="dxa"/>
            <w:vAlign w:val="bottom"/>
            <w:gridSpan w:val="4"/>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1.46 %</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860,602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7,499</w:t>
            </w:r>
          </w:p>
        </w:tc>
        <w:tc>
          <w:tcPr>
            <w:tcW w:w="9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1.17 %</w:t>
            </w: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3,543,314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100,672</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2,797,250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56,409</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2,268,534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65,411</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3.85</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2,316,463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52,291</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1,426,805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46,532</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36,196</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top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7,909,610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219,972</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3.71</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7,378,340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152,395</w:t>
            </w:r>
          </w:p>
        </w:tc>
        <w:tc>
          <w:tcPr>
            <w:tcW w:w="7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2.76</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763,839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23,027</w:t>
            </w:r>
          </w:p>
        </w:tc>
        <w:tc>
          <w:tcPr>
            <w:tcW w:w="2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4.03</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1,277,828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43,076</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224,794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9,464</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200,254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7,659</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top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988,703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32,494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4.39</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1,482,293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50,855</w:t>
            </w:r>
          </w:p>
        </w:tc>
        <w:tc>
          <w:tcPr>
            <w:tcW w:w="7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4.59</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122,278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5,244</w:t>
            </w: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5.73</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137,737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4,904</w:t>
            </w:r>
          </w:p>
        </w:tc>
        <w:tc>
          <w:tcPr>
            <w:tcW w:w="72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4.76</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0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9,020,591</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257,710</w:t>
            </w:r>
          </w:p>
        </w:tc>
        <w:tc>
          <w:tcPr>
            <w:tcW w:w="20" w:type="dxa"/>
            <w:vAlign w:val="bottom"/>
            <w:tcBorders>
              <w:bottom w:val="single" w:sz="8" w:color="auto"/>
            </w:tcBorders>
            <w:shd w:val="clear" w:color="auto" w:fill="CCEEFF"/>
          </w:tcPr>
          <w:p>
            <w:pPr>
              <w:spacing w:after="0"/>
              <w:rPr>
                <w:sz w:val="11"/>
                <w:szCs w:val="11"/>
                <w:color w:val="auto"/>
              </w:rPr>
            </w:pPr>
          </w:p>
        </w:tc>
        <w:tc>
          <w:tcPr>
            <w:tcW w:w="920" w:type="dxa"/>
            <w:vAlign w:val="bottom"/>
            <w:gridSpan w:val="3"/>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3.82 %</w:t>
            </w: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8,998,370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208,154</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3.09</w:t>
            </w:r>
          </w:p>
        </w:tc>
        <w:tc>
          <w:tcPr>
            <w:tcW w:w="22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8"/>
        </w:trPr>
        <w:tc>
          <w:tcPr>
            <w:tcW w:w="35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3,054,455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3,149,251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238,028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264,527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12,313,074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12,412,148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1,258,636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13,571,710</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13,623,570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500" w:type="dxa"/>
            <w:vAlign w:val="bottom"/>
            <w:tcBorders>
              <w:bottom w:val="single" w:sz="8" w:color="CCEEFF"/>
            </w:tcBorders>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16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226,956</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242,450</w:t>
            </w:r>
          </w:p>
        </w:tc>
        <w:tc>
          <w:tcPr>
            <w:tcW w:w="7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1.24 %</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line="20" w:lineRule="exact"/>
              <w:rPr>
                <w:sz w:val="1"/>
                <w:szCs w:val="1"/>
                <w:color w:val="auto"/>
              </w:rPr>
            </w:pPr>
          </w:p>
        </w:tc>
      </w:tr>
      <w:tr>
        <w:trPr>
          <w:trHeight w:val="115"/>
        </w:trPr>
        <w:tc>
          <w:tcPr>
            <w:tcW w:w="3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Borders>
              <w:bottom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16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3,770,642</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3,855,331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4"/>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2.37 %</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2.52 %</w:t>
            </w:r>
          </w:p>
        </w:tc>
        <w:tc>
          <w:tcPr>
            <w:tcW w:w="0" w:type="dxa"/>
            <w:vAlign w:val="bottom"/>
          </w:tcPr>
          <w:p>
            <w:pPr>
              <w:spacing w:after="0" w:line="20" w:lineRule="exact"/>
              <w:rPr>
                <w:sz w:val="1"/>
                <w:szCs w:val="1"/>
                <w:color w:val="auto"/>
              </w:rPr>
            </w:pPr>
          </w:p>
        </w:tc>
      </w:tr>
      <w:tr>
        <w:trPr>
          <w:trHeight w:val="115"/>
        </w:trPr>
        <w:tc>
          <w:tcPr>
            <w:tcW w:w="3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141.80 %</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142.84</w:t>
            </w:r>
          </w:p>
        </w:tc>
        <w:tc>
          <w:tcPr>
            <w:tcW w:w="2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10,964,065</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219,972</w:t>
            </w:r>
          </w:p>
        </w:tc>
        <w:tc>
          <w:tcPr>
            <w:tcW w:w="940" w:type="dxa"/>
            <w:vAlign w:val="bottom"/>
            <w:gridSpan w:val="4"/>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2.68 %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10,527,591</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152,395</w:t>
            </w:r>
          </w:p>
        </w:tc>
        <w:tc>
          <w:tcPr>
            <w:tcW w:w="94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1.94 %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20" w:hanging="170"/>
        <w:spacing w:after="0"/>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Business loans include commercial and industrial loans and owner-occupied commercial real estate loans.</w:t>
      </w:r>
    </w:p>
    <w:p>
      <w:pPr>
        <w:spacing w:after="0" w:line="20" w:lineRule="exact"/>
        <w:rPr>
          <w:rFonts w:ascii="Times New Roman" w:cs="Times New Roman" w:eastAsia="Times New Roman" w:hAnsi="Times New Roman"/>
          <w:sz w:val="21"/>
          <w:szCs w:val="21"/>
          <w:color w:val="auto"/>
          <w:vertAlign w:val="superscript"/>
        </w:rPr>
      </w:pPr>
    </w:p>
    <w:p>
      <w:pPr>
        <w:ind w:left="220" w:hanging="170"/>
        <w:spacing w:after="0" w:line="181" w:lineRule="auto"/>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mortgage escrow deposits.</w:t>
      </w:r>
    </w:p>
    <w:p>
      <w:pPr>
        <w:spacing w:after="0" w:line="20" w:lineRule="exact"/>
        <w:rPr>
          <w:rFonts w:ascii="Times New Roman" w:cs="Times New Roman" w:eastAsia="Times New Roman" w:hAnsi="Times New Roman"/>
          <w:sz w:val="21"/>
          <w:szCs w:val="21"/>
          <w:color w:val="auto"/>
          <w:vertAlign w:val="superscript"/>
        </w:rPr>
      </w:pPr>
    </w:p>
    <w:p>
      <w:pPr>
        <w:ind w:left="220" w:hanging="170"/>
        <w:spacing w:after="0" w:line="181" w:lineRule="auto"/>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Amounts are net of deferred origination costs/(fees) and allowance for credit losses, and include loans held for sale.</w:t>
      </w:r>
    </w:p>
    <w:p>
      <w:pPr>
        <w:spacing w:after="0" w:line="20" w:lineRule="exact"/>
        <w:rPr>
          <w:rFonts w:ascii="Times New Roman" w:cs="Times New Roman" w:eastAsia="Times New Roman" w:hAnsi="Times New Roman"/>
          <w:sz w:val="21"/>
          <w:szCs w:val="21"/>
          <w:color w:val="auto"/>
          <w:vertAlign w:val="superscript"/>
        </w:rPr>
      </w:pPr>
    </w:p>
    <w:p>
      <w:pPr>
        <w:ind w:left="60" w:right="79" w:hanging="10"/>
        <w:spacing w:after="0" w:line="200" w:lineRule="auto"/>
        <w:tabs>
          <w:tab w:leader="none" w:pos="234"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220" w:hanging="170"/>
        <w:spacing w:after="0" w:line="181" w:lineRule="auto"/>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Net interest margin represents net interest income divided by average-interest earning assets.</w:t>
      </w:r>
    </w:p>
    <w:p>
      <w:pPr>
        <w:spacing w:after="0" w:line="6" w:lineRule="exact"/>
        <w:rPr>
          <w:rFonts w:ascii="Times New Roman" w:cs="Times New Roman" w:eastAsia="Times New Roman" w:hAnsi="Times New Roman"/>
          <w:sz w:val="21"/>
          <w:szCs w:val="21"/>
          <w:color w:val="auto"/>
          <w:vertAlign w:val="superscript"/>
        </w:rPr>
      </w:pPr>
    </w:p>
    <w:p>
      <w:pPr>
        <w:jc w:val="both"/>
        <w:ind w:left="60" w:right="59" w:hanging="10"/>
        <w:spacing w:after="0" w:line="199" w:lineRule="auto"/>
        <w:tabs>
          <w:tab w:leader="none" w:pos="23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September 30, 2024, the loan portfolio included a fair value hedge basis point adjustment to the carrying amount of hedged owner-occupied commercial real estate in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148"/>
        </w:trPr>
        <w:tc>
          <w:tcPr>
            <w:tcW w:w="22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36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Nine Months Ended September 30, 2023</w:t>
            </w:r>
          </w:p>
        </w:tc>
      </w:tr>
      <w:tr>
        <w:trPr>
          <w:trHeight w:val="173"/>
        </w:trPr>
        <w:tc>
          <w:tcPr>
            <w:tcW w:w="22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2"/>
                <w:szCs w:val="12"/>
                <w:color w:val="auto"/>
              </w:rPr>
            </w:pPr>
          </w:p>
        </w:tc>
        <w:tc>
          <w:tcPr>
            <w:tcW w:w="96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Pr>
          <w:p>
            <w:pPr>
              <w:spacing w:after="0"/>
              <w:rPr>
                <w:sz w:val="12"/>
                <w:szCs w:val="12"/>
                <w:color w:val="auto"/>
              </w:rPr>
            </w:pP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55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10,167</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9,856</w:t>
            </w:r>
          </w:p>
        </w:tc>
        <w:tc>
          <w:tcPr>
            <w:tcW w:w="20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20,023</w:t>
            </w:r>
          </w:p>
        </w:tc>
        <w:tc>
          <w:tcPr>
            <w:tcW w:w="2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including condo and coop</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3,138</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5,320</w:t>
            </w: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(5,063)</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4,013</w:t>
            </w:r>
          </w:p>
        </w:tc>
        <w:tc>
          <w:tcPr>
            <w:tcW w:w="2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8,011</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(4,215)</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(4,362)</w:t>
            </w:r>
          </w:p>
        </w:tc>
        <w:tc>
          <w:tcPr>
            <w:tcW w:w="20" w:type="dxa"/>
            <w:vAlign w:val="bottom"/>
          </w:tcPr>
          <w:p>
            <w:pPr>
              <w:spacing w:after="0"/>
              <w:rPr>
                <w:sz w:val="12"/>
                <w:szCs w:val="12"/>
                <w:color w:val="auto"/>
              </w:rPr>
            </w:pPr>
          </w:p>
        </w:tc>
      </w:tr>
      <w:tr>
        <w:trPr>
          <w:trHeight w:val="149"/>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(1,772)</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2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r>
      <w:tr>
        <w:trPr>
          <w:trHeight w:val="142"/>
        </w:trPr>
        <w:tc>
          <w:tcPr>
            <w:tcW w:w="556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32,677</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34,062</w:t>
            </w:r>
          </w:p>
        </w:tc>
        <w:tc>
          <w:tcPr>
            <w:tcW w:w="20" w:type="dxa"/>
            <w:vAlign w:val="bottom"/>
          </w:tcPr>
          <w:p>
            <w:pPr>
              <w:spacing w:after="0"/>
              <w:rPr>
                <w:sz w:val="12"/>
                <w:szCs w:val="12"/>
                <w:color w:val="auto"/>
              </w:rPr>
            </w:pPr>
          </w:p>
        </w:tc>
      </w:tr>
      <w:tr>
        <w:trPr>
          <w:trHeight w:val="142"/>
        </w:trPr>
        <w:tc>
          <w:tcPr>
            <w:tcW w:w="55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(1,836)</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20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26,109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44,263</w:t>
            </w: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w:t>
            </w:r>
          </w:p>
        </w:tc>
        <w:tc>
          <w:tcPr>
            <w:tcW w:w="20" w:type="dxa"/>
            <w:vAlign w:val="bottom"/>
          </w:tcPr>
          <w:p>
            <w:pPr>
              <w:spacing w:after="0"/>
              <w:rPr>
                <w:sz w:val="12"/>
                <w:szCs w:val="12"/>
                <w:color w:val="auto"/>
              </w:rPr>
            </w:pPr>
          </w:p>
        </w:tc>
      </w:tr>
      <w:tr>
        <w:trPr>
          <w:trHeight w:val="149"/>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(16,405)</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(3,644)</w:t>
            </w: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(20,049)</w:t>
            </w:r>
          </w:p>
        </w:tc>
        <w:tc>
          <w:tcPr>
            <w:tcW w:w="2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1,805</w:t>
            </w:r>
          </w:p>
        </w:tc>
        <w:tc>
          <w:tcPr>
            <w:tcW w:w="20" w:type="dxa"/>
            <w:vAlign w:val="bottom"/>
          </w:tcPr>
          <w:p>
            <w:pPr>
              <w:spacing w:after="0"/>
              <w:rPr>
                <w:sz w:val="12"/>
                <w:szCs w:val="12"/>
                <w:color w:val="auto"/>
              </w:rPr>
            </w:pPr>
          </w:p>
        </w:tc>
      </w:tr>
      <w:tr>
        <w:trPr>
          <w:trHeight w:val="148"/>
        </w:trPr>
        <w:tc>
          <w:tcPr>
            <w:tcW w:w="55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0" w:type="dxa"/>
            <w:vAlign w:val="bottom"/>
          </w:tcPr>
          <w:p>
            <w:pPr>
              <w:spacing w:after="0"/>
              <w:rPr>
                <w:sz w:val="12"/>
                <w:szCs w:val="12"/>
                <w:color w:val="auto"/>
              </w:rPr>
            </w:pPr>
          </w:p>
        </w:tc>
      </w:tr>
      <w:tr>
        <w:trPr>
          <w:trHeight w:val="148"/>
        </w:trPr>
        <w:tc>
          <w:tcPr>
            <w:tcW w:w="55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0" w:type="dxa"/>
            <w:vAlign w:val="bottom"/>
          </w:tcPr>
          <w:p>
            <w:pPr>
              <w:spacing w:after="0"/>
              <w:rPr>
                <w:sz w:val="12"/>
                <w:szCs w:val="12"/>
                <w:color w:val="auto"/>
              </w:rPr>
            </w:pPr>
          </w:p>
        </w:tc>
      </w:tr>
      <w:tr>
        <w:trPr>
          <w:trHeight w:val="142"/>
        </w:trPr>
        <w:tc>
          <w:tcPr>
            <w:tcW w:w="556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49,908</w:t>
            </w:r>
          </w:p>
        </w:tc>
        <w:tc>
          <w:tcPr>
            <w:tcW w:w="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49,556</w:t>
            </w:r>
          </w:p>
        </w:tc>
        <w:tc>
          <w:tcPr>
            <w:tcW w:w="20" w:type="dxa"/>
            <w:vAlign w:val="bottom"/>
          </w:tcPr>
          <w:p>
            <w:pPr>
              <w:spacing w:after="0"/>
              <w:rPr>
                <w:sz w:val="12"/>
                <w:szCs w:val="12"/>
                <w:color w:val="auto"/>
              </w:rPr>
            </w:pPr>
          </w:p>
        </w:tc>
      </w:tr>
      <w:tr>
        <w:trPr>
          <w:trHeight w:val="142"/>
        </w:trPr>
        <w:tc>
          <w:tcPr>
            <w:tcW w:w="55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1,737</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(17,231)</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(15,494)</w:t>
            </w:r>
          </w:p>
        </w:tc>
        <w:tc>
          <w:tcPr>
            <w:tcW w:w="2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2" w:lineRule="exact"/>
        <w:rPr>
          <w:sz w:val="20"/>
          <w:szCs w:val="20"/>
          <w:color w:val="auto"/>
        </w:rPr>
      </w:pPr>
    </w:p>
    <w:p>
      <w:pPr>
        <w:ind w:left="240" w:hanging="190"/>
        <w:spacing w:after="0"/>
        <w:tabs>
          <w:tab w:leader="none" w:pos="24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and owner-occupied commercial real estate loans.</w:t>
      </w:r>
    </w:p>
    <w:p>
      <w:pPr>
        <w:spacing w:after="0" w:line="10" w:lineRule="exact"/>
        <w:rPr>
          <w:rFonts w:ascii="Times New Roman" w:cs="Times New Roman" w:eastAsia="Times New Roman" w:hAnsi="Times New Roman"/>
          <w:sz w:val="24"/>
          <w:szCs w:val="24"/>
          <w:color w:val="auto"/>
          <w:vertAlign w:val="superscript"/>
        </w:rPr>
      </w:pPr>
    </w:p>
    <w:p>
      <w:pPr>
        <w:ind w:left="240" w:hanging="190"/>
        <w:spacing w:after="0" w:line="182" w:lineRule="auto"/>
        <w:tabs>
          <w:tab w:leader="none" w:pos="2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$227.0 million during the nine months ended September 30, 2024,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$15.5 million from the nine months ended September 30, 2023. Average interest-earning assets were $12.79 billion for the nine months ended September 30, 2024, a decrease of $62.5 million from $12.85 billion for the nine months ended September 30, 2023. Net interest margin was 2.37% during the nine months ended September 30, 2024, down from 2.52% during the nine months ended September 30, 2023.</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$484.7 million during the nine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$450.6 million during the nine months ended September 30, 2023. During the nine months ended September 30, 2024, interest income increased $34.1 million from the nine months ended September 30, 2023, primarily reflecting increases in interest income of $20.0 million on business loans, $7.9 million on non-owner-occupied loans, $5.3 million on one-to-four family loans, $4.0 million on multifamily loans, and $2.0 million on other short-term investments.</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increased interest income on business loans was due to a $199.7 million increase in the average balance and a 56-basis point increase in the yield of such loans in the period. The increased interest income on non-owner-occupied loan income was related to a 32-basis point increase in the yield, partially offset by a decrease of $3.6 million in average balances of such loans in the period. The increased interest income on multifamily loans was related to a 30-basis point increase in the yield, partially offset by a decrease of $151.1 million in the average balances of such loans in the period. The increased interest income on one-to-four family loans was related to a 48-basis point increase in the yield and a $66.5 million increase in the average balances of such loans in the period. The increased interest income on short-term investments was related to a 51-basis point increase in the yield and a $7.2 million increase in the average balances of such short-term investments in the period. Increased yields on interest-earning assets were a result of the rising interest rate environment.</w:t>
      </w:r>
    </w:p>
    <w:p>
      <w:pPr>
        <w:spacing w:after="0" w:line="18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$257.7 million during the nine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$208.2 million during the nine months ended September 30, 2023. During the nine months ended September 30, 2024, interest expense increased $49.5 million, primarily reflecting an increase in interest expense of $67.6 million on deposits, an increase of $1.8 million on subordinated debt and an increase of $340 thousand in the interest expense on derivative cash collateral, partially offset by a $20.0 million decrease in interest expense on FHLBNY advances. The increased interest expense on deposits primarily reflects a 110-basis point increase in rates paid on money market accounts and 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$746.1 million increase in average balances of such deposits, a 83-basis point increase in rates paid on savings accounts, partially offset by a decrease of $47.9 million in average balances of such deposits, and a 91-basis point increase in rates paid on CDs and an increase of $22.8 million in average balances of such deposits. The increased interest expense on subordinated debt was due to a $24.5 million increase in the average balance of such debt and a 51-basis point increase in the cost of subordinated debt in the period. The increased interest expense on derivative cash collateral reflects 97-basis point increase in rates paid on derivative cash collateral, partially offset by a decrease of $15.5 million in average balances of such cash collateral. The decreased interest expense on FHLBNY advances was due to a $514.0 million decrease in the average balance of such advances and a 48-basis point decrease in the cost of such FHLBNY advances in the period</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 increases in interest expenses on money market accounts, saving accounts and CDs were primarily due to price competition among banks and other financial institutions and the rising interest rate environment.</w:t>
      </w:r>
    </w:p>
    <w:p>
      <w:pPr>
        <w:spacing w:after="0" w:line="19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$22.4 million during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a credit loss recovery of $950 thousand for the nine months ended September 30, 2023. The $22.4 million credit loss provision for the nine months ended September 30, 2024, was primarily associated with increased provisioning for the Bank’s business and multifamily loan portfolios. The $950 thousand credit loss recovery for the nine months ended September 30, 2023 was primarily associated with a reduction in reserves on pooled PCD loans that were acquired as part of the Company’s 2021 Merger.</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$29.9 million during the nine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$27.3 million during the nine months ended September 30, 2023. During the nine months ended September 30, 2024, non-interest income increased $2.6 million from the nine months ended September 30, 2023. The increase was primarily due to an increase of $6.7 million from a gain on sale of the Bank’s premises, partially offset by a decrease of $4.7 million related to loan level derivative income. In addition, the prior period included $1.4 million of net losses on sale of securities.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$165.9 million during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$159.2 million during the nine months ended September 30, 2023. During the nine months ended September 30, 2024, non-interest expense increased $6.8 million from the nine months ended September 30, 2023, primarily due to a $13.3 million increase in salaries and employee benefits, partially offset by a $9.0 million decrease in severance expense.</w:t>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Non-interest expense was 1.63% and 1.56% of average assets during the nine months ended September 30, 2024 and 2023, respectively.</w:t>
      </w:r>
    </w:p>
    <w:p>
      <w:pPr>
        <w:spacing w:after="0" w:line="160"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$19.0 million during the nine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tax expense of $31.8 million during the nine months ended September 30, 2023. The reported effective tax rate for the nine months ended September 30, 2024, was 27.8%, and 28.5% for the nine months ended September 30, 2023.</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were presented at December 31, 2023 in Item 7A of the Holding Company’s Annual Report on Form 10-K, filed with the SEC on February 22, 2024. The following is an update of the discussion provided therein.</w:t>
      </w:r>
    </w:p>
    <w:p>
      <w:pPr>
        <w:spacing w:after="0" w:line="17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Company’s largest component of market risk remains interest rate risk. The Company is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exchange or commodity price risk. During the three and nine months ended September 30, 2024, we conducted zero transactions involving derivative instruments requiring bifurcation in order to hedge interest rate or market risk.</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 Exposure Analysis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Economic Value of Equity (“EVE”) Analysis</w:t>
      </w:r>
      <w:r>
        <w:rPr>
          <w:rFonts w:ascii="Times New Roman" w:cs="Times New Roman" w:eastAsia="Times New Roman" w:hAnsi="Times New Roman"/>
          <w:sz w:val="18"/>
          <w:szCs w:val="18"/>
          <w:color w:val="auto"/>
        </w:rPr>
        <w:t>. In accordance with agency regulatory guidelines, the Company simulates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interest rate volatility upon EVE using several interest rate scenarios. EVE is the difference between the present value of the expected future cash flows of the Company’s assets and liabilities and the value of any off-balance sheet items, such as derivatives, if applicable.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In addition, the Company considers the amount of fee protection inherent in the loan portfolio when estimating future repayment cash flows.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analysis that follows presents, as of September 30, 2024 and December 31, 2023, the estimated EVE at both the Pre-Shock Scenario and the -200 Basis Point, -100 Basis Point, +100 Basis Point, and +200 Basis Point Rate Shock Scenarios.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8"/>
                <w:szCs w:val="18"/>
                <w:color w:val="auto"/>
              </w:rPr>
            </w:pPr>
          </w:p>
        </w:tc>
      </w:tr>
      <w:tr>
        <w:trPr>
          <w:trHeight w:val="183"/>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5"/>
                <w:szCs w:val="15"/>
                <w:color w:val="auto"/>
              </w:rPr>
            </w:pPr>
          </w:p>
        </w:tc>
      </w:tr>
      <w:tr>
        <w:trPr>
          <w:trHeight w:val="215"/>
        </w:trPr>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EVE</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EVE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r>
      <w:tr>
        <w:trPr>
          <w:trHeight w:val="19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Shock Scenarios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$ 1,699,789</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162,618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12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color w:val="auto"/>
              </w:rPr>
              <w:t xml:space="preserve">  $ 1,414,548</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79,745</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1,662,650</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125,479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1,375,777</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40,974</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Pre-Shock Scenario</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1,537,171</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1,334,803</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1,418,589</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(118,582)</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4"/>
              <w:spacing w:after="0" w:line="297" w:lineRule="exact"/>
              <w:rPr>
                <w:sz w:val="20"/>
                <w:szCs w:val="20"/>
                <w:color w:val="auto"/>
              </w:rPr>
            </w:pPr>
            <w:r>
              <w:rPr>
                <w:rFonts w:ascii="Times New Roman" w:cs="Times New Roman" w:eastAsia="Times New Roman" w:hAnsi="Times New Roman"/>
                <w:sz w:val="16"/>
                <w:szCs w:val="16"/>
                <w:b w:val="1"/>
                <w:bCs w:val="1"/>
                <w:color w:val="auto"/>
              </w:rPr>
              <w:t xml:space="preserve">(7.7) </w:t>
            </w:r>
            <w:r>
              <w:rPr>
                <w:rFonts w:ascii="Times New Roman" w:cs="Times New Roman" w:eastAsia="Times New Roman" w:hAnsi="Times New Roman"/>
                <w:sz w:val="28"/>
                <w:szCs w:val="28"/>
                <w:b w:val="1"/>
                <w:bCs w:val="1"/>
                <w:color w:val="auto"/>
                <w:vertAlign w:val="subscript"/>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1,247,956</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(86,847)</w:t>
            </w:r>
          </w:p>
        </w:tc>
        <w:tc>
          <w:tcPr>
            <w:tcW w:w="100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28"/>
                <w:szCs w:val="28"/>
                <w:color w:val="auto"/>
                <w:vertAlign w:val="subscript"/>
              </w:rPr>
              <w:t>%</w:t>
            </w:r>
          </w:p>
        </w:tc>
      </w:tr>
      <w:tr>
        <w:trPr>
          <w:trHeight w:val="38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1,202,625</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(334,546)</w:t>
            </w:r>
          </w:p>
        </w:tc>
        <w:tc>
          <w:tcPr>
            <w:tcW w:w="120" w:type="dxa"/>
            <w:vAlign w:val="bottom"/>
          </w:tcPr>
          <w:p>
            <w:pPr>
              <w:spacing w:after="0"/>
              <w:rPr>
                <w:sz w:val="24"/>
                <w:szCs w:val="24"/>
                <w:color w:val="auto"/>
              </w:rPr>
            </w:pPr>
          </w:p>
        </w:tc>
        <w:tc>
          <w:tcPr>
            <w:tcW w:w="9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xml:space="preserve">(21.8) </w:t>
            </w:r>
            <w:r>
              <w:rPr>
                <w:rFonts w:ascii="Times New Roman" w:cs="Times New Roman" w:eastAsia="Times New Roman" w:hAnsi="Times New Roman"/>
                <w:sz w:val="28"/>
                <w:szCs w:val="28"/>
                <w:b w:val="1"/>
                <w:bCs w:val="1"/>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1,112,110</w:t>
            </w: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(222,693)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(16.7) </w:t>
            </w:r>
            <w:r>
              <w:rPr>
                <w:rFonts w:ascii="Times New Roman" w:cs="Times New Roman" w:eastAsia="Times New Roman" w:hAnsi="Times New Roman"/>
                <w:sz w:val="28"/>
                <w:szCs w:val="28"/>
                <w:color w:val="auto"/>
                <w:vertAlign w:val="subscript"/>
              </w:rPr>
              <w:t>%</w:t>
            </w:r>
          </w:p>
        </w:tc>
      </w:tr>
    </w:tbl>
    <w:p>
      <w:pPr>
        <w:spacing w:after="0" w:line="11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Pre-Shock Scenario EVE increased from $1.33 billion at December 31, 2023 to $1.54 billion at September 30, 2024. The primary factor contributing to the increase in EVE is an increase in the value of the Bank’s non-maturity deposit base.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EVE in the +100 Basis Point Rate and +200 Basis Point Rate Shock Scenarios increased from $1.38 billion and $1.41 billion, respectively, at December 31, 2023, to $1.66 billion and $1.70 billion, respectively, at September 30, 2024. In the -100 Basis Point Rate and -200 Basis Point Rate Shock Scenario the Company’s EVE increased from $1.25 billion and $1.11 billion, respectively, at December 31, 2023, to $1.42 billion and $1.20 billion, respectively, at September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Income Simulation Analysis</w:t>
      </w:r>
      <w:r>
        <w:rPr>
          <w:rFonts w:ascii="Times New Roman" w:cs="Times New Roman" w:eastAsia="Times New Roman" w:hAnsi="Times New Roman"/>
          <w:sz w:val="18"/>
          <w:szCs w:val="18"/>
          <w:color w:val="auto"/>
        </w:rPr>
        <w:t>. As of the end of each quarterly period, the Company also monitors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through a net interest income 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over a 12-month period beginning September 30, 2024, for the given rate scenarios: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Gradual Change in Interest rates of:</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tcPr>
          <w:p>
            <w:pPr>
              <w:jc w:val="right"/>
              <w:ind w:right="188"/>
              <w:spacing w:after="0" w:line="202" w:lineRule="exact"/>
              <w:rPr>
                <w:sz w:val="20"/>
                <w:szCs w:val="20"/>
                <w:color w:val="auto"/>
              </w:rPr>
            </w:pPr>
            <w:r>
              <w:rPr>
                <w:rFonts w:ascii="Times New Roman" w:cs="Times New Roman" w:eastAsia="Times New Roman" w:hAnsi="Times New Roman"/>
                <w:sz w:val="14"/>
                <w:szCs w:val="14"/>
                <w:color w:val="auto"/>
              </w:rPr>
              <w:t xml:space="preserve">(0.7) </w:t>
            </w:r>
            <w:r>
              <w:rPr>
                <w:rFonts w:ascii="Times New Roman" w:cs="Times New Roman" w:eastAsia="Times New Roman" w:hAnsi="Times New Roman"/>
                <w:sz w:val="23"/>
                <w:szCs w:val="23"/>
                <w:color w:val="auto"/>
                <w:vertAlign w:val="subscript"/>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also examines the potential impact to net interest income by simulating the impact of instantaneous changes to interest rates. The following table discloses the estimated changes to the Company’s net interest income in various time periods associated with the given interest rate shock scenarios.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2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Shock Scenarios</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9"/>
                <w:szCs w:val="19"/>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9"/>
                <w:szCs w:val="19"/>
                <w:color w:val="auto"/>
              </w:rPr>
            </w:pPr>
          </w:p>
        </w:tc>
      </w:tr>
      <w:tr>
        <w:trPr>
          <w:trHeight w:val="199"/>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tcPr>
          <w:p>
            <w:pPr>
              <w:jc w:val="right"/>
              <w:ind w:right="188"/>
              <w:spacing w:after="0" w:line="202" w:lineRule="exact"/>
              <w:rPr>
                <w:sz w:val="20"/>
                <w:szCs w:val="20"/>
                <w:color w:val="auto"/>
              </w:rPr>
            </w:pPr>
            <w:r>
              <w:rPr>
                <w:rFonts w:ascii="Times New Roman" w:cs="Times New Roman" w:eastAsia="Times New Roman" w:hAnsi="Times New Roman"/>
                <w:sz w:val="14"/>
                <w:szCs w:val="14"/>
                <w:color w:val="auto"/>
              </w:rPr>
              <w:t xml:space="preserve">(0.2) </w:t>
            </w:r>
            <w:r>
              <w:rPr>
                <w:rFonts w:ascii="Times New Roman" w:cs="Times New Roman" w:eastAsia="Times New Roman" w:hAnsi="Times New Roman"/>
                <w:sz w:val="23"/>
                <w:szCs w:val="23"/>
                <w:color w:val="auto"/>
                <w:vertAlign w:val="subscript"/>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28"/>
                <w:szCs w:val="28"/>
                <w:color w:val="auto"/>
                <w:vertAlign w:val="subscript"/>
              </w:rPr>
              <w:t>%</w:t>
            </w:r>
          </w:p>
        </w:tc>
      </w:tr>
    </w:tbl>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of the Company, with the participation of its Principal Executive Officer and Principal Financial Officer, conducted an evaluation of the effectiveness, as of September 30, 2024,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September 30, 2024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September 30, 2024, that has materially affected, or is reasonably likely to materially affect, such controls.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risk factors, see Part 1, Item 1A “Risk Factors” in the Company’s Annual Report on Form 10-K for fiscal year ended December 31, 2023, and Part II, Item 1A “Risk Factors” in our subsequent Quarterly Reports on Form 10-Q, each as filed with the Securities and Exchange Commission.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380" w:right="59" w:hanging="330"/>
        <w:spacing w:after="0" w:line="258" w:lineRule="auto"/>
        <w:tabs>
          <w:tab w:leader="none" w:pos="3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September 30, 2024, there were 1,566,947 shares remaining to be purchased in the program. There were no repurchases of common stock during the quarter ended September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00" w:type="dxa"/>
            <w:vAlign w:val="bottom"/>
            <w:gridSpan w:val="1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7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Restated Certificate of Incorporation of the Registrant (incorporated by reference to Exhibit 3.1 to the</w:t>
              </w:r>
            </w:hyperlink>
          </w:p>
        </w:tc>
        <w:tc>
          <w:tcPr>
            <w:tcW w:w="700" w:type="dxa"/>
            <w:vAlign w:val="bottom"/>
            <w:gridSpan w:val="6"/>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Registrant’s Current Report on Form 8-K, filed February 2, 2021 (File No. 001-34096))</w:t>
              </w:r>
            </w:hyperlink>
          </w:p>
        </w:tc>
        <w:tc>
          <w:tcPr>
            <w:tcW w:w="1700" w:type="dxa"/>
            <w:vAlign w:val="bottom"/>
            <w:gridSpan w:val="8"/>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Amended and Restated Bylaws of Dime Community Bancshares, Inc. (incorporated by reference to Exhibit 3.2</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to the Registrant’s Current Report on Form 8-K, filed October 25, 2024 (File No. 001-34096))</w:t>
              </w:r>
            </w:hyperlink>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7"/>
                <w:szCs w:val="17"/>
                <w:color w:val="auto"/>
              </w:rPr>
            </w:pPr>
          </w:p>
        </w:tc>
        <w:tc>
          <w:tcPr>
            <w:tcW w:w="7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Indenture, dated May 6, 2022, between Dime Community Bancshares, Inc. and Wilmington Trust National</w:t>
              </w:r>
            </w:hyperlink>
          </w:p>
        </w:tc>
        <w:tc>
          <w:tcPr>
            <w:tcW w:w="32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Association, as trustee (incorporated by reference to Exhibit 4.1 to the Registrant’s Current Report on Form 8-</w:t>
              </w:r>
            </w:hyperlink>
          </w:p>
        </w:tc>
        <w:tc>
          <w:tcPr>
            <w:tcW w:w="8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K, filed May 6, 2022 (File No. 001-34096))</w:t>
              </w:r>
            </w:hyperlink>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First Supplemental Indenture, dated May 6, 2022, between Dime Community Bancshares, Inc. and Wilmington</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Trust National Association, as trustee (incorporated by reference to Exhibit 4.2 to the Registrant’s Current</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Report on Form 8-K, filed May 6, 2022 (File No. 001-34096))</w:t>
              </w:r>
            </w:hyperlink>
          </w:p>
        </w:tc>
        <w:tc>
          <w:tcPr>
            <w:tcW w:w="3120" w:type="dxa"/>
            <w:vAlign w:val="bottom"/>
            <w:tcBorders>
              <w:top w:val="single" w:sz="8" w:color="0000EE"/>
            </w:tcBorders>
            <w:gridSpan w:val="8"/>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7"/>
                <w:szCs w:val="17"/>
                <w:color w:val="auto"/>
              </w:rPr>
            </w:pPr>
          </w:p>
        </w:tc>
        <w:tc>
          <w:tcPr>
            <w:tcW w:w="74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Second Supplemental Indenture, dated June 28, 2024, between Dime Community Bancshares, Inc. and</w:t>
              </w:r>
            </w:hyperlink>
          </w:p>
        </w:tc>
        <w:tc>
          <w:tcPr>
            <w:tcW w:w="620" w:type="dxa"/>
            <w:vAlign w:val="bottom"/>
            <w:gridSpan w:val="5"/>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Wilmington Trust National Association, as trustee (incorporated by reference to Exhibit 4.2 to the Registrant’s</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Current Report on Form 8-K, filed June 28, 2024 (File No. 001-34096))</w:t>
              </w:r>
            </w:hyperlink>
          </w:p>
        </w:tc>
        <w:tc>
          <w:tcPr>
            <w:tcW w:w="276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7"/>
                <w:szCs w:val="17"/>
                <w:color w:val="auto"/>
              </w:rPr>
            </w:pPr>
          </w:p>
        </w:tc>
        <w:tc>
          <w:tcPr>
            <w:tcW w:w="8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w:t>
            </w:r>
          </w:p>
        </w:tc>
        <w:tc>
          <w:tcPr>
            <w:tcW w:w="40" w:type="dxa"/>
            <w:vAlign w:val="bottom"/>
            <w:tcBorders>
              <w:top w:val="single" w:sz="8" w:color="0000EE"/>
            </w:tcBorders>
          </w:tcPr>
          <w:p>
            <w:pPr>
              <w:spacing w:after="0"/>
              <w:rPr>
                <w:sz w:val="17"/>
                <w:szCs w:val="17"/>
                <w:color w:val="auto"/>
              </w:rPr>
            </w:pPr>
          </w:p>
        </w:tc>
        <w:tc>
          <w:tcPr>
            <w:tcW w:w="2920" w:type="dxa"/>
            <w:vAlign w:val="bottom"/>
            <w:gridSpan w:val="10"/>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7"/>
                <w:szCs w:val="17"/>
                <w:color w:val="auto"/>
              </w:rPr>
            </w:pPr>
          </w:p>
        </w:tc>
        <w:tc>
          <w:tcPr>
            <w:tcW w:w="8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Rule 13a-14(b) and 18 U.S.C.</w:t>
            </w: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1350</w:t>
            </w:r>
          </w:p>
        </w:tc>
        <w:tc>
          <w:tcPr>
            <w:tcW w:w="80" w:type="dxa"/>
            <w:vAlign w:val="bottom"/>
            <w:gridSpan w:val="2"/>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920" w:right="179" w:hanging="864"/>
        <w:spacing w:after="0" w:line="255"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Dime Community Bancshares, Inc.'s Quarterly Report on Form 10-Q for the Quarter Ended September 30, 2024, filed on November 5, 2024, formatted in XBRL: (i) Consolidated Statements of Financial Condition as of September 30, 2024 and December 31, 2023, (ii) Consolidated Statements of Operations for the Three and Nine Months Ended September 30, 2024 and 2023,</w:t>
      </w:r>
    </w:p>
    <w:p>
      <w:pPr>
        <w:spacing w:after="0" w:line="2"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Consolidated Statements of Comprehensive Income for the Three and Nine Months Ended September 30,</w:t>
      </w:r>
    </w:p>
    <w:tbl>
      <w:tblPr>
        <w:tblLayout w:type="fixed"/>
        <w:tblInd w:w="6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2024 and 2023, (iv) Consolidated Statements of Stockholders' Equity for the Three and Nine Months Ended</w:t>
            </w:r>
          </w:p>
        </w:tc>
      </w:tr>
      <w:tr>
        <w:trPr>
          <w:trHeight w:val="216"/>
        </w:trPr>
        <w:tc>
          <w:tcPr>
            <w:tcW w:w="76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2024 and 2023, (v) Consolidated Statements of Cash Flows for the Nine Months Ended</w:t>
            </w:r>
          </w:p>
        </w:tc>
      </w:tr>
      <w:tr>
        <w:trPr>
          <w:trHeight w:val="216"/>
        </w:trPr>
        <w:tc>
          <w:tcPr>
            <w:tcW w:w="76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September 30, 2024 and 2023, and (vi) the Condensed Notes to Consolidated Financial Statements.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to this Quarterly Report on Form 10-Q,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Dime Community Bancshares, Inc.</w:t>
            </w:r>
          </w:p>
        </w:tc>
      </w:tr>
      <w:tr>
        <w:trPr>
          <w:trHeight w:val="41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2024</w:t>
            </w:r>
          </w:p>
        </w:tc>
        <w:tc>
          <w:tcPr>
            <w:tcW w:w="33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/s/ Stuart H. Lubow</w:t>
            </w:r>
          </w:p>
        </w:tc>
      </w:tr>
      <w:tr>
        <w:trPr>
          <w:trHeight w:val="191"/>
        </w:trPr>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Stuart H. Lubow</w:t>
            </w:r>
          </w:p>
        </w:tc>
        <w:tc>
          <w:tcPr>
            <w:tcW w:w="40" w:type="dxa"/>
            <w:vAlign w:val="bottom"/>
          </w:tcPr>
          <w:p>
            <w:pPr>
              <w:spacing w:after="0"/>
              <w:rPr>
                <w:sz w:val="16"/>
                <w:szCs w:val="16"/>
                <w:color w:val="auto"/>
              </w:rPr>
            </w:pPr>
          </w:p>
        </w:tc>
      </w:tr>
      <w:tr>
        <w:trPr>
          <w:trHeight w:val="216"/>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w:t>
            </w:r>
          </w:p>
        </w:tc>
      </w:tr>
      <w:tr>
        <w:trPr>
          <w:trHeight w:val="234"/>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2024</w:t>
            </w:r>
          </w:p>
        </w:tc>
        <w:tc>
          <w:tcPr>
            <w:tcW w:w="33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By: /s/ Avinash Reddy</w:t>
            </w:r>
          </w:p>
        </w:tc>
      </w:tr>
      <w:tr>
        <w:trPr>
          <w:trHeight w:val="191"/>
        </w:trPr>
        <w:tc>
          <w:tcPr>
            <w:tcW w:w="2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Avinash Reddy</w:t>
            </w:r>
          </w:p>
        </w:tc>
        <w:tc>
          <w:tcPr>
            <w:tcW w:w="40" w:type="dxa"/>
            <w:vAlign w:val="bottom"/>
          </w:tcPr>
          <w:p>
            <w:pPr>
              <w:spacing w:after="0"/>
              <w:rPr>
                <w:sz w:val="16"/>
                <w:szCs w:val="16"/>
                <w:color w:val="auto"/>
              </w:rPr>
            </w:pPr>
          </w:p>
        </w:tc>
      </w:tr>
      <w:tr>
        <w:trPr>
          <w:trHeight w:val="216"/>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16"/>
        </w:trPr>
        <w:tc>
          <w:tcPr>
            <w:tcW w:w="2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7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 PURSUANT TO RULE 13a-14(a)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Stuart H. Lubow, certify that:</w:t>
      </w:r>
    </w:p>
    <w:p>
      <w:pPr>
        <w:spacing w:after="0" w:line="225" w:lineRule="exact"/>
        <w:rPr>
          <w:sz w:val="20"/>
          <w:szCs w:val="20"/>
          <w:color w:val="auto"/>
        </w:rPr>
      </w:pPr>
    </w:p>
    <w:p>
      <w:pPr>
        <w:ind w:left="540" w:hanging="331"/>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8632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Stuart H. Lubow</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0" w:name="page61"/>
    <w:bookmarkEnd w:id="60"/>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 PURSUANT TO RULE 13a-14(a)</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Avinash Reddy, certify that:</w:t>
      </w:r>
    </w:p>
    <w:p>
      <w:pPr>
        <w:spacing w:after="0" w:line="185" w:lineRule="exact"/>
        <w:rPr>
          <w:sz w:val="20"/>
          <w:szCs w:val="20"/>
          <w:color w:val="auto"/>
        </w:rPr>
      </w:pPr>
    </w:p>
    <w:p>
      <w:pPr>
        <w:ind w:left="540" w:hanging="33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Avinash Reddy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Senior Executive Vice President, Chief Financial Officer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1" w:name="page62"/>
    <w:bookmarkEnd w:id="61"/>
    <w:p>
      <w:pPr>
        <w:ind w:left="768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 RULE 13a-14(b) 18 U.S.C. SECTION 1350,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Dime Community Bancshares, Inc. (the “Company”) on Form 10-Q for the period ended September 30, 2024 as filed with the Securities and Exchange Commission, (the “Report”), we, Stuart H. Lubow, President and Chief Executive Officer of the Company and, Avinash Reddy, Senior Executive Vice President and Chief Financial Officer (Principal Accounting Officer) of the Company, hereby certify, pursuant to 18 U.S.C. Section 1350, as adopted pursuant to Section 906 of the Sarbanes-Oxley Act of 2002, that:</w:t>
      </w:r>
    </w:p>
    <w:p>
      <w:pPr>
        <w:spacing w:after="0" w:line="143" w:lineRule="exact"/>
        <w:rPr>
          <w:sz w:val="20"/>
          <w:szCs w:val="20"/>
          <w:color w:val="auto"/>
        </w:rPr>
      </w:pPr>
    </w:p>
    <w:p>
      <w:pPr>
        <w:ind w:left="860" w:right="239" w:hanging="327"/>
        <w:spacing w:after="0" w:line="282"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860" w:right="239" w:hanging="327"/>
        <w:spacing w:after="0" w:line="282"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H. Lubow</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H. Lubow</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Avinash Reddy</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Avinash Reddy</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and</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6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0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81" Type="http://schemas.openxmlformats.org/officeDocument/2006/relationships/hyperlink" Target="https://www.sec.gov/Archives/edgar/data/846617/000110465921010989/tm214955d1_ex3-1.htm" TargetMode="External"/><Relationship Id="rId82" Type="http://schemas.openxmlformats.org/officeDocument/2006/relationships/hyperlink" Target="https://www.sec.gov/Archives/edgar/data/846617/000094337424000436/ex3-2_8k102424.htm" TargetMode="External"/><Relationship Id="rId83" Type="http://schemas.openxmlformats.org/officeDocument/2006/relationships/hyperlink" Target="https://www.sec.gov/Archives/edgar/data/0000846617/000110465922056846/tm2214585d1_ex4-1.htm" TargetMode="External"/><Relationship Id="rId84" Type="http://schemas.openxmlformats.org/officeDocument/2006/relationships/hyperlink" Target="https://www.sec.gov/Archives/edgar/data/846617/000110465922056846/tm2214585d1_ex4-2.htm" TargetMode="External"/><Relationship Id="rId85" Type="http://schemas.openxmlformats.org/officeDocument/2006/relationships/hyperlink" Target="https://www.sec.gov/Archives/edgar/data/846617/000110465924076292/tm2417725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2024-11-05T15:58:27Z</dcterms:created>
  <dcterms:modified xsi:type="dcterms:W3CDTF">2024-11-05T15:58:27Z</dcterms:modified>
</cp:coreProperties>
</file>