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Dated May 3, 2022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Filed Pursuant to Rule 433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Registration No. 333-264390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Supplementing the Preliminary Prospectus Supplement dated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7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May 3, 2022 (to Prospectus dated April 20, 2022)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-725805</wp:posOffset>
            </wp:positionH>
            <wp:positionV relativeFrom="paragraph">
              <wp:posOffset>8890</wp:posOffset>
            </wp:positionV>
            <wp:extent cx="7216140" cy="57950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371" w:right="29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8013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80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8013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80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77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7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6130925</wp:posOffset>
            </wp:positionV>
            <wp:extent cx="7172960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296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187960</wp:posOffset>
            </wp:positionH>
            <wp:positionV relativeFrom="page">
              <wp:posOffset>341630</wp:posOffset>
            </wp:positionV>
            <wp:extent cx="7216140" cy="579501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140" cy="579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2022-05-03T11:19:21Z</dcterms:created>
  <dcterms:modified xsi:type="dcterms:W3CDTF">2022-05-03T11:19:21Z</dcterms:modified>
</cp:coreProperties>
</file>