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175895</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195580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188595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DIME COMMUNITY BANCSHARES,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175895</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001-34096</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11-2934195</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4"/>
          <w:szCs w:val="24"/>
          <w:color w:val="auto"/>
        </w:rPr>
      </w:pPr>
    </w:p>
    <w:p>
      <w:pPr>
        <w:sectPr>
          <w:pgSz w:w="11900" w:h="16838" w:orient="portrait"/>
          <w:cols w:equalWidth="0" w:num="3">
            <w:col w:w="3860" w:space="720"/>
            <w:col w:w="3380" w:space="720"/>
            <w:col w:w="2560"/>
          </w:cols>
          <w:pgMar w:left="320" w:top="454" w:right="339" w:bottom="1440" w:gutter="0" w:footer="0" w:header="0"/>
          <w:type w:val="continuous"/>
        </w:sectPr>
      </w:pPr>
    </w:p>
    <w:p>
      <w:pPr>
        <w:spacing w:after="0" w:line="30" w:lineRule="exact"/>
        <w:rPr>
          <w:sz w:val="24"/>
          <w:szCs w:val="24"/>
          <w:color w:val="auto"/>
        </w:rPr>
      </w:pPr>
    </w:p>
    <w:p>
      <w:pPr>
        <w:jc w:val="center"/>
        <w:ind w:right="700"/>
        <w:spacing w:after="0"/>
        <w:rPr>
          <w:sz w:val="20"/>
          <w:szCs w:val="20"/>
          <w:color w:val="auto"/>
        </w:rPr>
      </w:pPr>
      <w:r>
        <w:rPr>
          <w:rFonts w:ascii="Arial" w:cs="Arial" w:eastAsia="Arial" w:hAnsi="Arial"/>
          <w:sz w:val="16"/>
          <w:szCs w:val="16"/>
          <w:b w:val="1"/>
          <w:bCs w:val="1"/>
          <w:color w:val="auto"/>
        </w:rPr>
        <w:t>898 Veterans Memorial Highway, Suite 560</w:t>
      </w:r>
    </w:p>
    <w:p>
      <w:pPr>
        <w:spacing w:after="0" w:line="50"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Hauppauge, New York</w:t>
      </w:r>
    </w:p>
    <w:p>
      <w:pPr>
        <w:spacing w:after="0" w:line="9" w:lineRule="exact"/>
        <w:rPr>
          <w:sz w:val="24"/>
          <w:szCs w:val="24"/>
          <w:color w:val="auto"/>
        </w:rPr>
      </w:pPr>
    </w:p>
    <w:p>
      <w:pPr>
        <w:jc w:val="center"/>
        <w:ind w:right="700"/>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jc w:val="center"/>
        <w:ind w:right="1440"/>
        <w:spacing w:after="0"/>
        <w:rPr>
          <w:sz w:val="20"/>
          <w:szCs w:val="20"/>
          <w:color w:val="auto"/>
        </w:rPr>
      </w:pPr>
      <w:r>
        <w:rPr>
          <w:rFonts w:ascii="Arial" w:cs="Arial" w:eastAsia="Arial" w:hAnsi="Arial"/>
          <w:sz w:val="18"/>
          <w:szCs w:val="18"/>
          <w:b w:val="1"/>
          <w:bCs w:val="1"/>
          <w:color w:val="auto"/>
        </w:rPr>
        <w:t>11788</w:t>
      </w:r>
    </w:p>
    <w:p>
      <w:pPr>
        <w:spacing w:after="0" w:line="27" w:lineRule="exact"/>
        <w:rPr>
          <w:sz w:val="24"/>
          <w:szCs w:val="24"/>
          <w:color w:val="auto"/>
        </w:rPr>
      </w:pPr>
    </w:p>
    <w:p>
      <w:pPr>
        <w:jc w:val="center"/>
        <w:ind w:right="1440"/>
        <w:spacing w:after="0"/>
        <w:rPr>
          <w:sz w:val="20"/>
          <w:szCs w:val="20"/>
          <w:color w:val="auto"/>
        </w:rPr>
      </w:pPr>
      <w:r>
        <w:rPr>
          <w:rFonts w:ascii="Arial" w:cs="Arial" w:eastAsia="Arial" w:hAnsi="Arial"/>
          <w:sz w:val="16"/>
          <w:szCs w:val="16"/>
          <w:b w:val="1"/>
          <w:bCs w:val="1"/>
          <w:color w:val="auto"/>
        </w:rPr>
        <w:t>(Zip Code)</w:t>
      </w:r>
    </w:p>
    <w:p>
      <w:pPr>
        <w:spacing w:after="0" w:line="211" w:lineRule="exact"/>
        <w:rPr>
          <w:sz w:val="24"/>
          <w:szCs w:val="24"/>
          <w:color w:val="auto"/>
        </w:rPr>
      </w:pPr>
    </w:p>
    <w:p>
      <w:pPr>
        <w:sectPr>
          <w:pgSz w:w="11900" w:h="16838" w:orient="portrait"/>
          <w:cols w:equalWidth="0" w:num="2">
            <w:col w:w="8260" w:space="720"/>
            <w:col w:w="2260"/>
          </w:cols>
          <w:pgMar w:left="320" w:top="454"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(631) 537-1000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w:t>
      </w:r>
    </w:p>
    <w:p>
      <w:pPr>
        <w:sectPr>
          <w:pgSz w:w="11900" w:h="16838" w:orient="portrait"/>
          <w:cols w:equalWidth="0" w:num="1">
            <w:col w:w="11240"/>
          </w:cols>
          <w:pgMar w:left="320" w:top="454" w:right="3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14"/>
        </w:trPr>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220" w:type="dxa"/>
            <w:vAlign w:val="bottom"/>
          </w:tcPr>
          <w:p>
            <w:pPr>
              <w:spacing w:after="0"/>
              <w:rPr>
                <w:sz w:val="24"/>
                <w:szCs w:val="24"/>
                <w:color w:val="auto"/>
              </w:rPr>
            </w:pPr>
          </w:p>
        </w:tc>
        <w:tc>
          <w:tcPr>
            <w:tcW w:w="4260" w:type="dxa"/>
            <w:vAlign w:val="bottom"/>
          </w:tcPr>
          <w:p>
            <w:pPr>
              <w:spacing w:after="0"/>
              <w:rPr>
                <w:sz w:val="24"/>
                <w:szCs w:val="24"/>
                <w:color w:val="auto"/>
              </w:rPr>
            </w:pPr>
          </w:p>
        </w:tc>
      </w:tr>
      <w:tr>
        <w:trPr>
          <w:trHeight w:val="234"/>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195"/>
        </w:trPr>
        <w:tc>
          <w:tcPr>
            <w:tcW w:w="4280" w:type="dxa"/>
            <w:vAlign w:val="bottom"/>
          </w:tcPr>
          <w:p>
            <w:pPr>
              <w:spacing w:after="0" w:line="195" w:lineRule="exact"/>
              <w:rPr>
                <w:sz w:val="20"/>
                <w:szCs w:val="20"/>
                <w:color w:val="auto"/>
              </w:rPr>
            </w:pPr>
            <w:r>
              <w:rPr>
                <w:rFonts w:ascii="Arial" w:cs="Arial" w:eastAsia="Arial" w:hAnsi="Arial"/>
                <w:sz w:val="18"/>
                <w:szCs w:val="18"/>
                <w:color w:val="auto"/>
              </w:rPr>
              <w:t>Common Stock, $0.01 Par Value</w:t>
            </w:r>
          </w:p>
        </w:tc>
        <w:tc>
          <w:tcPr>
            <w:tcW w:w="240" w:type="dxa"/>
            <w:vAlign w:val="bottom"/>
          </w:tcPr>
          <w:p>
            <w:pPr>
              <w:spacing w:after="0"/>
              <w:rPr>
                <w:sz w:val="16"/>
                <w:szCs w:val="16"/>
                <w:color w:val="auto"/>
              </w:rPr>
            </w:pPr>
          </w:p>
        </w:tc>
        <w:tc>
          <w:tcPr>
            <w:tcW w:w="2240" w:type="dxa"/>
            <w:vAlign w:val="bottom"/>
          </w:tcPr>
          <w:p>
            <w:pPr>
              <w:jc w:val="center"/>
              <w:spacing w:after="0" w:line="195" w:lineRule="exact"/>
              <w:rPr>
                <w:sz w:val="20"/>
                <w:szCs w:val="20"/>
                <w:color w:val="auto"/>
              </w:rPr>
            </w:pPr>
            <w:r>
              <w:rPr>
                <w:rFonts w:ascii="Arial" w:cs="Arial" w:eastAsia="Arial" w:hAnsi="Arial"/>
                <w:sz w:val="18"/>
                <w:szCs w:val="18"/>
                <w:color w:val="auto"/>
                <w:w w:val="98"/>
              </w:rPr>
              <w:t>DCOM</w:t>
            </w:r>
          </w:p>
        </w:tc>
        <w:tc>
          <w:tcPr>
            <w:tcW w:w="220" w:type="dxa"/>
            <w:vAlign w:val="bottom"/>
          </w:tcPr>
          <w:p>
            <w:pPr>
              <w:spacing w:after="0"/>
              <w:rPr>
                <w:sz w:val="16"/>
                <w:szCs w:val="16"/>
                <w:color w:val="auto"/>
              </w:rPr>
            </w:pP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The Nasdaq Stock Market, LLC</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Preferred Stock, Series A, $0.01 Par Value</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DCOMP</w:t>
            </w: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The Nasdaq Stock Market, LLC</w:t>
            </w: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February 1, 2021, Dime Community Bancshares, Inc., a New York corporation previously known as “Bridge Bancorp, Inc.” (the “Company”), completed its merger-of-equals transaction (the “Merger”) with Dime Community Bancshares, Inc., a Delaware corporation (“Legacy Dime”), pursuant to the Agreement and Plan of Merger, dated as of July 1, 2020, by and between the Company and Legacy Dime. At the February 1, 2021 effective time of the Merger (the “Effective Time”), Legacy Dime merged with and into the Company, with the Company as the resulting corporation. At the Effective Time, the Company changed its name from “Bridge Bancorp, Inc.” to “Dime Community Bancshares, Inc.” Immediately following the Merger, Dime Community Bank, a New York-chartered commercial bank and wholly-owned subsidiary of Legacy Dime, merged with and into BNB Bank, a New York-chartered commercial bank and wholly-owned subsidiary of the Company, with BNB Bank as the surviving bank, under the name “Dime Community Bank.”</w:t>
      </w:r>
    </w:p>
    <w:p>
      <w:pPr>
        <w:spacing w:after="0" w:line="16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On February 1, 2021, the Company filed a Current Report on Form 8-K reporting the completion of the Merger (the “Original Report”). This Amendment No. 1 to the Original Report is being filed with the Securities and Exchange Commission (the “Commission”) solely to amend and supplement Item 9.01 of the Original Report, as described in Item 9.01 below. This Amendment No. 1 makes no other amendments to the Original Report.</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Pursuant to General Instruction B.3 of Form 8-K, the audited consolidated financial statements of Legacy Dime as of and for the years ended December 31, 2019 and 2018, including the independent auditor’s report, are not required to be filed by Current Report on Form 8-K, because substantially the same information was previously filed in the Company’s Registration Statement on Form S-4, as originally filed with the Commission on September 14, 2020 (File No. 333-248787) and as thereafter amended (the “Registration Statement”).</w:t>
      </w:r>
    </w:p>
    <w:p>
      <w:pPr>
        <w:spacing w:after="0" w:line="171"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The unaudited consolidated balance sheet of Legacy Dime as of September 30, 2020 and the unaudited consolidated statements of income and cash flows for the nine months ended September 30, 2020 and 2019 are filed herewith as Exhibit 99.1 and are incorporated by reference into this Item 9.01(a).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Pursuant to General Instruction B.3 of Form 8-K, unaudited pro forma combined condensed financial information for the year ended December 31, 2019 is not required to be filed by Current Report on Form 8-K, because substantially the same information was previously filed in the Registration Statement.</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unaudited pro forma combined condensed financial information as of and for the nine months ended September 30, 2020 is filed herewith as Exhibit 99.2 and is incorporated by reference into this Item 9.01(b).</w:t>
      </w:r>
    </w:p>
    <w:p>
      <w:pPr>
        <w:spacing w:after="0" w:line="170"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Shell company transactions. None.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960" w:right="40" w:hanging="642"/>
        <w:spacing w:after="0" w:line="279" w:lineRule="auto"/>
        <w:tabs>
          <w:tab w:leader="none" w:pos="1940" w:val="left"/>
        </w:tabs>
        <w:rPr>
          <w:rFonts w:ascii="Arial" w:cs="Arial" w:eastAsia="Arial" w:hAnsi="Arial"/>
          <w:sz w:val="17"/>
          <w:szCs w:val="17"/>
          <w:u w:val="single" w:color="auto"/>
          <w:color w:val="0000EE"/>
        </w:rPr>
      </w:pPr>
      <w:hyperlink r:id="rId17">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r:id="rId17">
        <w:r>
          <w:rPr>
            <w:rFonts w:ascii="Arial" w:cs="Arial" w:eastAsia="Arial" w:hAnsi="Arial"/>
            <w:sz w:val="17"/>
            <w:szCs w:val="17"/>
            <w:u w:val="single" w:color="auto"/>
            <w:color w:val="0000EE"/>
          </w:rPr>
          <w:t>Dime Community Bancshares, Inc. Unaudited Consolidated Balance Sheet as of September 30, 2020 and Unaudited</w:t>
        </w:r>
      </w:hyperlink>
      <w:r>
        <w:rPr>
          <w:rFonts w:ascii="Arial" w:cs="Arial" w:eastAsia="Arial" w:hAnsi="Arial"/>
          <w:sz w:val="17"/>
          <w:szCs w:val="17"/>
          <w:u w:val="single" w:color="auto"/>
          <w:color w:val="0000EE"/>
        </w:rPr>
        <w:t xml:space="preserve"> </w:t>
      </w:r>
      <w:hyperlink r:id="rId17">
        <w:r>
          <w:rPr>
            <w:rFonts w:ascii="Arial" w:cs="Arial" w:eastAsia="Arial" w:hAnsi="Arial"/>
            <w:sz w:val="17"/>
            <w:szCs w:val="17"/>
            <w:u w:val="single" w:color="auto"/>
            <w:color w:val="0000EE"/>
          </w:rPr>
          <w:t>Consolidated Statements of Income and Cash Flows for the Nine Months Ended September 30, 2020 and 2019 (incorporated by</w:t>
        </w:r>
      </w:hyperlink>
      <w:r>
        <w:rPr>
          <w:rFonts w:ascii="Arial" w:cs="Arial" w:eastAsia="Arial" w:hAnsi="Arial"/>
          <w:sz w:val="17"/>
          <w:szCs w:val="17"/>
          <w:u w:val="single" w:color="auto"/>
          <w:color w:val="0000EE"/>
        </w:rPr>
        <w:t xml:space="preserve"> </w:t>
      </w:r>
      <w:hyperlink r:id="rId17">
        <w:r>
          <w:rPr>
            <w:rFonts w:ascii="Arial" w:cs="Arial" w:eastAsia="Arial" w:hAnsi="Arial"/>
            <w:sz w:val="17"/>
            <w:szCs w:val="17"/>
            <w:u w:val="single" w:color="auto"/>
            <w:color w:val="0000EE"/>
          </w:rPr>
          <w:t>reference to Item 1 of Dime Community Bancshares, Inc.’s Quarterly Report on Form 10-Q for the quarter ended September 30,</w:t>
        </w:r>
      </w:hyperlink>
      <w:r>
        <w:rPr>
          <w:rFonts w:ascii="Arial" w:cs="Arial" w:eastAsia="Arial" w:hAnsi="Arial"/>
          <w:sz w:val="17"/>
          <w:szCs w:val="17"/>
          <w:u w:val="single" w:color="auto"/>
          <w:color w:val="0000EE"/>
        </w:rPr>
        <w:t xml:space="preserve"> </w:t>
      </w:r>
      <w:hyperlink r:id="rId17">
        <w:r>
          <w:rPr>
            <w:rFonts w:ascii="Arial" w:cs="Arial" w:eastAsia="Arial" w:hAnsi="Arial"/>
            <w:sz w:val="17"/>
            <w:szCs w:val="17"/>
            <w:u w:val="single" w:color="auto"/>
            <w:color w:val="0000EE"/>
          </w:rPr>
          <w:t>2020, as filed with the Commission on November 6, 2020 (File No. 001-39211))</w:t>
        </w:r>
      </w:hyperlink>
    </w:p>
    <w:p>
      <w:pPr>
        <w:spacing w:after="0" w:line="171" w:lineRule="exact"/>
        <w:rPr>
          <w:rFonts w:ascii="Arial" w:cs="Arial" w:eastAsia="Arial" w:hAnsi="Arial"/>
          <w:sz w:val="17"/>
          <w:szCs w:val="17"/>
          <w:u w:val="single" w:color="auto"/>
          <w:color w:val="0000EE"/>
        </w:rPr>
      </w:pPr>
    </w:p>
    <w:p>
      <w:pPr>
        <w:ind w:left="1300"/>
        <w:spacing w:after="0"/>
        <w:tabs>
          <w:tab w:leader="none" w:pos="19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Unaudited Pro Forma Combined Condensed Financial Information as of and for the Nine Months Ended September 30, 2020</w:t>
        </w:r>
      </w:hyperlink>
    </w:p>
    <w:p>
      <w:pPr>
        <w:spacing w:after="0" w:line="225" w:lineRule="exact"/>
        <w:rPr>
          <w:sz w:val="20"/>
          <w:szCs w:val="20"/>
          <w:color w:val="auto"/>
        </w:rPr>
      </w:pPr>
    </w:p>
    <w:p>
      <w:pPr>
        <w:ind w:left="1260"/>
        <w:spacing w:after="0"/>
        <w:tabs>
          <w:tab w:leader="none" w:pos="19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DIME COMMUNITY BANCSHARES,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March 8, 2021</w:t>
            </w:r>
          </w:p>
        </w:tc>
        <w:tc>
          <w:tcPr>
            <w:tcW w:w="7620" w:type="dxa"/>
            <w:vAlign w:val="bottom"/>
            <w:gridSpan w:val="2"/>
          </w:tcPr>
          <w:p>
            <w:pPr>
              <w:ind w:left="2020"/>
              <w:spacing w:after="0"/>
              <w:rPr>
                <w:sz w:val="20"/>
                <w:szCs w:val="20"/>
                <w:color w:val="auto"/>
              </w:rPr>
            </w:pPr>
            <w:r>
              <w:rPr>
                <w:rFonts w:ascii="Arial" w:cs="Arial" w:eastAsia="Arial" w:hAnsi="Arial"/>
                <w:sz w:val="18"/>
                <w:szCs w:val="18"/>
                <w:color w:val="auto"/>
              </w:rPr>
              <w:t>By: /s/ Kevin M. O'Connor</w:t>
            </w:r>
          </w:p>
        </w:tc>
      </w:tr>
      <w:tr>
        <w:trPr>
          <w:trHeight w:val="195"/>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M. O'Connor</w:t>
            </w:r>
          </w:p>
        </w:tc>
      </w:tr>
      <w:tr>
        <w:trPr>
          <w:trHeight w:val="230"/>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COMBINED CONDENSED CONSOLIDATED FINANCIAL DATA</w:t>
      </w:r>
    </w:p>
    <w:p>
      <w:pPr>
        <w:spacing w:after="0" w:line="229"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The unaudited pro forma combined condensed consolidated balance sheet combines the historical information of Dime Community Bancshares, Inc., a New York corporation previously known as “Bridge Bancorp, Inc.” (“Bridge”) and Dime Community Bancshares, Inc., a Delaware corporation (“Dime”) as of September 30, 2020 and assumes that the merger of Dime with and into Bridge, with Bridge as the surviving corporation (the “merger”), was completed on that date. The unaudited pro forma combined condensed consolidated income statements combine the historical financial information of Bridge and Dime and give effect to the merger as if it had been completed as of the beginning of the fiscal year ended December 31, 2020.</w:t>
      </w:r>
    </w:p>
    <w:p>
      <w:pPr>
        <w:spacing w:after="0" w:line="16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unaudited pro forma combined condensed consolidated financial information assumes that the merger is accounted for as a reverse acquisition using the acquisition method of accounting, pursuant to FASB Topic 805-10, Business Combinations, with Bridge treated as the legal acquirer and Dime treated as the accounting acquirer. In identifying Dime as the acquiring entity for accounting purposes, Bridge and Dime took into account a number of factors, including the relative voting rights of all equity instruments in the resulting company and the intended corporate governance structure of the resulting company. Following the merger, existing shareholders of Dime control approximately 52.0% of the pro forma voting interests in the resulting company (based on common shares outstanding as of September 30, 2020). However, no single factor was the sole determinant in the overall conclusion that Dime is the acquirer for accounting purposes; rather all factors were considered in arriving at such conclusion. For more information, see the section entitled “</w:t>
      </w:r>
      <w:r>
        <w:rPr>
          <w:rFonts w:ascii="Arial" w:cs="Arial" w:eastAsia="Arial" w:hAnsi="Arial"/>
          <w:sz w:val="16"/>
          <w:szCs w:val="16"/>
          <w:i w:val="1"/>
          <w:iCs w:val="1"/>
          <w:color w:val="auto"/>
        </w:rPr>
        <w:t>The Merger—Accounting Treatment</w:t>
      </w:r>
      <w:r>
        <w:rPr>
          <w:rFonts w:ascii="Arial" w:cs="Arial" w:eastAsia="Arial" w:hAnsi="Arial"/>
          <w:sz w:val="16"/>
          <w:szCs w:val="16"/>
          <w:color w:val="auto"/>
        </w:rPr>
        <w:t>” beginning on page 101 of Bridge’s and Dime’s joint proxy statement/prospectus, as filed with the Securities and Exchange Commission on October 21, 2020 (the “joint proxy statement/prospectus”). Under the acquisition method of accounting, the assets and liabilities of Bridge, as the accounting acquiree, were recorded at their respective fair values as of the date the merger was completed.</w:t>
      </w:r>
    </w:p>
    <w:p>
      <w:pPr>
        <w:spacing w:after="0" w:line="168"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 unaudited pro forma combined condensed consolidated financial information is presented for illustrative purposes only and is not necessarily indicative of the results of operations or financial condition had the merger been completed on the dates described above, nor is it necessarily indicative of the results of operations in future periods or the future financial position of the combined entities. The financial information should be read in conjunction with the accompanying Notes to the Unaudited Pro Forma Combined Condensed Consolidated Financial Information. Certain reclassifications have been made to Bridge’s historical financial information to conform to Dime’s presentation of financial information. In addition, as explained in more detail in the accompanying notes, the preliminary allocation of the pro forma purchase price reflected in the unaudited pro forma combined condensed consolidated financial information is subject to adjustment after the merger was completed and may vary significantly from the actual purchase price allocation that was recorded upon completion of the merger.</w:t>
      </w:r>
    </w:p>
    <w:p>
      <w:pPr>
        <w:spacing w:after="0" w:line="178"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The pro forma financial information includes estimated adjustments, including adjustments to record assets and liabilities of Bridge at their respective fair values and represents the pro forma estimates by Bridge and Dime based on available fair value information as of the date of the merger agreement.</w:t>
      </w:r>
    </w:p>
    <w:p>
      <w:pPr>
        <w:spacing w:after="0" w:line="18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FASB issued ASU No. 2016-13, Financial Instruments – Credit Losses (Topic 326), which requires that the measurement of all expected credit losses for financial assets held at the reporting date be based on historical experience, current condition, and reasonable and supportable forecasts. This standard requires financial institutions and other organizations to use forward-looking information to better inform their credit loss estimates. ASU 2016-13 was effective for both companies as of January 1, 2020. Under Section 4014 of the recently enacted CARES Act, financial institutions that were required to adopt ASU 2016-13 as of January 1, 2020 were provided statutory relief in terms of an option to delay the adoption of the current expected credit losses (“CECL”) framework until the earlier of December 31, 2020 or when the national emergency is lifted. On January 1, 2020, Bridge adopted the CECL framework. Subsequent to its adoption of CECL, Bridge no longer maintains the incurred loss model framework. In accordance with the statutory relief provided under Section 4014 of the CARES Act, Dime elected to defer adoption of CECL and utilized the incurred loss framework as of September 30, 2020. The pro forma balance sheet reflects the allowance for loan losses under the incurred loss framework which was Dime’s methodology as of September 30, 2020. The pro forma income statement for the nine months ended September 30, 2020 reflects provision for Bridge under the CECL framework, as Bridge no longer maintains the incurred loss framework subsequent to the adoption of CECL, and for Dime under the incurred loss framework, as Dime elected to defer the adoption of the CECL framework in accordance with the statutory relief provided under Section 4014 of the CARES Act. As of September 30, 2020, Dime was still in the process of finalizing its CECL calculations as it was developing and updating internal policies, procedures, and key controls over the calculation. Upon Dime’s adoption date of CECL, the resulting company will present its financial statements under the CECL framework. The adoption of CECL requires Dime to recognize a one-time cumulative effect change to the allowance for credit losses on its loan portfolio through retained earnings as of January 1, 2020. Any year-to-date adjustments related to the CECL estimate will be adjusted through the current year income statement. Additionally, CECL requires recognition of an allowance at the closing of the merger for any purchased credit deteriorated (“PCD”) loans from the Bridge loan portfolio. CECL also requires an additional allowance for non-PCD loans from the Bridge portfolio which will be recognized through the income statement of the resulting company following the closing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ind w:firstLine="648"/>
        <w:spacing w:after="0" w:line="259" w:lineRule="auto"/>
        <w:rPr>
          <w:sz w:val="20"/>
          <w:szCs w:val="20"/>
          <w:color w:val="auto"/>
        </w:rPr>
      </w:pPr>
      <w:r>
        <w:rPr>
          <w:rFonts w:ascii="Arial" w:cs="Arial" w:eastAsia="Arial" w:hAnsi="Arial"/>
          <w:sz w:val="18"/>
          <w:szCs w:val="18"/>
          <w:color w:val="auto"/>
        </w:rPr>
        <w:t>The unaudited pro forma combined condensed consolidated financial data, while helpful in illustrating the financial characteristics of the resulting company under one set of assumptions, does not reflect the benefits of expected cost savings or opportunities to earn additional revenue and, accordingly, does not attempt to predict or suggest future results. It also does not necessarily reflect what the historical results of the resulting company would have been had our companies been combined during these periods.</w:t>
      </w:r>
    </w:p>
    <w:p>
      <w:pPr>
        <w:spacing w:after="0" w:line="18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The unaudited pro forma combined condensed consolidated financial information has been derived from and should be read in conjunction with the historical consolidated financial statements and the related notes of Bridge and Dime, which are incorporated into the joint proxy statement/prospectus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Pro Forma Balance Sheet - September 30, 2020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2"/>
          </w:tcPr>
          <w:p>
            <w:pPr>
              <w:jc w:val="right"/>
              <w:ind w:right="960"/>
              <w:spacing w:after="0"/>
              <w:rPr>
                <w:sz w:val="20"/>
                <w:szCs w:val="20"/>
                <w:color w:val="auto"/>
              </w:rPr>
            </w:pPr>
            <w:r>
              <w:rPr>
                <w:rFonts w:ascii="Arial" w:cs="Arial" w:eastAsia="Arial" w:hAnsi="Arial"/>
                <w:sz w:val="16"/>
                <w:szCs w:val="16"/>
                <w:b w:val="1"/>
                <w:bCs w:val="1"/>
                <w:color w:val="auto"/>
              </w:rPr>
              <w:t>Bridge</w:t>
            </w:r>
          </w:p>
        </w:tc>
        <w:tc>
          <w:tcPr>
            <w:tcW w:w="320" w:type="dxa"/>
            <w:vAlign w:val="bottom"/>
          </w:tcPr>
          <w:p>
            <w:pPr>
              <w:spacing w:after="0"/>
              <w:rPr>
                <w:sz w:val="17"/>
                <w:szCs w:val="17"/>
                <w:color w:val="auto"/>
              </w:rPr>
            </w:pPr>
          </w:p>
        </w:tc>
        <w:tc>
          <w:tcPr>
            <w:tcW w:w="1620" w:type="dxa"/>
            <w:vAlign w:val="bottom"/>
            <w:gridSpan w:val="2"/>
          </w:tcPr>
          <w:p>
            <w:pPr>
              <w:jc w:val="right"/>
              <w:ind w:right="1000"/>
              <w:spacing w:after="0"/>
              <w:rPr>
                <w:sz w:val="20"/>
                <w:szCs w:val="20"/>
                <w:color w:val="auto"/>
              </w:rPr>
            </w:pPr>
            <w:r>
              <w:rPr>
                <w:rFonts w:ascii="Arial" w:cs="Arial" w:eastAsia="Arial" w:hAnsi="Arial"/>
                <w:sz w:val="16"/>
                <w:szCs w:val="16"/>
                <w:b w:val="1"/>
                <w:bCs w:val="1"/>
                <w:color w:val="auto"/>
              </w:rPr>
              <w:t>Dime</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Pro Forma Combined</w:t>
            </w:r>
          </w:p>
        </w:tc>
        <w:tc>
          <w:tcPr>
            <w:tcW w:w="0" w:type="dxa"/>
            <w:vAlign w:val="bottom"/>
          </w:tcPr>
          <w:p>
            <w:pPr>
              <w:spacing w:after="0"/>
              <w:rPr>
                <w:sz w:val="1"/>
                <w:szCs w:val="1"/>
                <w:color w:val="auto"/>
              </w:rPr>
            </w:pPr>
          </w:p>
        </w:tc>
      </w:tr>
      <w:tr>
        <w:trPr>
          <w:trHeight w:val="213"/>
        </w:trPr>
        <w:tc>
          <w:tcPr>
            <w:tcW w:w="3860" w:type="dxa"/>
            <w:vAlign w:val="bottom"/>
          </w:tcPr>
          <w:p>
            <w:pPr>
              <w:spacing w:after="0"/>
              <w:rPr>
                <w:sz w:val="18"/>
                <w:szCs w:val="18"/>
                <w:color w:val="auto"/>
              </w:rPr>
            </w:pPr>
          </w:p>
        </w:tc>
        <w:tc>
          <w:tcPr>
            <w:tcW w:w="1960" w:type="dxa"/>
            <w:vAlign w:val="bottom"/>
            <w:gridSpan w:val="3"/>
          </w:tcPr>
          <w:p>
            <w:pPr>
              <w:spacing w:after="0"/>
              <w:rPr>
                <w:sz w:val="20"/>
                <w:szCs w:val="20"/>
                <w:color w:val="auto"/>
              </w:rPr>
            </w:pPr>
            <w:r>
              <w:rPr>
                <w:rFonts w:ascii="Arial" w:cs="Arial" w:eastAsia="Arial" w:hAnsi="Arial"/>
                <w:sz w:val="16"/>
                <w:szCs w:val="16"/>
                <w:b w:val="1"/>
                <w:bCs w:val="1"/>
                <w:color w:val="auto"/>
              </w:rPr>
              <w:t>at September 30, 2020</w:t>
            </w:r>
          </w:p>
        </w:tc>
        <w:tc>
          <w:tcPr>
            <w:tcW w:w="1940" w:type="dxa"/>
            <w:vAlign w:val="bottom"/>
            <w:gridSpan w:val="3"/>
          </w:tcPr>
          <w:p>
            <w:pPr>
              <w:spacing w:after="0"/>
              <w:rPr>
                <w:sz w:val="20"/>
                <w:szCs w:val="20"/>
                <w:color w:val="auto"/>
              </w:rPr>
            </w:pPr>
            <w:r>
              <w:rPr>
                <w:rFonts w:ascii="Arial" w:cs="Arial" w:eastAsia="Arial" w:hAnsi="Arial"/>
                <w:sz w:val="16"/>
                <w:szCs w:val="16"/>
                <w:b w:val="1"/>
                <w:bCs w:val="1"/>
                <w:color w:val="auto"/>
              </w:rPr>
              <w:t>at September 30, 2020</w:t>
            </w:r>
          </w:p>
        </w:tc>
        <w:tc>
          <w:tcPr>
            <w:tcW w:w="16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w w:val="94"/>
              </w:rPr>
              <w:t>Adjustments</w:t>
            </w:r>
          </w:p>
        </w:tc>
        <w:tc>
          <w:tcPr>
            <w:tcW w:w="1720" w:type="dxa"/>
            <w:vAlign w:val="bottom"/>
            <w:gridSpan w:val="4"/>
          </w:tcPr>
          <w:p>
            <w:pPr>
              <w:ind w:left="80"/>
              <w:spacing w:after="0"/>
              <w:rPr>
                <w:sz w:val="20"/>
                <w:szCs w:val="20"/>
                <w:color w:val="auto"/>
              </w:rPr>
            </w:pPr>
            <w:r>
              <w:rPr>
                <w:rFonts w:ascii="Arial" w:cs="Arial" w:eastAsia="Arial" w:hAnsi="Arial"/>
                <w:sz w:val="16"/>
                <w:szCs w:val="16"/>
                <w:b w:val="1"/>
                <w:bCs w:val="1"/>
                <w:color w:val="auto"/>
                <w:w w:val="96"/>
              </w:rPr>
              <w:t>at September 30, 2020</w:t>
            </w:r>
          </w:p>
        </w:tc>
        <w:tc>
          <w:tcPr>
            <w:tcW w:w="0" w:type="dxa"/>
            <w:vAlign w:val="bottom"/>
          </w:tcPr>
          <w:p>
            <w:pPr>
              <w:spacing w:after="0"/>
              <w:rPr>
                <w:sz w:val="1"/>
                <w:szCs w:val="1"/>
                <w:color w:val="auto"/>
              </w:rPr>
            </w:pPr>
          </w:p>
        </w:tc>
      </w:tr>
      <w:tr>
        <w:trPr>
          <w:trHeight w:val="199"/>
        </w:trPr>
        <w:tc>
          <w:tcPr>
            <w:tcW w:w="38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920" w:type="dxa"/>
            <w:vAlign w:val="bottom"/>
            <w:tcBorders>
              <w:top w:val="single" w:sz="8" w:color="auto"/>
            </w:tcBorders>
            <w:gridSpan w:val="7"/>
          </w:tcPr>
          <w:p>
            <w:pPr>
              <w:jc w:val="right"/>
              <w:ind w:right="939"/>
              <w:spacing w:after="0"/>
              <w:rPr>
                <w:sz w:val="20"/>
                <w:szCs w:val="20"/>
                <w:color w:val="auto"/>
              </w:rPr>
            </w:pPr>
            <w:r>
              <w:rPr>
                <w:rFonts w:ascii="Arial" w:cs="Arial" w:eastAsia="Arial" w:hAnsi="Arial"/>
                <w:sz w:val="16"/>
                <w:szCs w:val="16"/>
                <w:i w:val="1"/>
                <w:iCs w:val="1"/>
                <w:color w:val="auto"/>
              </w:rPr>
              <w:t>(Dollars in thousands, except per share amounts)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710,467</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147,283</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(42,484)(1)</w:t>
            </w: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815,266</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Total investment securities</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567,015</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531,356</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6"/>
                <w:szCs w:val="16"/>
                <w:color w:val="auto"/>
              </w:rPr>
              <w:t>2,095(2)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1,100,466</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Loans held for sale</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12,625</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Loans held for investment</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4,639,473</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5,577,503</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(34,110)(3)</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10,182,866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Allowance for loan losses</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(43,474)(4)</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(48,492)(5)</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43,474(6)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(48,492)</w:t>
            </w:r>
          </w:p>
        </w:tc>
        <w:tc>
          <w:tcPr>
            <w:tcW w:w="0" w:type="dxa"/>
            <w:vAlign w:val="bottom"/>
          </w:tcPr>
          <w:p>
            <w:pPr>
              <w:spacing w:after="0"/>
              <w:rPr>
                <w:sz w:val="1"/>
                <w:szCs w:val="1"/>
                <w:color w:val="auto"/>
              </w:rPr>
            </w:pPr>
          </w:p>
        </w:tc>
      </w:tr>
      <w:tr>
        <w:trPr>
          <w:trHeight w:val="196"/>
        </w:trPr>
        <w:tc>
          <w:tcPr>
            <w:tcW w:w="3860" w:type="dxa"/>
            <w:vAlign w:val="bottom"/>
          </w:tcPr>
          <w:p>
            <w:pPr>
              <w:spacing w:after="0"/>
              <w:rPr>
                <w:sz w:val="20"/>
                <w:szCs w:val="20"/>
                <w:color w:val="auto"/>
              </w:rPr>
            </w:pPr>
            <w:r>
              <w:rPr>
                <w:rFonts w:ascii="Arial" w:cs="Arial" w:eastAsia="Arial" w:hAnsi="Arial"/>
                <w:sz w:val="16"/>
                <w:szCs w:val="16"/>
                <w:color w:val="auto"/>
              </w:rPr>
              <w:t>Loans, net</w:t>
            </w:r>
          </w:p>
        </w:tc>
        <w:tc>
          <w:tcPr>
            <w:tcW w:w="3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4,595,999</w:t>
            </w:r>
          </w:p>
        </w:tc>
        <w:tc>
          <w:tcPr>
            <w:tcW w:w="4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5,529,011</w:t>
            </w:r>
          </w:p>
        </w:tc>
        <w:tc>
          <w:tcPr>
            <w:tcW w:w="4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9,364</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10,134,374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Premises and equipment, net</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34,341</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20,539</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54,880</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44,642</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35,503</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80,145</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Accrued interest receivable</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15,823</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33,774</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49,597</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105,950</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55,638</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(30,818)(7)</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130,770</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Other intangible assets</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3,448</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7,492(8)</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10,940</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Prepaid pension</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12,914</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12,914</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Bank owned life insurance</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93,352</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155,068</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248,420</w:t>
            </w:r>
          </w:p>
        </w:tc>
        <w:tc>
          <w:tcPr>
            <w:tcW w:w="0" w:type="dxa"/>
            <w:vAlign w:val="bottom"/>
          </w:tcPr>
          <w:p>
            <w:pPr>
              <w:spacing w:after="0"/>
              <w:rPr>
                <w:sz w:val="1"/>
                <w:szCs w:val="1"/>
                <w:color w:val="auto"/>
              </w:rPr>
            </w:pPr>
          </w:p>
        </w:tc>
      </w:tr>
      <w:tr>
        <w:trPr>
          <w:trHeight w:val="213"/>
        </w:trPr>
        <w:tc>
          <w:tcPr>
            <w:tcW w:w="3860" w:type="dxa"/>
            <w:vAlign w:val="bottom"/>
          </w:tcPr>
          <w:p>
            <w:pPr>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128,426</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108,594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(12,604)(9)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224,416</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6,322,377</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6,619,391</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(66,955</w:t>
            </w:r>
          </w:p>
        </w:tc>
        <w:tc>
          <w:tcPr>
            <w:tcW w:w="420" w:type="dxa"/>
            <w:vAlign w:val="bottom"/>
            <w:tcBorders>
              <w:top w:val="single" w:sz="8" w:color="CCEEFF"/>
              <w:bottom w:val="single" w:sz="8" w:color="CCEEFF"/>
            </w:tcBorders>
            <w:shd w:val="clear" w:color="auto" w:fill="CCEEFF"/>
          </w:tcPr>
          <w:p>
            <w:pPr>
              <w:jc w:val="right"/>
              <w:ind w:right="340"/>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12,874,813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color w:val="auto"/>
              </w:rPr>
              <w:t>Total deposits</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860" w:type="dxa"/>
            <w:vAlign w:val="bottom"/>
            <w:vMerge w:val="continue"/>
          </w:tcPr>
          <w:p>
            <w:pPr>
              <w:spacing w:after="0"/>
              <w:rPr>
                <w:sz w:val="16"/>
                <w:szCs w:val="16"/>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5,369,069</w:t>
            </w:r>
          </w:p>
        </w:tc>
        <w:tc>
          <w:tcPr>
            <w:tcW w:w="420" w:type="dxa"/>
            <w:vAlign w:val="bottom"/>
          </w:tcPr>
          <w:p>
            <w:pPr>
              <w:spacing w:after="0"/>
              <w:rPr>
                <w:sz w:val="16"/>
                <w:szCs w:val="16"/>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4,492,148</w:t>
            </w:r>
          </w:p>
        </w:tc>
        <w:tc>
          <w:tcPr>
            <w:tcW w:w="42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3,201(10)</w:t>
            </w:r>
          </w:p>
        </w:tc>
        <w:tc>
          <w:tcPr>
            <w:tcW w:w="8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9,864,418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Subordinated debentures, net</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79,024</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114,016</w:t>
            </w: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193,040</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Other borrowings</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216,353</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1,198,400</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1,414,753</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47,383</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41,314</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88,697</w:t>
            </w:r>
          </w:p>
        </w:tc>
        <w:tc>
          <w:tcPr>
            <w:tcW w:w="0" w:type="dxa"/>
            <w:vAlign w:val="bottom"/>
          </w:tcPr>
          <w:p>
            <w:pPr>
              <w:spacing w:after="0"/>
              <w:rPr>
                <w:sz w:val="1"/>
                <w:szCs w:val="1"/>
                <w:color w:val="auto"/>
              </w:rPr>
            </w:pPr>
          </w:p>
        </w:tc>
      </w:tr>
      <w:tr>
        <w:trPr>
          <w:trHeight w:val="213"/>
        </w:trPr>
        <w:tc>
          <w:tcPr>
            <w:tcW w:w="3860" w:type="dxa"/>
            <w:vAlign w:val="bottom"/>
          </w:tcPr>
          <w:p>
            <w:pPr>
              <w:spacing w:after="0"/>
              <w:rPr>
                <w:sz w:val="20"/>
                <w:szCs w:val="20"/>
                <w:color w:val="auto"/>
              </w:rPr>
            </w:pPr>
            <w:r>
              <w:rPr>
                <w:rFonts w:ascii="Arial" w:cs="Arial" w:eastAsia="Arial" w:hAnsi="Arial"/>
                <w:sz w:val="16"/>
                <w:szCs w:val="16"/>
                <w:color w:val="auto"/>
              </w:rPr>
              <w:t>Other liabilities and accrued expenses</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98,327</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79,355</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(733)(6)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176,949</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5,810,156</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5,925,233</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2,468</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11,737,857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color w:val="auto"/>
              </w:rPr>
              <w:t>Preferred stock</w:t>
            </w:r>
          </w:p>
        </w:tc>
        <w:tc>
          <w:tcPr>
            <w:tcW w:w="3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860" w:type="dxa"/>
            <w:vAlign w:val="bottom"/>
            <w:vMerge w:val="continue"/>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116,569</w:t>
            </w:r>
          </w:p>
        </w:tc>
        <w:tc>
          <w:tcPr>
            <w:tcW w:w="4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116,569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Common stock</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(323)(11)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Surplus</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357,704</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270,389</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(151,177)(12)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476,916</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167,899</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601,913</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(210,383)(13)</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559,429</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Treasury stock, at cost</w:t>
            </w:r>
          </w:p>
        </w:tc>
        <w:tc>
          <w:tcPr>
            <w:tcW w:w="320" w:type="dxa"/>
            <w:vAlign w:val="bottom"/>
          </w:tcPr>
          <w:p>
            <w:pPr>
              <w:spacing w:after="0"/>
              <w:rPr>
                <w:sz w:val="17"/>
                <w:szCs w:val="17"/>
                <w:color w:val="auto"/>
              </w:rPr>
            </w:pPr>
          </w:p>
        </w:tc>
        <w:tc>
          <w:tcPr>
            <w:tcW w:w="1640" w:type="dxa"/>
            <w:vAlign w:val="bottom"/>
            <w:gridSpan w:val="2"/>
          </w:tcPr>
          <w:p>
            <w:pPr>
              <w:jc w:val="right"/>
              <w:ind w:right="380"/>
              <w:spacing w:after="0"/>
              <w:rPr>
                <w:sz w:val="20"/>
                <w:szCs w:val="20"/>
                <w:color w:val="auto"/>
              </w:rPr>
            </w:pPr>
            <w:r>
              <w:rPr>
                <w:rFonts w:ascii="Arial" w:cs="Arial" w:eastAsia="Arial" w:hAnsi="Arial"/>
                <w:sz w:val="16"/>
                <w:szCs w:val="16"/>
                <w:color w:val="auto"/>
              </w:rPr>
              <w:t>(4,832)</w:t>
            </w:r>
          </w:p>
        </w:tc>
        <w:tc>
          <w:tcPr>
            <w:tcW w:w="320" w:type="dxa"/>
            <w:vAlign w:val="bottom"/>
          </w:tcPr>
          <w:p>
            <w:pPr>
              <w:spacing w:after="0"/>
              <w:rPr>
                <w:sz w:val="17"/>
                <w:szCs w:val="17"/>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6"/>
                <w:szCs w:val="16"/>
                <w:color w:val="auto"/>
              </w:rPr>
              <w:t>(283,711)</w:t>
            </w:r>
          </w:p>
        </w:tc>
        <w:tc>
          <w:tcPr>
            <w:tcW w:w="160" w:type="dxa"/>
            <w:vAlign w:val="bottom"/>
          </w:tcPr>
          <w:p>
            <w:pPr>
              <w:spacing w:after="0"/>
              <w:rPr>
                <w:sz w:val="17"/>
                <w:szCs w:val="17"/>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283,711(12)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(4,832)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(8,749)</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(11,539)</w:t>
            </w: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8,749(14)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(11,539)</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Total Stockholders’ Equity</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512,221</w:t>
            </w:r>
          </w:p>
        </w:tc>
        <w:tc>
          <w:tcPr>
            <w:tcW w:w="4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694,158</w:t>
            </w:r>
          </w:p>
        </w:tc>
        <w:tc>
          <w:tcPr>
            <w:tcW w:w="4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(69,423</w:t>
            </w:r>
          </w:p>
        </w:tc>
        <w:tc>
          <w:tcPr>
            <w:tcW w:w="420" w:type="dxa"/>
            <w:vAlign w:val="bottom"/>
            <w:tcBorders>
              <w:bottom w:val="single" w:sz="8" w:color="CCEEFF"/>
            </w:tcBorders>
          </w:tcPr>
          <w:p>
            <w:pPr>
              <w:jc w:val="right"/>
              <w:ind w:right="340"/>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1,136,956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6,322,377</w:t>
            </w:r>
          </w:p>
        </w:tc>
        <w:tc>
          <w:tcPr>
            <w:tcW w:w="4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6,619,391</w:t>
            </w:r>
          </w:p>
        </w:tc>
        <w:tc>
          <w:tcPr>
            <w:tcW w:w="4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(66,955</w:t>
            </w:r>
          </w:p>
        </w:tc>
        <w:tc>
          <w:tcPr>
            <w:tcW w:w="420" w:type="dxa"/>
            <w:vAlign w:val="bottom"/>
            <w:tcBorders>
              <w:bottom w:val="single" w:sz="8" w:color="CCEEFF"/>
            </w:tcBorders>
            <w:shd w:val="clear" w:color="auto" w:fill="CCEEFF"/>
          </w:tcPr>
          <w:p>
            <w:pPr>
              <w:jc w:val="right"/>
              <w:ind w:right="340"/>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12,874,813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6"/>
                <w:szCs w:val="16"/>
                <w:b w:val="1"/>
                <w:bCs w:val="1"/>
                <w:color w:val="auto"/>
              </w:rPr>
              <w:t>Per share information</w:t>
            </w: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Tangible common equity</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402,823</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521,951</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878,677</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20"/>
                <w:szCs w:val="20"/>
                <w:color w:val="auto"/>
              </w:rPr>
            </w:pPr>
            <w:r>
              <w:rPr>
                <w:rFonts w:ascii="Arial" w:cs="Arial" w:eastAsia="Arial" w:hAnsi="Arial"/>
                <w:sz w:val="16"/>
                <w:szCs w:val="16"/>
                <w:color w:val="auto"/>
              </w:rPr>
              <w:t>Common shares outstanding</w:t>
            </w: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19,749</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33,050</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41,165</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spacing w:after="0"/>
              <w:rPr>
                <w:sz w:val="20"/>
                <w:szCs w:val="20"/>
                <w:color w:val="auto"/>
              </w:rPr>
            </w:pPr>
            <w:r>
              <w:rPr>
                <w:rFonts w:ascii="Arial" w:cs="Arial" w:eastAsia="Arial" w:hAnsi="Arial"/>
                <w:sz w:val="16"/>
                <w:szCs w:val="16"/>
                <w:color w:val="auto"/>
              </w:rPr>
              <w:t>Book value per common share</w:t>
            </w: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25.94</w:t>
            </w: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06"/>
        </w:trPr>
        <w:tc>
          <w:tcPr>
            <w:tcW w:w="3860" w:type="dxa"/>
            <w:vAlign w:val="bottom"/>
          </w:tcPr>
          <w:p>
            <w:pPr>
              <w:spacing w:after="0"/>
              <w:rPr>
                <w:sz w:val="20"/>
                <w:szCs w:val="20"/>
                <w:color w:val="auto"/>
              </w:rPr>
            </w:pPr>
            <w:r>
              <w:rPr>
                <w:rFonts w:ascii="Arial" w:cs="Arial" w:eastAsia="Arial" w:hAnsi="Arial"/>
                <w:sz w:val="16"/>
                <w:szCs w:val="16"/>
                <w:color w:val="auto"/>
              </w:rPr>
              <w:t>Tangible book value per common share</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20.40</w:t>
            </w:r>
          </w:p>
        </w:tc>
        <w:tc>
          <w:tcPr>
            <w:tcW w:w="4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15.79</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780" w:right="720" w:hanging="448"/>
        <w:spacing w:after="0" w:line="342"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Assumes that the merger was completed as of September 30, 2020 utilizing the acquisition method of accounting. Estimated fair value adjustments for loans, securities, core deposit intangible assets and deposits were determined by management of Bridge and Dime as of</w:t>
      </w:r>
    </w:p>
    <w:p>
      <w:pPr>
        <w:spacing w:after="0" w:line="124" w:lineRule="exact"/>
        <w:rPr>
          <w:sz w:val="20"/>
          <w:szCs w:val="20"/>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estimated after tax merger expenses at the time of the merger announcement.</w:t>
      </w:r>
    </w:p>
    <w:p>
      <w:pPr>
        <w:spacing w:after="0" w:line="23" w:lineRule="exact"/>
        <w:rPr>
          <w:rFonts w:ascii="Arial" w:cs="Arial" w:eastAsia="Arial" w:hAnsi="Arial"/>
          <w:sz w:val="18"/>
          <w:szCs w:val="18"/>
          <w:color w:val="auto"/>
        </w:rPr>
      </w:pPr>
    </w:p>
    <w:p>
      <w:pPr>
        <w:ind w:left="780" w:hanging="448"/>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 accounting adjustment to record Bridge’s securities at fair value.</w:t>
      </w:r>
    </w:p>
    <w:p>
      <w:pPr>
        <w:spacing w:after="0" w:line="9" w:lineRule="exact"/>
        <w:rPr>
          <w:rFonts w:ascii="Arial" w:cs="Arial" w:eastAsia="Arial" w:hAnsi="Arial"/>
          <w:sz w:val="18"/>
          <w:szCs w:val="18"/>
          <w:color w:val="auto"/>
        </w:rPr>
      </w:pPr>
    </w:p>
    <w:p>
      <w:pPr>
        <w:ind w:left="780" w:right="120" w:hanging="448"/>
        <w:spacing w:after="0" w:line="271" w:lineRule="auto"/>
        <w:tabs>
          <w:tab w:leader="none" w:pos="7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Adjustment to Bridge’s total loans, net as of September 30, 2020 to reflect the estimated fair value of the loan portfolio of $77.6 million, which was partially offset by the elimination of Bridge’s net unrecognized loan costs and discount of $17.5 million, and the recognition of a fair value adjustment to total loans in the amount of $26.0 million reflecting differences in interest rates. The fair value adjustments are subject to change. The fair value adjustments will be accreted through loan interest income over the estimated lives of the affected loans. The weighted average remaining life of the loan portfolio was estimated at approximately 4.0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6" w:name="page7"/>
    <w:bookmarkEnd w:id="6"/>
    <w:p>
      <w:pPr>
        <w:ind w:left="448" w:hanging="448"/>
        <w:spacing w:after="0" w:line="258" w:lineRule="auto"/>
        <w:tabs>
          <w:tab w:leader="none" w:pos="448"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1, 2020, Bridge adopted CECL, which requires that loans held for investment be accounted for under the CECL framework. As such, the status quo Bridge loan loss reserve is presented under the CECL framework.</w:t>
      </w:r>
    </w:p>
    <w:p>
      <w:pPr>
        <w:spacing w:after="0" w:line="1" w:lineRule="exact"/>
        <w:rPr>
          <w:rFonts w:ascii="Arial" w:cs="Arial" w:eastAsia="Arial" w:hAnsi="Arial"/>
          <w:sz w:val="18"/>
          <w:szCs w:val="18"/>
          <w:color w:val="auto"/>
        </w:rPr>
      </w:pPr>
    </w:p>
    <w:p>
      <w:pPr>
        <w:ind w:left="448" w:right="240" w:hanging="448"/>
        <w:spacing w:after="0" w:line="250" w:lineRule="auto"/>
        <w:tabs>
          <w:tab w:leader="none" w:pos="44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accordance with the statutory relief provided under section 4014 of the CARES Act, Dime elected to defer adoption of CECL. As such, the status quo Dime loan loss reserve is presented under the incurred loss framework.</w:t>
      </w:r>
    </w:p>
    <w:p>
      <w:pPr>
        <w:ind w:left="448" w:right="40" w:hanging="448"/>
        <w:spacing w:after="0" w:line="265" w:lineRule="auto"/>
        <w:tabs>
          <w:tab w:leader="none" w:pos="448" w:val="left"/>
        </w:tabs>
        <w:numPr>
          <w:ilvl w:val="0"/>
          <w:numId w:val="5"/>
        </w:numPr>
        <w:rPr>
          <w:rFonts w:ascii="Arial" w:cs="Arial" w:eastAsia="Arial" w:hAnsi="Arial"/>
          <w:sz w:val="17"/>
          <w:szCs w:val="17"/>
          <w:color w:val="auto"/>
        </w:rPr>
      </w:pPr>
      <w:r>
        <w:rPr>
          <w:rFonts w:ascii="Arial" w:cs="Arial" w:eastAsia="Arial" w:hAnsi="Arial"/>
          <w:sz w:val="17"/>
          <w:szCs w:val="17"/>
          <w:color w:val="auto"/>
        </w:rPr>
        <w:t>Under the incurred loss framework used by Dime, the amount represents the reversal of Bridge’s allowance for credit losses of $43.5 million as purchased loans acquired in a business combination are recorded at fair value and the recorded allowance of the acquired company is not carried over. Additionally, the credit losses for unfunded loan commitments of $0.7 million under CECL are also being reversed to conform to Dime’s incurred loss framework. The adjustments are subject to change. The adjustments will be impacted by the adoption of CECL which requires recognition of an allowance at close for any PCD loans. In addition, CECL requires an additional allowance for non-PCD loans which will be recognized through the income statement of the resulting company following the closing of the merger. As such, the financial statements of the resulting company differ from the analysis presented above.</w:t>
      </w:r>
    </w:p>
    <w:p>
      <w:pPr>
        <w:spacing w:after="0" w:line="1" w:lineRule="exact"/>
        <w:rPr>
          <w:rFonts w:ascii="Arial" w:cs="Arial" w:eastAsia="Arial" w:hAnsi="Arial"/>
          <w:sz w:val="17"/>
          <w:szCs w:val="17"/>
          <w:color w:val="auto"/>
        </w:rPr>
      </w:pPr>
    </w:p>
    <w:p>
      <w:pPr>
        <w:ind w:left="448" w:right="20" w:hanging="448"/>
        <w:spacing w:after="0" w:line="253" w:lineRule="auto"/>
        <w:tabs>
          <w:tab w:leader="none" w:pos="448"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adjustments to goodwill to eliminate Bridge’s goodwill of $106.0 million related to prior acquisitions and record estimated goodwill associated with the merger of $75.1 million, calculated as the fair value of consideration paid in the acquisition of Bridge, less amounts allocated to fair value of identifiable assets acquired and liabilities assumed. The preliminary purchase accounting allocation at September 30, 2020 is as follows:</w:t>
      </w:r>
    </w:p>
    <w:p>
      <w:pPr>
        <w:spacing w:after="0" w:line="207" w:lineRule="exact"/>
        <w:rPr>
          <w:sz w:val="20"/>
          <w:szCs w:val="20"/>
          <w:color w:val="auto"/>
        </w:rPr>
      </w:pPr>
    </w:p>
    <w:tbl>
      <w:tblPr>
        <w:tblLayout w:type="fixed"/>
        <w:tblInd w:w="408"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Fair market value (“FMV”) adjustment to securities</w:t>
            </w:r>
          </w:p>
        </w:tc>
        <w:tc>
          <w:tcPr>
            <w:tcW w:w="340" w:type="dxa"/>
            <w:vAlign w:val="bottom"/>
            <w:gridSpan w:val="2"/>
            <w:shd w:val="clear" w:color="auto" w:fill="CCEEFF"/>
          </w:tcPr>
          <w:p>
            <w:pPr>
              <w:jc w:val="right"/>
              <w:ind w:right="209"/>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FMV adjustment to loans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FMV on loan portfolio</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(77,613)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 rate mark</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Reverse loan deferred fees and discount</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FMV adjustment to loans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Reversal of loan credit loss reserve</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core deposit intangible assets created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Reversal of Bridge deferred tax asset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deferred tax asset on all FMV adjustments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FMV adjustment to deposits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Reversal of unfunded commitment credit loss reserve</w:t>
            </w: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net FMV adjustments</w:t>
            </w: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Bridge stockholders' equity</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120"/>
              <w:spacing w:after="0"/>
              <w:rPr>
                <w:sz w:val="20"/>
                <w:szCs w:val="20"/>
                <w:color w:val="auto"/>
              </w:rPr>
            </w:pPr>
            <w:r>
              <w:rPr>
                <w:rFonts w:ascii="Arial" w:cs="Arial" w:eastAsia="Arial" w:hAnsi="Arial"/>
                <w:sz w:val="18"/>
                <w:szCs w:val="18"/>
                <w:color w:val="auto"/>
              </w:rPr>
              <w:t>Net FMV adjustments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Reversal of goodwill</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(105,950)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Bridge net assets acquired</w:t>
            </w:r>
          </w:p>
        </w:tc>
        <w:tc>
          <w:tcPr>
            <w:tcW w:w="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410,150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8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Hypothetical purchase price for accounting purposes</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485,282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Bridge net assets acquired</w:t>
            </w: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b w:val="1"/>
                <w:bCs w:val="1"/>
                <w:color w:val="auto"/>
              </w:rPr>
              <w:t>Goodwill created</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48" w:right="440" w:hanging="448"/>
        <w:spacing w:after="0" w:line="258" w:lineRule="auto"/>
        <w:tabs>
          <w:tab w:leader="none" w:pos="448"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Adjustments to other intangible assets to eliminate Bridge’s core deposit intangibles of $1.6 million related to prior acquisitions and record estimated core deposit intangible assets associated with the merger of $9.1 million.</w:t>
      </w:r>
    </w:p>
    <w:p>
      <w:pPr>
        <w:spacing w:after="0" w:line="1" w:lineRule="exact"/>
        <w:rPr>
          <w:rFonts w:ascii="Arial" w:cs="Arial" w:eastAsia="Arial" w:hAnsi="Arial"/>
          <w:sz w:val="18"/>
          <w:szCs w:val="18"/>
          <w:color w:val="auto"/>
        </w:rPr>
      </w:pPr>
    </w:p>
    <w:p>
      <w:pPr>
        <w:ind w:left="448" w:hanging="448"/>
        <w:spacing w:after="0"/>
        <w:tabs>
          <w:tab w:leader="none" w:pos="448"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Adjustments to net deferred tax assets associated with the effects of the purchase accounting adjustments.</w:t>
      </w:r>
    </w:p>
    <w:p>
      <w:pPr>
        <w:spacing w:after="0" w:line="9" w:lineRule="exact"/>
        <w:rPr>
          <w:rFonts w:ascii="Arial" w:cs="Arial" w:eastAsia="Arial" w:hAnsi="Arial"/>
          <w:sz w:val="18"/>
          <w:szCs w:val="18"/>
          <w:color w:val="auto"/>
        </w:rPr>
      </w:pPr>
    </w:p>
    <w:p>
      <w:pPr>
        <w:ind w:left="448" w:right="280" w:hanging="448"/>
        <w:spacing w:after="0" w:line="250" w:lineRule="auto"/>
        <w:tabs>
          <w:tab w:leader="none" w:pos="44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deposits include a fair value adjustment to Bridge’s time deposits to reflect differences in interest rates, which was based primarily on an analysis of current market interest rates and maturity dates.</w:t>
      </w:r>
    </w:p>
    <w:p>
      <w:pPr>
        <w:ind w:left="448" w:right="40" w:hanging="448"/>
        <w:spacing w:after="0" w:line="250" w:lineRule="auto"/>
        <w:tabs>
          <w:tab w:leader="none" w:pos="448"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Adjustment to reflect the issuance of 21.4 million shares of Bridge common stock associated with the merger and the elimination of 53.7 million shares of Dime common stock.</w:t>
      </w:r>
    </w:p>
    <w:p>
      <w:pPr>
        <w:ind w:left="448" w:right="140" w:hanging="448"/>
        <w:spacing w:after="0" w:line="250" w:lineRule="auto"/>
        <w:tabs>
          <w:tab w:leader="none" w:pos="448"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Adjustments to eliminate Bridge’s surplus of $357.7 million, eliminate Dime’s historical equity accounts (common stock and treasury stock) of $283.2 million, and record the purchase price consideration.</w:t>
      </w:r>
    </w:p>
    <w:p>
      <w:pPr>
        <w:ind w:left="448" w:right="440" w:hanging="448"/>
        <w:spacing w:after="0" w:line="250" w:lineRule="auto"/>
        <w:tabs>
          <w:tab w:leader="none" w:pos="448"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Adjustment to eliminate Bridge’s historical retained earnings of $167.9 million and recognize estimated after-tax merger expenses of $42.5 million.</w:t>
      </w:r>
    </w:p>
    <w:p>
      <w:pPr>
        <w:ind w:left="448" w:hanging="448"/>
        <w:spacing w:after="0"/>
        <w:tabs>
          <w:tab w:leader="none" w:pos="448"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Adjustment to eliminate Bridge’s historical 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434340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8"/>
          </w:cols>
          <w:pgMar w:left="652" w:top="935" w:right="359" w:bottom="1440" w:gutter="0" w:footer="0" w:header="0"/>
        </w:sectPr>
      </w:pPr>
    </w:p>
    <w:bookmarkStart w:id="7" w:name="page8"/>
    <w:bookmarkEnd w:id="7"/>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Income Statement - September 30, 2020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Pro Forma</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Combined for the</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3"/>
          </w:tcPr>
          <w:p>
            <w:pPr>
              <w:ind w:left="20"/>
              <w:spacing w:after="0"/>
              <w:rPr>
                <w:sz w:val="20"/>
                <w:szCs w:val="20"/>
                <w:color w:val="auto"/>
              </w:rPr>
            </w:pPr>
            <w:r>
              <w:rPr>
                <w:rFonts w:ascii="Arial" w:cs="Arial" w:eastAsia="Arial" w:hAnsi="Arial"/>
                <w:sz w:val="18"/>
                <w:szCs w:val="18"/>
                <w:b w:val="1"/>
                <w:bCs w:val="1"/>
                <w:color w:val="auto"/>
              </w:rPr>
              <w:t>Bridge for the Nine</w:t>
            </w:r>
          </w:p>
        </w:tc>
        <w:tc>
          <w:tcPr>
            <w:tcW w:w="10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Arial" w:cs="Arial" w:eastAsia="Arial" w:hAnsi="Arial"/>
                <w:sz w:val="18"/>
                <w:szCs w:val="18"/>
                <w:b w:val="1"/>
                <w:bCs w:val="1"/>
                <w:color w:val="auto"/>
              </w:rPr>
              <w:t>Dime for the Nine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Nine Months</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w w:val="95"/>
              </w:rPr>
              <w:t>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8"/>
                <w:szCs w:val="18"/>
                <w:b w:val="1"/>
                <w:bCs w:val="1"/>
                <w:color w:val="auto"/>
                <w:w w:val="95"/>
              </w:rPr>
              <w:t>Ended September</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 2020</w:t>
            </w:r>
          </w:p>
        </w:tc>
        <w:tc>
          <w:tcPr>
            <w:tcW w:w="19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September 30, 2020</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381"/>
              <w:spacing w:after="0"/>
              <w:rPr>
                <w:sz w:val="20"/>
                <w:szCs w:val="20"/>
                <w:color w:val="auto"/>
              </w:rPr>
            </w:pPr>
            <w:r>
              <w:rPr>
                <w:rFonts w:ascii="Arial" w:cs="Arial" w:eastAsia="Arial" w:hAnsi="Arial"/>
                <w:sz w:val="18"/>
                <w:szCs w:val="18"/>
                <w:b w:val="1"/>
                <w:bCs w:val="1"/>
                <w:color w:val="auto"/>
                <w:w w:val="88"/>
              </w:rPr>
              <w:t>Adjustments</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30, 2020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20" w:type="dxa"/>
            <w:vAlign w:val="bottom"/>
            <w:gridSpan w:val="9"/>
          </w:tcPr>
          <w:p>
            <w:pPr>
              <w:jc w:val="right"/>
              <w:ind w:right="81"/>
              <w:spacing w:after="0"/>
              <w:rPr>
                <w:sz w:val="20"/>
                <w:szCs w:val="20"/>
                <w:color w:val="auto"/>
              </w:rPr>
            </w:pPr>
            <w:r>
              <w:rPr>
                <w:rFonts w:ascii="Arial" w:cs="Arial" w:eastAsia="Arial" w:hAnsi="Arial"/>
                <w:sz w:val="18"/>
                <w:szCs w:val="18"/>
                <w:i w:val="1"/>
                <w:iCs w:val="1"/>
                <w:color w:val="auto"/>
                <w:w w:val="92"/>
              </w:rPr>
              <w:t>(Dollars in thousands, except per share amounts)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Loans (including fee income)</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124,812</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161,564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
              <w:spacing w:after="0"/>
              <w:rPr>
                <w:sz w:val="20"/>
                <w:szCs w:val="20"/>
                <w:color w:val="auto"/>
              </w:rPr>
            </w:pPr>
            <w:r>
              <w:rPr>
                <w:rFonts w:ascii="Arial" w:cs="Arial" w:eastAsia="Arial" w:hAnsi="Arial"/>
                <w:sz w:val="18"/>
                <w:szCs w:val="18"/>
                <w:color w:val="auto"/>
              </w:rPr>
              <w:t>(5,724)(1)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280,652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10,265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(1,364)(2)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Deposits with banks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interest and dividend income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1,157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340"/>
              <w:spacing w:after="0"/>
              <w:rPr>
                <w:sz w:val="20"/>
                <w:szCs w:val="20"/>
                <w:color w:val="auto"/>
              </w:rPr>
            </w:pPr>
            <w:r>
              <w:rPr>
                <w:rFonts w:ascii="Arial" w:cs="Arial" w:eastAsia="Arial" w:hAnsi="Arial"/>
                <w:sz w:val="18"/>
                <w:szCs w:val="18"/>
                <w:color w:val="auto"/>
              </w:rPr>
              <w:t>Total interest income</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136,748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174,935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(7,088)</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12,312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2,401(3)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w w:val="93"/>
              </w:rPr>
              <w:t>Federal funds purchased and repurchase agreements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borrowings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3,163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13,622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Subordinated debentures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3,991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18,959</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45,911</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67,271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 before provision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117,789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129,024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(9,489)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Provision for credit losses under CECL framework</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11,000(4)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4"/>
              </w:rPr>
              <w:t>Provision for loan losses under incurred loss framework</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20"/>
                <w:szCs w:val="20"/>
                <w:color w:val="auto"/>
              </w:rPr>
            </w:pPr>
            <w:r>
              <w:rPr>
                <w:rFonts w:ascii="Arial" w:cs="Arial" w:eastAsia="Arial" w:hAnsi="Arial"/>
                <w:sz w:val="18"/>
                <w:szCs w:val="18"/>
                <w:color w:val="auto"/>
              </w:rPr>
              <w:t>Net interest income after provision</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106,789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109,021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206,321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Non-interest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and other fees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6,604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Net securities gains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3,496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termination of derivatives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(3,403)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(3,403)</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Change in fair value of loans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Title fees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Gain on sale of loans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2,971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1,946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owned life insurance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Loan level derivative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5,201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340"/>
              <w:spacing w:after="0"/>
              <w:rPr>
                <w:sz w:val="20"/>
                <w:szCs w:val="20"/>
                <w:color w:val="auto"/>
              </w:rPr>
            </w:pPr>
            <w:r>
              <w:rPr>
                <w:rFonts w:ascii="Arial" w:cs="Arial" w:eastAsia="Arial" w:hAnsi="Arial"/>
                <w:sz w:val="18"/>
                <w:szCs w:val="18"/>
                <w:color w:val="auto"/>
              </w:rPr>
              <w:t>Total non-interest income</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18,771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Non-interest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45,874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Occupancy and equipment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10,618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12,061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and communications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7,074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Marketing and advertising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3,351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FDIC assessments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1,767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Directors’ compensation</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Amortization of other intangible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Arial" w:cs="Arial" w:eastAsia="Arial" w:hAnsi="Arial"/>
                <w:sz w:val="18"/>
                <w:szCs w:val="18"/>
                <w:color w:val="auto"/>
              </w:rPr>
              <w:t>648(6)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6,469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(4,779)(7)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340"/>
              <w:spacing w:after="0"/>
              <w:rPr>
                <w:sz w:val="20"/>
                <w:szCs w:val="20"/>
                <w:color w:val="auto"/>
              </w:rPr>
            </w:pPr>
            <w:r>
              <w:rPr>
                <w:rFonts w:ascii="Arial" w:cs="Arial" w:eastAsia="Arial" w:hAnsi="Arial"/>
                <w:sz w:val="18"/>
                <w:szCs w:val="18"/>
                <w:color w:val="auto"/>
              </w:rPr>
              <w:t>Total non-interest expense</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78,179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42,869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47,553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1"/>
              <w:spacing w:after="0"/>
              <w:rPr>
                <w:sz w:val="20"/>
                <w:szCs w:val="20"/>
                <w:color w:val="auto"/>
              </w:rPr>
            </w:pPr>
            <w:r>
              <w:rPr>
                <w:rFonts w:ascii="Arial" w:cs="Arial" w:eastAsia="Arial" w:hAnsi="Arial"/>
                <w:sz w:val="18"/>
                <w:szCs w:val="18"/>
                <w:color w:val="auto"/>
              </w:rPr>
              <w:t>(5,358)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85,064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9,804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1,986(8)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37,226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Participating securities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2,962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available to common stockholders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360" w:type="dxa"/>
            <w:vAlign w:val="bottom"/>
            <w:tcBorders>
              <w:top w:val="single" w:sz="8" w:color="CCEEFF"/>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59,101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rPr>
              <w:t>Per share information</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Average fully diluted shares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19,522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(11,314)(9)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Average basic shares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19,486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33,421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
              <w:spacing w:after="0"/>
              <w:rPr>
                <w:sz w:val="20"/>
                <w:szCs w:val="20"/>
                <w:color w:val="auto"/>
              </w:rPr>
            </w:pPr>
            <w:r>
              <w:rPr>
                <w:rFonts w:ascii="Arial" w:cs="Arial" w:eastAsia="Arial" w:hAnsi="Arial"/>
                <w:sz w:val="18"/>
                <w:szCs w:val="18"/>
                <w:color w:val="auto"/>
              </w:rPr>
              <w:t>(11,107)(9)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1.66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right"/>
              <w:ind w:right="210"/>
              <w:spacing w:after="0"/>
              <w:rPr>
                <w:sz w:val="20"/>
                <w:szCs w:val="20"/>
                <w:color w:val="auto"/>
              </w:rPr>
            </w:pPr>
            <w:r>
              <w:rPr>
                <w:rFonts w:ascii="Arial" w:cs="Arial" w:eastAsia="Arial" w:hAnsi="Arial"/>
                <w:sz w:val="18"/>
                <w:szCs w:val="18"/>
                <w:color w:val="auto"/>
              </w:rPr>
              <w:t>1.66</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0" w:lineRule="exact"/>
        <w:rPr>
          <w:sz w:val="20"/>
          <w:szCs w:val="20"/>
          <w:color w:val="auto"/>
        </w:rPr>
      </w:pPr>
    </w:p>
    <w:p>
      <w:pPr>
        <w:ind w:left="780" w:right="60" w:hanging="448"/>
        <w:spacing w:after="0" w:line="271" w:lineRule="auto"/>
        <w:tabs>
          <w:tab w:leader="none" w:pos="7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Net adjustment to loan interest income to recognize estimated accretion from the loan interest rate mark and loan premium amortization attributable to recording the Bridge loans at fair value as of the transaction date and the reversal of Bridge’s purchase accounting interest income of $0.9 million. The accretion and premium amortization are expected to be recognized over an estimated 4.0 year average life.</w:t>
      </w:r>
    </w:p>
    <w:p>
      <w:pPr>
        <w:ind w:left="780" w:right="380" w:hanging="448"/>
        <w:spacing w:after="0" w:line="250"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adjustment to investment securities interest income to recognize estimated amortization of securities fair value mark adjustment over an estimated 3.6 year average life.</w:t>
      </w:r>
    </w:p>
    <w:p>
      <w:pPr>
        <w:ind w:left="780" w:right="440" w:hanging="448"/>
        <w:spacing w:after="0" w:line="250"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Adjustment to deposit interest expense to reflect accretion of deposit premium from fair value adjustment to Bridge’s time deposits over an estimated 0.5 year average life.</w:t>
      </w:r>
    </w:p>
    <w:p>
      <w:pPr>
        <w:jc w:val="both"/>
        <w:ind w:left="780" w:hanging="448"/>
        <w:spacing w:after="0" w:line="323"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January 1, 2020, Bridge adopted CECL, which requires that loans held for investment be accounted for under the CECL framework. Provision for Bridge reflects the expense under the CECL framework, as Bridge no longer maintains the incurred loss framework subsequent to</w:t>
      </w:r>
    </w:p>
    <w:p>
      <w:pPr>
        <w:sectPr>
          <w:pgSz w:w="11900" w:h="16900" w:orient="portrait"/>
          <w:cols w:equalWidth="0" w:num="1">
            <w:col w:w="11240"/>
          </w:cols>
          <w:pgMar w:left="320" w:top="904" w:right="339" w:bottom="0" w:gutter="0" w:footer="0" w:header="0"/>
        </w:sectPr>
      </w:pPr>
    </w:p>
    <w:bookmarkStart w:id="8" w:name="page9"/>
    <w:bookmarkEnd w:id="8"/>
    <w:p>
      <w:pPr>
        <w:ind w:left="448"/>
        <w:spacing w:after="0" w:line="258" w:lineRule="auto"/>
        <w:rPr>
          <w:sz w:val="20"/>
          <w:szCs w:val="20"/>
          <w:color w:val="auto"/>
        </w:rPr>
      </w:pPr>
      <w:r>
        <w:rPr>
          <w:rFonts w:ascii="Arial" w:cs="Arial" w:eastAsia="Arial" w:hAnsi="Arial"/>
          <w:sz w:val="18"/>
          <w:szCs w:val="18"/>
          <w:color w:val="auto"/>
        </w:rPr>
        <w:t>adoption of CECL. In accordance with the statutory relief provided under Section 4014 of the CARES Act, Dime elected to defer adoption of CECL and the provision for Dime represents the expense under the incurred loss framework.</w:t>
      </w:r>
    </w:p>
    <w:p>
      <w:pPr>
        <w:spacing w:after="0" w:line="1" w:lineRule="exact"/>
        <w:rPr>
          <w:sz w:val="20"/>
          <w:szCs w:val="20"/>
          <w:color w:val="auto"/>
        </w:rPr>
      </w:pPr>
    </w:p>
    <w:p>
      <w:pPr>
        <w:ind w:left="448" w:hanging="448"/>
        <w:spacing w:after="0"/>
        <w:tabs>
          <w:tab w:leader="none" w:pos="448"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adjustment reflected as and subsequent to its adoption of CECL, Bridge no longer maintains the incurred loss model framework.</w:t>
      </w:r>
    </w:p>
    <w:p>
      <w:pPr>
        <w:spacing w:after="0" w:line="20" w:lineRule="exact"/>
        <w:rPr>
          <w:rFonts w:ascii="Arial" w:cs="Arial" w:eastAsia="Arial" w:hAnsi="Arial"/>
          <w:sz w:val="17"/>
          <w:szCs w:val="17"/>
          <w:color w:val="auto"/>
        </w:rPr>
      </w:pPr>
    </w:p>
    <w:p>
      <w:pPr>
        <w:ind w:left="448" w:right="340" w:hanging="448"/>
        <w:spacing w:after="0" w:line="250" w:lineRule="auto"/>
        <w:tabs>
          <w:tab w:leader="none" w:pos="448"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Adjustment to other non-interest expense to reflect amortization of acquired identifiable intangible assets based on amortization period of 10 years and using the sum-of the-digits method of amortization.</w:t>
      </w:r>
    </w:p>
    <w:p>
      <w:pPr>
        <w:ind w:left="448" w:right="180" w:hanging="448"/>
        <w:spacing w:after="0" w:line="250" w:lineRule="auto"/>
        <w:tabs>
          <w:tab w:leader="none" w:pos="448"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Adjustment to other non-interest expense to reflect the reversal of Bridge’s merger expense of $2.4 million and Dime’s merger expense of $2.4 million.</w:t>
      </w:r>
    </w:p>
    <w:p>
      <w:pPr>
        <w:ind w:left="448" w:hanging="448"/>
        <w:spacing w:after="0" w:line="250" w:lineRule="auto"/>
        <w:tabs>
          <w:tab w:leader="none" w:pos="448"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Adjustment to income tax provision to reflect the income tax effect of the pro forma adjustments and combined pre-tax income at the tax rate of 26%.</w:t>
      </w:r>
    </w:p>
    <w:p>
      <w:pPr>
        <w:ind w:left="448" w:right="360" w:hanging="448"/>
        <w:spacing w:after="0" w:line="302" w:lineRule="auto"/>
        <w:tabs>
          <w:tab w:leader="none" w:pos="448"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Adjustment to eliminate Dime’s average common shares outstanding and recognize issuance of Bridge common stock based on Dime’s 33.1 million pro forma common shares outstanding at September 30, 2020 and the merger exchange ratio of 0.648. Adjusted diluted shares outstanding also include the effect of restricted stock awards and stock options adjusted for the merger exchange ratio of 0.648.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424815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08"/>
      </w:cols>
      <w:pgMar w:left="652"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3"/>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4"/>
    </w:lvl>
  </w:abstractNum>
  <w:abstractNum w:abstractNumId="5">
    <w:nsid w:val="41B71EFB"/>
    <w:multiLevelType w:val="hybridMultilevel"/>
    <w:lvl w:ilvl="0">
      <w:lvlJc w:val="left"/>
      <w:lvlText w:val="(%1)"/>
      <w:numFmt w:val="decimal"/>
      <w:start w:val="8"/>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7" Type="http://schemas.openxmlformats.org/officeDocument/2006/relationships/hyperlink" Target="https://www.sec.gov/Archives/edgar/data/1005409/000114036120024884/brhc10016551_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2021-03-08T15:46:08Z</dcterms:created>
  <dcterms:modified xsi:type="dcterms:W3CDTF">2021-03-08T15:46:08Z</dcterms:modified>
</cp:coreProperties>
</file>